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AirThread</w:t>
      </w:r>
      <w:r>
        <w:t xml:space="preserve"> </w:t>
      </w:r>
      <w:r>
        <w:t xml:space="preserve">Connections:</w:t>
      </w:r>
      <w:r>
        <w:t xml:space="preserve"> </w:t>
      </w:r>
      <w:r>
        <w:t xml:space="preserve">cuánto</w:t>
      </w:r>
      <w:r>
        <w:t xml:space="preserve"> </w:t>
      </w:r>
      <w:r>
        <w:t xml:space="preserve">vale</w:t>
      </w:r>
      <w:r>
        <w:t xml:space="preserve"> </w:t>
      </w:r>
      <w:r>
        <w:t xml:space="preserve">y</w:t>
      </w:r>
      <w:r>
        <w:t xml:space="preserve"> </w:t>
      </w:r>
      <w:r>
        <w:t xml:space="preserve">cuánto</w:t>
      </w:r>
      <w:r>
        <w:t xml:space="preserve"> </w:t>
      </w:r>
      <w:r>
        <w:t xml:space="preserve">pagar</w:t>
      </w:r>
    </w:p>
    <w:p>
      <w:pPr>
        <w:pStyle w:val="Subtitle"/>
      </w:pPr>
      <w:r>
        <w:t xml:space="preserve">Valoración</w:t>
      </w:r>
      <w:r>
        <w:t xml:space="preserve"> </w:t>
      </w:r>
      <w:r>
        <w:t xml:space="preserve">para</w:t>
      </w:r>
      <w:r>
        <w:t xml:space="preserve"> </w:t>
      </w:r>
      <w:r>
        <w:t xml:space="preserve">la</w:t>
      </w:r>
      <w:r>
        <w:t xml:space="preserve"> </w:t>
      </w:r>
      <w:r>
        <w:t xml:space="preserve">adquisición</w:t>
      </w:r>
      <w:r>
        <w:t xml:space="preserve"> </w:t>
      </w:r>
      <w:r>
        <w:t xml:space="preserve">por</w:t>
      </w:r>
      <w:r>
        <w:t xml:space="preserve"> </w:t>
      </w:r>
      <w:r>
        <w:t xml:space="preserve">American</w:t>
      </w:r>
      <w:r>
        <w:t xml:space="preserve"> </w:t>
      </w:r>
      <w:r>
        <w:t xml:space="preserve">Cable</w:t>
      </w:r>
      <w:r>
        <w:t xml:space="preserve"> </w:t>
      </w:r>
      <w:r>
        <w:t xml:space="preserve">Communications</w:t>
      </w:r>
    </w:p>
    <w:p>
      <w:pPr>
        <w:pStyle w:val="Author"/>
      </w:pPr>
      <w:r>
        <w:t xml:space="preserve">Para:</w:t>
      </w:r>
      <w:r>
        <w:t xml:space="preserve"> </w:t>
      </w:r>
      <w:r>
        <w:t xml:space="preserve">Robert</w:t>
      </w:r>
      <w:r>
        <w:t xml:space="preserve"> </w:t>
      </w:r>
      <w:r>
        <w:t xml:space="preserve">Zimmerman,</w:t>
      </w:r>
      <w:r>
        <w:t xml:space="preserve"> </w:t>
      </w:r>
      <w:r>
        <w:t xml:space="preserve">VP</w:t>
      </w:r>
      <w:r>
        <w:t xml:space="preserve"> </w:t>
      </w:r>
      <w:r>
        <w:t xml:space="preserve">sénior</w:t>
      </w:r>
      <w:r>
        <w:t xml:space="preserve"> </w:t>
      </w:r>
      <w:r>
        <w:t xml:space="preserve">de</w:t>
      </w:r>
      <w:r>
        <w:t xml:space="preserve"> </w:t>
      </w:r>
      <w:r>
        <w:t xml:space="preserve">Desarrollo</w:t>
      </w:r>
      <w:r>
        <w:t xml:space="preserve"> </w:t>
      </w:r>
      <w:r>
        <w:t xml:space="preserve">de</w:t>
      </w:r>
      <w:r>
        <w:t xml:space="preserve"> </w:t>
      </w:r>
      <w:r>
        <w:t xml:space="preserve">Negocios,</w:t>
      </w:r>
      <w:r>
        <w:t xml:space="preserve"> </w:t>
      </w:r>
      <w:r>
        <w:t xml:space="preserve">ACC</w:t>
      </w:r>
    </w:p>
    <w:p>
      <w:pPr>
        <w:pStyle w:val="Date"/>
      </w:pPr>
      <w:r>
        <w:t xml:space="preserve">Diciembre</w:t>
      </w:r>
      <w:r>
        <w:t xml:space="preserve"> </w:t>
      </w:r>
      <w:r>
        <w:t xml:space="preserve">de</w:t>
      </w:r>
      <w:r>
        <w:t xml:space="preserve"> </w:t>
      </w:r>
      <w:r>
        <w:t xml:space="preserve">2007</w:t>
      </w:r>
      <w:r>
        <w:t xml:space="preserve"> </w:t>
      </w:r>
      <w:r>
        <w:t xml:space="preserve">(fecha</w:t>
      </w:r>
      <w:r>
        <w:t xml:space="preserve"> </w:t>
      </w:r>
      <w:r>
        <w:t xml:space="preserve">del</w:t>
      </w:r>
      <w:r>
        <w:t xml:space="preserve"> </w:t>
      </w:r>
      <w:r>
        <w:t xml:space="preserve">caso).</w:t>
      </w:r>
      <w:r>
        <w:t xml:space="preserve"> </w:t>
      </w:r>
      <w:r>
        <w:t xml:space="preserve">Cifras</w:t>
      </w:r>
      <w:r>
        <w:t xml:space="preserve"> </w:t>
      </w:r>
      <w:r>
        <w:t xml:space="preserve">en</w:t>
      </w:r>
      <w:r>
        <w:t xml:space="preserve"> </w:t>
      </w:r>
      <w:r>
        <w:t xml:space="preserve">millones</w:t>
      </w:r>
      <w:r>
        <w:t xml:space="preserve"> </w:t>
      </w:r>
      <w:r>
        <w:t xml:space="preserve">de</w:t>
      </w:r>
      <w:r>
        <w:t xml:space="preserve"> </w:t>
      </w:r>
      <w:r>
        <w:t xml:space="preserve">US$</w:t>
      </w:r>
      <w:r>
        <w:t xml:space="preserve"> </w:t>
      </w:r>
      <w:r>
        <w:t xml:space="preserve">salvo</w:t>
      </w:r>
      <w:r>
        <w:t xml:space="preserve"> </w:t>
      </w:r>
      <w:r>
        <w:t xml:space="preserve">indicación.</w:t>
      </w:r>
    </w:p>
    <w:bookmarkStart w:id="20" w:name="resumen-ejecutivo"/>
    <w:p>
      <w:pPr>
        <w:pStyle w:val="Heading1"/>
      </w:pPr>
      <w:r>
        <w:t xml:space="preserve">Resumen ejecutivo</w:t>
      </w:r>
    </w:p>
    <w:p>
      <w:pPr>
        <w:pStyle w:val="FirstParagraph"/>
      </w:pPr>
      <w:r>
        <w:rPr>
          <w:bCs/>
          <w:b/>
        </w:rPr>
        <w:t xml:space="preserve">Recomendación: comprar AirThread (ATC) solo si el precio del 100% del patrimonio no supera US$7.409 millones.</w:t>
      </w:r>
      <w:r>
        <w:t xml:space="preserve"> </w:t>
      </w:r>
      <w:r>
        <w:t xml:space="preserve">Conviene abrir en US$6.083 millones y buscar cerrar cerca de US$7.084 millones. Si el vendedor exige más, ACC debe retirarse y negociar un acuerdo comercial de backhaul.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Concepto</w:t>
            </w:r>
          </w:p>
        </w:tc>
        <w:tc>
          <w:tcPr/>
          <w:p>
            <w:pPr>
              <w:pStyle w:val="Compact"/>
              <w:jc w:val="right"/>
            </w:pPr>
            <w:r>
              <w:t xml:space="preserve">Millones de US$</w:t>
            </w:r>
          </w:p>
        </w:tc>
      </w:tr>
      <w:tr>
        <w:tc>
          <w:tcPr/>
          <w:p>
            <w:pPr>
              <w:pStyle w:val="Compact"/>
              <w:jc w:val="left"/>
            </w:pPr>
            <w:r>
              <w:t xml:space="preserve">Valor de las operaciones (APV, sin sinergias)</w:t>
            </w:r>
          </w:p>
        </w:tc>
        <w:tc>
          <w:tcPr/>
          <w:p>
            <w:pPr>
              <w:pStyle w:val="Compact"/>
              <w:jc w:val="right"/>
            </w:pPr>
            <w:r>
              <w:t xml:space="preserve">6.104</w:t>
            </w:r>
          </w:p>
        </w:tc>
      </w:tr>
      <w:tr>
        <w:tc>
          <w:tcPr/>
          <w:p>
            <w:pPr>
              <w:pStyle w:val="Compact"/>
              <w:jc w:val="left"/>
            </w:pPr>
            <w:r>
              <w:t xml:space="preserve">+ Activos no operativos (caja, afiliadas, nota por cobrar)</w:t>
            </w:r>
          </w:p>
        </w:tc>
        <w:tc>
          <w:tcPr/>
          <w:p>
            <w:pPr>
              <w:pStyle w:val="Compact"/>
              <w:jc w:val="right"/>
            </w:pPr>
            <w:r>
              <w:t xml:space="preserve">1.944</w:t>
            </w:r>
          </w:p>
        </w:tc>
      </w:tr>
      <w:tr>
        <w:tc>
          <w:tcPr/>
          <w:p>
            <w:pPr>
              <w:pStyle w:val="Compact"/>
              <w:jc w:val="left"/>
            </w:pPr>
            <w:r>
              <w:t xml:space="preserve">− Deuda existente e interés minoritario</w:t>
            </w:r>
          </w:p>
        </w:tc>
        <w:tc>
          <w:tcPr/>
          <w:p>
            <w:pPr>
              <w:pStyle w:val="Compact"/>
              <w:jc w:val="right"/>
            </w:pPr>
            <w:r>
              <w:t xml:space="preserve">1.290</w:t>
            </w:r>
          </w:p>
        </w:tc>
      </w:tr>
      <w:tr>
        <w:tc>
          <w:tcPr/>
          <w:p>
            <w:pPr>
              <w:pStyle w:val="Compact"/>
              <w:jc w:val="left"/>
            </w:pPr>
            <w:r>
              <w:rPr>
                <w:bCs/>
                <w:b/>
              </w:rPr>
              <w:t xml:space="preserve">Valor intrínseco del patrimonio, independiente</w:t>
            </w:r>
          </w:p>
        </w:tc>
        <w:tc>
          <w:tcPr/>
          <w:p>
            <w:pPr>
              <w:pStyle w:val="Compact"/>
              <w:jc w:val="right"/>
            </w:pPr>
            <w:r>
              <w:rPr>
                <w:bCs/>
                <w:b/>
              </w:rPr>
              <w:t xml:space="preserve">6.758</w:t>
            </w:r>
          </w:p>
        </w:tc>
      </w:tr>
      <w:tr>
        <w:tc>
          <w:tcPr/>
          <w:p>
            <w:pPr>
              <w:pStyle w:val="Compact"/>
              <w:jc w:val="left"/>
            </w:pPr>
            <w:r>
              <w:t xml:space="preserve">+ Sinergias de backhaul (más ciertas)</w:t>
            </w:r>
          </w:p>
        </w:tc>
        <w:tc>
          <w:tcPr/>
          <w:p>
            <w:pPr>
              <w:pStyle w:val="Compact"/>
              <w:jc w:val="right"/>
            </w:pPr>
            <w:r>
              <w:t xml:space="preserve">651</w:t>
            </w:r>
          </w:p>
        </w:tc>
      </w:tr>
      <w:tr>
        <w:tc>
          <w:tcPr/>
          <w:p>
            <w:pPr>
              <w:pStyle w:val="Compact"/>
              <w:jc w:val="left"/>
            </w:pPr>
            <w:r>
              <w:t xml:space="preserve">+ Sinergias de ingresos empresariales (inciertas)</w:t>
            </w:r>
          </w:p>
        </w:tc>
        <w:tc>
          <w:tcPr/>
          <w:p>
            <w:pPr>
              <w:pStyle w:val="Compact"/>
              <w:jc w:val="right"/>
            </w:pPr>
            <w:r>
              <w:t xml:space="preserve">1.554</w:t>
            </w:r>
          </w:p>
        </w:tc>
      </w:tr>
      <w:tr>
        <w:tc>
          <w:tcPr/>
          <w:p>
            <w:pPr>
              <w:pStyle w:val="Compact"/>
              <w:jc w:val="left"/>
            </w:pPr>
            <w:r>
              <w:t xml:space="preserve">Valor del patrimonio con todas las sinergias</w:t>
            </w:r>
          </w:p>
        </w:tc>
        <w:tc>
          <w:tcPr/>
          <w:p>
            <w:pPr>
              <w:pStyle w:val="Compact"/>
              <w:jc w:val="right"/>
            </w:pPr>
            <w:r>
              <w:t xml:space="preserve">8.963</w:t>
            </w:r>
          </w:p>
        </w:tc>
      </w:tr>
    </w:tbl>
    <w:p>
      <w:pPr>
        <w:pStyle w:val="BodyText"/>
      </w:pPr>
      <w:r>
        <w:t xml:space="preserve">Por qué:</w:t>
      </w:r>
    </w:p>
    <w:p>
      <w:pPr>
        <w:numPr>
          <w:ilvl w:val="0"/>
          <w:numId w:val="1001"/>
        </w:numPr>
        <w:pStyle w:val="Compact"/>
      </w:pPr>
      <w:r>
        <w:rPr>
          <w:bCs/>
          <w:b/>
        </w:rPr>
        <w:t xml:space="preserve">El valor independiente es US$6.758 millones</w:t>
      </w:r>
      <w:r>
        <w:t xml:space="preserve">, unas 5,9 veces el EBITDA de 2007. Se calcula con el método de valor presente ajustado (APV), que es la práctica de ACC. Los flujos se descuentan a Ku = 8,23% y el valor terminal usa un CPPC de 7,62% con crecimiento de 2,78%.</w:t>
      </w:r>
    </w:p>
    <w:p>
      <w:pPr>
        <w:numPr>
          <w:ilvl w:val="0"/>
          <w:numId w:val="1001"/>
        </w:numPr>
        <w:pStyle w:val="Compact"/>
      </w:pPr>
      <w:r>
        <w:rPr>
          <w:bCs/>
          <w:b/>
        </w:rPr>
        <w:t xml:space="preserve">La variable decisiva es el valor terminal</w:t>
      </w:r>
      <w:r>
        <w:t xml:space="preserve">, que pesa el 75% del valor. Si se usa el múltiplo mediano de los comparables (10,3 veces EBITDA), el patrimonio sube a 13.867. Pero ese múltiplo supone que ATC crece 6,6% al año para siempre, algo incompatible con su desventaja de costos.</w:t>
      </w:r>
    </w:p>
    <w:p>
      <w:pPr>
        <w:numPr>
          <w:ilvl w:val="0"/>
          <w:numId w:val="1001"/>
        </w:numPr>
        <w:pStyle w:val="Compact"/>
      </w:pPr>
      <w:r>
        <w:rPr>
          <w:bCs/>
          <w:b/>
        </w:rPr>
        <w:t xml:space="preserve">El precio máximo paga el valor independiente más el 100% de las sinergias de backhaul</w:t>
      </w:r>
      <w:r>
        <w:t xml:space="preserve">, una prima de 9,6%. No paga las sinergias de ingresos, que son el 70% del valor de sinergias y no tienen margen documentado en el caso. Si se pagaran todas las sinergias (8.963) y solo se realizara la mitad, ACC recibiría 7.861.</w:t>
      </w:r>
    </w:p>
    <w:p>
      <w:pPr>
        <w:numPr>
          <w:ilvl w:val="0"/>
          <w:numId w:val="1001"/>
        </w:numPr>
        <w:pStyle w:val="Compact"/>
      </w:pPr>
      <w:r>
        <w:rPr>
          <w:bCs/>
          <w:b/>
        </w:rPr>
        <w:t xml:space="preserve">La deuda planteada por R&amp;R es alta.</w:t>
      </w:r>
      <w:r>
        <w:t xml:space="preserve"> </w:t>
      </w:r>
      <w:r>
        <w:t xml:space="preserve">Los 3.758 de deuda equivalen al 62% del valor de las operaciones, por encima del límite de 50%; sobre el valor total de la empresa son el 47%. Además, el flujo de ATC no alcanza para la amortización: a 2012 se necesitan 563 de línea de crédito. ACC debe comprometer esa financiación como condición de la compra.</w:t>
      </w:r>
    </w:p>
    <w:bookmarkEnd w:id="20"/>
    <w:bookmarkStart w:id="21" w:name="tipo-de-caso-y-alcance"/>
    <w:p>
      <w:pPr>
        <w:pStyle w:val="Heading1"/>
      </w:pPr>
      <w:r>
        <w:t xml:space="preserve">1. Tipo de caso y alcance</w:t>
      </w:r>
    </w:p>
    <w:p>
      <w:pPr>
        <w:numPr>
          <w:ilvl w:val="0"/>
          <w:numId w:val="1002"/>
        </w:numPr>
        <w:pStyle w:val="Compact"/>
      </w:pPr>
      <w:r>
        <w:rPr>
          <w:bCs/>
          <w:b/>
        </w:rPr>
        <w:t xml:space="preserve">Tipo:</w:t>
      </w:r>
      <w:r>
        <w:t xml:space="preserve"> </w:t>
      </w:r>
      <w:r>
        <w:t xml:space="preserve">valoración de una adquisición (con costo de capital y estructura de financiación apalancada).</w:t>
      </w:r>
    </w:p>
    <w:p>
      <w:pPr>
        <w:numPr>
          <w:ilvl w:val="0"/>
          <w:numId w:val="1002"/>
        </w:numPr>
        <w:pStyle w:val="Compact"/>
      </w:pPr>
      <w:r>
        <w:rPr>
          <w:bCs/>
          <w:b/>
        </w:rPr>
        <w:t xml:space="preserve">Decisión:</w:t>
      </w:r>
      <w:r>
        <w:t xml:space="preserve"> </w:t>
      </w:r>
      <w:r>
        <w:t xml:space="preserve">si ACC compra ATC y a qué precio máximo, usando el método de ACC (APV con deuda que se amortiza hasta niveles de la industria).</w:t>
      </w:r>
    </w:p>
    <w:p>
      <w:pPr>
        <w:numPr>
          <w:ilvl w:val="0"/>
          <w:numId w:val="1002"/>
        </w:numPr>
        <w:pStyle w:val="Compact"/>
      </w:pPr>
      <w:r>
        <w:rPr>
          <w:bCs/>
          <w:b/>
        </w:rPr>
        <w:t xml:space="preserve">Módulos aplicados:</w:t>
      </w:r>
      <w:r>
        <w:t xml:space="preserve"> </w:t>
      </w:r>
      <w:r>
        <w:t xml:space="preserve">lectura y verificación de datos (1), costo de capital y valoración (4), problemas y alternativas (5), proyección (6), recomendación como negociación (7), verificación (8) y preparación para clase (10).</w:t>
      </w:r>
    </w:p>
    <w:p>
      <w:pPr>
        <w:numPr>
          <w:ilvl w:val="0"/>
          <w:numId w:val="1002"/>
        </w:numPr>
        <w:pStyle w:val="Compact"/>
      </w:pPr>
      <w:r>
        <w:rPr>
          <w:bCs/>
          <w:b/>
        </w:rPr>
        <w:t xml:space="preserve">Módulos abreviados:</w:t>
      </w:r>
      <w:r>
        <w:t xml:space="preserve"> </w:t>
      </w:r>
      <w:r>
        <w:t xml:space="preserve">indicadores (2) y flujo histórico (3). No es un caso de capital de trabajo; se usan solo para validar los supuestos de la proyección y entender la posición competitiva de ATC.</w:t>
      </w:r>
    </w:p>
    <w:p>
      <w:pPr>
        <w:numPr>
          <w:ilvl w:val="0"/>
          <w:numId w:val="1002"/>
        </w:numPr>
        <w:pStyle w:val="Compact"/>
      </w:pPr>
      <w:r>
        <w:rPr>
          <w:bCs/>
          <w:b/>
        </w:rPr>
        <w:t xml:space="preserve">Modelo previo:</w:t>
      </w:r>
      <w:r>
        <w:t xml:space="preserve"> </w:t>
      </w:r>
      <w:r>
        <w:t xml:space="preserve">no se recibió un modelo ni un borrador propio. El Excel del caso solo contiene los anexos; sus problemas se listan en la sección 2.3 con celda y corrección.</w:t>
      </w:r>
    </w:p>
    <w:bookmarkEnd w:id="21"/>
    <w:bookmarkStart w:id="25" w:name="X29127bfc5ffd0d6bca6ef94f8a655fb6857dda0"/>
    <w:p>
      <w:pPr>
        <w:pStyle w:val="Heading1"/>
      </w:pPr>
      <w:r>
        <w:t xml:space="preserve">2. Datos: qué dice el caso, qué cuadra y qué falta</w:t>
      </w:r>
    </w:p>
    <w:bookmarkStart w:id="22" w:name="hechos-datos-históricos-y-supuestos"/>
    <w:p>
      <w:pPr>
        <w:pStyle w:val="Heading2"/>
      </w:pPr>
      <w:r>
        <w:t xml:space="preserve">2.1 Hechos, datos históricos y supuestos</w:t>
      </w:r>
    </w:p>
    <w:tbl>
      <w:tblPr>
        <w:tblStyle w:val="Table"/>
        <w:tblW w:type="pct" w:w="5000"/>
        <w:tblLook w:firstRow="1" w:lastRow="0" w:firstColumn="0" w:lastColumn="0" w:noHBand="0" w:noVBand="0" w:val="0020"/>
        <w:jc w:val="start"/>
      </w:tblPr>
      <w:tblGrid>
        <w:gridCol w:w="1440"/>
        <w:gridCol w:w="6480"/>
      </w:tblGrid>
      <w:tr>
        <w:trPr>
          <w:tblHeader w:val="true"/>
        </w:trPr>
        <w:tc>
          <w:tcPr/>
          <w:p>
            <w:pPr>
              <w:pStyle w:val="Compact"/>
              <w:jc w:val="left"/>
            </w:pPr>
            <w:r>
              <w:t xml:space="preserve">Tipo</w:t>
            </w:r>
          </w:p>
        </w:tc>
        <w:tc>
          <w:tcPr/>
          <w:p>
            <w:pPr>
              <w:pStyle w:val="Compact"/>
              <w:jc w:val="left"/>
            </w:pPr>
            <w:r>
              <w:t xml:space="preserve">Ejemplos</w:t>
            </w:r>
          </w:p>
        </w:tc>
      </w:tr>
      <w:tr>
        <w:tc>
          <w:tcPr/>
          <w:p>
            <w:pPr>
              <w:pStyle w:val="Compact"/>
              <w:jc w:val="left"/>
            </w:pPr>
            <w:r>
              <w:t xml:space="preserve">Lo que afirma el caso</w:t>
            </w:r>
          </w:p>
        </w:tc>
        <w:tc>
          <w:tcPr/>
          <w:p>
            <w:pPr>
              <w:pStyle w:val="Compact"/>
              <w:jc w:val="left"/>
            </w:pPr>
            <w:r>
              <w:t xml:space="preserve">Kd = 5,50% (BBB+, 1,25% sobre el Tesoro a 10 años); PRM 5%; cobertura EBITDA/intereses ≥ 5,0x y D/V ≤ 50% (propuesta de R&amp;R, no acordada con nadie); deuda a 10 años con pago bullet en el año 5; P/U histórico de la industria 19,095x; costo de salir a bolsa 10% del patrimonio; descuentos por iliquidez de 20%-30% (práctica; punto medio 25%) y 35% (académicos).</w:t>
            </w:r>
          </w:p>
        </w:tc>
      </w:tr>
      <w:tr>
        <w:tc>
          <w:tcPr/>
          <w:p>
            <w:pPr>
              <w:pStyle w:val="Compact"/>
              <w:jc w:val="left"/>
            </w:pPr>
            <w:r>
              <w:t xml:space="preserve">Datos históricos 2005-2007</w:t>
            </w:r>
          </w:p>
        </w:tc>
        <w:tc>
          <w:tcPr/>
          <w:p>
            <w:pPr>
              <w:pStyle w:val="Compact"/>
              <w:jc w:val="left"/>
            </w:pPr>
            <w:r>
              <w:t xml:space="preserve">Anexos 2 a 5 (clientes, resultados, balance) y Anexo 7 (comparables, promedios de tres años).</w:t>
            </w:r>
          </w:p>
        </w:tc>
      </w:tr>
      <w:tr>
        <w:tc>
          <w:tcPr/>
          <w:p>
            <w:pPr>
              <w:pStyle w:val="Compact"/>
              <w:jc w:val="left"/>
            </w:pPr>
            <w:r>
              <w:t xml:space="preserve">Proyecciones del caso</w:t>
            </w:r>
          </w:p>
        </w:tc>
        <w:tc>
          <w:tcPr/>
          <w:p>
            <w:pPr>
              <w:pStyle w:val="Compact"/>
              <w:jc w:val="left"/>
            </w:pPr>
            <w:r>
              <w:t xml:space="preserve">Anexo 1 (2008-2012) y Tablas 4 y 5 (sinergias). Son estimaciones de Jennifer Zhang, no hechos.</w:t>
            </w:r>
          </w:p>
        </w:tc>
      </w:tr>
      <w:tr>
        <w:tc>
          <w:tcPr/>
          <w:p>
            <w:pPr>
              <w:pStyle w:val="Compact"/>
              <w:jc w:val="left"/>
            </w:pPr>
            <w:r>
              <w:t xml:space="preserve">Supuestos propios</w:t>
            </w:r>
          </w:p>
        </w:tc>
        <w:tc>
          <w:tcPr/>
          <w:p>
            <w:pPr>
              <w:pStyle w:val="Compact"/>
              <w:jc w:val="left"/>
            </w:pPr>
            <w:r>
              <w:t xml:space="preserve">Beta de la deuda, método del valor terminal, margen de las sinergias de ingresos, escenarios de riesgo, tratamiento del interés minoritario y cifras del proforma. Están marcados en el Excel (hoja Supuestos, columna I).</w:t>
            </w:r>
          </w:p>
        </w:tc>
      </w:tr>
    </w:tbl>
    <w:bookmarkEnd w:id="22"/>
    <w:bookmarkStart w:id="23" w:name="consistencia-de-los-anexos"/>
    <w:p>
      <w:pPr>
        <w:pStyle w:val="Heading2"/>
      </w:pPr>
      <w:r>
        <w:t xml:space="preserve">2.2 Consistencia de los anexos</w:t>
      </w:r>
    </w:p>
    <w:p>
      <w:pPr>
        <w:pStyle w:val="FirstParagraph"/>
      </w:pPr>
      <w:r>
        <w:rPr>
          <w:bCs/>
          <w:b/>
        </w:rPr>
        <w:t xml:space="preserve">Cuadra:</w:t>
      </w:r>
    </w:p>
    <w:p>
      <w:pPr>
        <w:numPr>
          <w:ilvl w:val="0"/>
          <w:numId w:val="1003"/>
        </w:numPr>
        <w:pStyle w:val="Compact"/>
      </w:pPr>
      <w:r>
        <w:t xml:space="preserve">Estado de resultados: los subtotales recalculados coinciden con los publicados (diferencia máxima 0,049, por redondeo).</w:t>
      </w:r>
    </w:p>
    <w:p>
      <w:pPr>
        <w:numPr>
          <w:ilvl w:val="0"/>
          <w:numId w:val="1003"/>
        </w:numPr>
        <w:pStyle w:val="Compact"/>
      </w:pPr>
      <w:r>
        <w:t xml:space="preserve">Balance: cuadra los tres años (diferencia 0,000) y los totales coinciden con los publicados (diferencia máxima 0,047).</w:t>
      </w:r>
    </w:p>
    <w:p>
      <w:pPr>
        <w:numPr>
          <w:ilvl w:val="0"/>
          <w:numId w:val="1003"/>
        </w:numPr>
        <w:pStyle w:val="Compact"/>
      </w:pPr>
      <w:r>
        <w:t xml:space="preserve">Tabla 3: los márgenes recalculados coinciden (diferencia máxima 0,05%).</w:t>
      </w:r>
    </w:p>
    <w:p>
      <w:pPr>
        <w:numPr>
          <w:ilvl w:val="0"/>
          <w:numId w:val="1003"/>
        </w:numPr>
        <w:pStyle w:val="Compact"/>
      </w:pPr>
      <w:r>
        <w:t xml:space="preserve">Tabla 2: el ROE coincide (9,8% en 2007).</w:t>
      </w:r>
    </w:p>
    <w:p>
      <w:pPr>
        <w:numPr>
          <w:ilvl w:val="0"/>
          <w:numId w:val="1003"/>
        </w:numPr>
        <w:pStyle w:val="Compact"/>
      </w:pPr>
      <w:r>
        <w:t xml:space="preserve">Anexos 2, 3, 6 y 7: cuadran sus totales, penetraciones, costo de clientes nuevos y D/V. Los saldos de la deuda difieren a lo sumo en 0,38 por redondeo.</w:t>
      </w:r>
    </w:p>
    <w:p>
      <w:pPr>
        <w:numPr>
          <w:ilvl w:val="0"/>
          <w:numId w:val="1003"/>
        </w:numPr>
        <w:pStyle w:val="Compact"/>
      </w:pPr>
      <w:r>
        <w:t xml:space="preserve">Anexo 1: sus razones son exactamente los promedios 2005-2007. Por ejemplo, días de cartera 41,67, días de inventario 154,36 y equipos/servicios 7,50%.</w:t>
      </w:r>
    </w:p>
    <w:p>
      <w:pPr>
        <w:pStyle w:val="FirstParagraph"/>
      </w:pPr>
      <w:r>
        <w:rPr>
          <w:bCs/>
          <w:b/>
        </w:rPr>
        <w:t xml:space="preserve">No cuadra o es ambiguo:</w:t>
      </w:r>
    </w:p>
    <w:p>
      <w:pPr>
        <w:numPr>
          <w:ilvl w:val="0"/>
          <w:numId w:val="1004"/>
        </w:numPr>
        <w:pStyle w:val="Compact"/>
      </w:pPr>
      <w:r>
        <w:rPr>
          <w:bCs/>
          <w:b/>
        </w:rPr>
        <w:t xml:space="preserve">Utilidades retenidas.</w:t>
      </w:r>
      <w:r>
        <w:t xml:space="preserve"> </w:t>
      </w:r>
      <w:r>
        <w:t xml:space="preserve">El componente de utilidades retenidas cuadra con la utilidad neta en 2006 (diferencia 0,0). En 2007 faltan 40,2 que el caso no explica (¿dividendos?). La línea publicada mezcla otros componentes (probablemente otro resultado integral): su variación menos la utilidad neta da 68,9 en 2006 y −137,1 en 2007.</w:t>
      </w:r>
    </w:p>
    <w:p>
      <w:pPr>
        <w:numPr>
          <w:ilvl w:val="0"/>
          <w:numId w:val="1004"/>
        </w:numPr>
        <w:pStyle w:val="Compact"/>
      </w:pPr>
      <w:r>
        <w:rPr>
          <w:bCs/>
          <w:b/>
        </w:rPr>
        <w:t xml:space="preserve">Anexo 1, nota a.</w:t>
      </w:r>
      <w:r>
        <w:t xml:space="preserve"> </w:t>
      </w:r>
      <w:r>
        <w:t xml:space="preserve">Dice que los días de ingresos diferidos se calculan sobre costos operativos en efectivo, pero el 14,01 solo se replica sobre ingresos por servicios (14,01). El 1,38% de prepagados no dice su base: cuadra con costos operativos en efectivo (1,38%). Los días de inventario se calculan sobre ingresos de equipos, no sobre su costo.</w:t>
      </w:r>
    </w:p>
    <w:p>
      <w:pPr>
        <w:numPr>
          <w:ilvl w:val="0"/>
          <w:numId w:val="1004"/>
        </w:numPr>
        <w:pStyle w:val="Compact"/>
      </w:pPr>
      <w:r>
        <w:rPr>
          <w:bCs/>
          <w:b/>
        </w:rPr>
        <w:t xml:space="preserve">Tabla 2.</w:t>
      </w:r>
      <w:r>
        <w:t xml:space="preserve"> </w:t>
      </w:r>
      <w:r>
        <w:t xml:space="preserve">El rendimiento sobre activos operativos netos y la rotación no se pueden replicar porque el caso no define la base. La base implícita es 3.817 en 2007, frente a un activo fijo neto de 4.093.</w:t>
      </w:r>
    </w:p>
    <w:p>
      <w:pPr>
        <w:numPr>
          <w:ilvl w:val="0"/>
          <w:numId w:val="1004"/>
        </w:numPr>
        <w:pStyle w:val="Compact"/>
      </w:pPr>
      <w:r>
        <w:rPr>
          <w:bCs/>
          <w:b/>
        </w:rPr>
        <w:t xml:space="preserve">Anexo 7.</w:t>
      </w:r>
      <w:r>
        <w:t xml:space="preserve"> </w:t>
      </w:r>
      <w:r>
        <w:t xml:space="preserve">El D/P promedio publicado (40,1%) es el promedio de las razones. No corresponde al D/V promedio (28,1%), que implica un D/P de 39,1%. Las unidades dicen</w:t>
      </w:r>
      <w:r>
        <w:t xml:space="preserve"> </w:t>
      </w:r>
      <w:r>
        <w:t xml:space="preserve">“</w:t>
      </w:r>
      <w:r>
        <w:t xml:space="preserve">miles de US$</w:t>
      </w:r>
      <w:r>
        <w:t xml:space="preserve">”</w:t>
      </w:r>
      <w:r>
        <w:t xml:space="preserve">, pero por magnitud parecen millones. Los múltiplos VE/EBITDA van de 2,6x a 19,1x.</w:t>
      </w:r>
    </w:p>
    <w:p>
      <w:pPr>
        <w:numPr>
          <w:ilvl w:val="0"/>
          <w:numId w:val="1004"/>
        </w:numPr>
        <w:pStyle w:val="Compact"/>
      </w:pPr>
      <w:r>
        <w:rPr>
          <w:bCs/>
          <w:b/>
        </w:rPr>
        <w:t xml:space="preserve">Anexo 6.</w:t>
      </w:r>
      <w:r>
        <w:t xml:space="preserve"> </w:t>
      </w:r>
      <w:r>
        <w:t xml:space="preserve">En el mes 41 el anexo indica 84 períodos restantes, cuando deberían ser 79 (no afecta la cuota). El último pago (2.176) junta la cuota del mes 60 con el saldo bullet.</w:t>
      </w:r>
    </w:p>
    <w:p>
      <w:pPr>
        <w:numPr>
          <w:ilvl w:val="0"/>
          <w:numId w:val="1004"/>
        </w:numPr>
        <w:pStyle w:val="Compact"/>
      </w:pPr>
      <w:r>
        <w:rPr>
          <w:bCs/>
          <w:b/>
        </w:rPr>
        <w:t xml:space="preserve">Texto del caso.</w:t>
      </w:r>
      <w:r>
        <w:t xml:space="preserve"> </w:t>
      </w:r>
      <w:r>
        <w:t xml:space="preserve">Cita una utilidad operativa de</w:t>
      </w:r>
      <w:r>
        <w:t xml:space="preserve"> </w:t>
      </w:r>
      <w:r>
        <w:t xml:space="preserve">“</w:t>
      </w:r>
      <w:r>
        <w:t xml:space="preserve">aproximadamente US$400 millones</w:t>
      </w:r>
      <w:r>
        <w:t xml:space="preserve">”</w:t>
      </w:r>
      <w:r>
        <w:t xml:space="preserve"> </w:t>
      </w:r>
      <w:r>
        <w:t xml:space="preserve">para 2007; el Anexo 4 da 451.</w:t>
      </w:r>
    </w:p>
    <w:p>
      <w:pPr>
        <w:pStyle w:val="FirstParagraph"/>
      </w:pPr>
      <w:r>
        <w:rPr>
          <w:bCs/>
          <w:b/>
        </w:rPr>
        <w:t xml:space="preserve">Faltan:</w:t>
      </w:r>
      <w:r>
        <w:t xml:space="preserve"> </w:t>
      </w:r>
      <w:r>
        <w:t xml:space="preserve">capex histórico (se dedujo del balance: 742 en 2006 y 526 en 2007), dividendos, margen de las sinergias de ingresos (la Tabla 5 dice</w:t>
      </w:r>
      <w:r>
        <w:t xml:space="preserve"> </w:t>
      </w:r>
      <w:r>
        <w:t xml:space="preserve">“</w:t>
      </w:r>
      <w:r>
        <w:t xml:space="preserve">utilidad bruta</w:t>
      </w:r>
      <w:r>
        <w:t xml:space="preserve">”</w:t>
      </w:r>
      <w:r>
        <w:t xml:space="preserve"> </w:t>
      </w:r>
      <w:r>
        <w:t xml:space="preserve">pero solo muestra ingresos), costos de integración, inflación esperada, tasa libre de riesgo a 20-30 años, primas por tamaño, valor de mercado de ATC y precio pedido por los vendedores, y detalle de afiliadas e interés minoritario.</w:t>
      </w:r>
    </w:p>
    <w:p>
      <w:pPr>
        <w:pStyle w:val="BodyText"/>
      </w:pPr>
      <w:r>
        <w:rPr>
          <w:bCs/>
          <w:b/>
        </w:rPr>
        <w:t xml:space="preserve">Datos en imágenes:</w:t>
      </w:r>
      <w:r>
        <w:t xml:space="preserve"> </w:t>
      </w:r>
      <w:r>
        <w:t xml:space="preserve">el Anexo 8 es un gráfico. Su eje llega a US$1.000 millones de ingresos, donde el descuento para una empresa rentable se lee en ≈ 15,7%. Es una lectura aproximada: ATC (US$3.946 millones de ingresos) queda fuera del rango del gráfico. La tabla del Anexo 7 también es una imagen en el PDF, pero sus datos están en el Excel del caso.</w:t>
      </w:r>
    </w:p>
    <w:bookmarkEnd w:id="23"/>
    <w:bookmarkStart w:id="24" w:name="X03e05c2cd639c32f1bf7e4130ea0b880c632119"/>
    <w:p>
      <w:pPr>
        <w:pStyle w:val="Heading2"/>
      </w:pPr>
      <w:r>
        <w:t xml:space="preserve">2.3 Problemas del Excel del caso (celda → corrección)</w:t>
      </w:r>
    </w:p>
    <w:tbl>
      <w:tblPr>
        <w:tblStyle w:val="Table"/>
        <w:tblW w:type="pct" w:w="5000"/>
        <w:tblLook w:firstRow="1" w:lastRow="0" w:firstColumn="0" w:lastColumn="0" w:noHBand="0" w:noVBand="0" w:val="0020"/>
        <w:jc w:val="start"/>
      </w:tblPr>
      <w:tblGrid>
        <w:gridCol w:w="1440"/>
        <w:gridCol w:w="4320"/>
        <w:gridCol w:w="2160"/>
      </w:tblGrid>
      <w:tr>
        <w:trPr>
          <w:tblHeader w:val="true"/>
        </w:trPr>
        <w:tc>
          <w:tcPr/>
          <w:p>
            <w:pPr>
              <w:pStyle w:val="Compact"/>
              <w:jc w:val="left"/>
            </w:pPr>
            <w:r>
              <w:t xml:space="preserve">Celda</w:t>
            </w:r>
          </w:p>
        </w:tc>
        <w:tc>
          <w:tcPr/>
          <w:p>
            <w:pPr>
              <w:pStyle w:val="Compact"/>
              <w:jc w:val="left"/>
            </w:pPr>
            <w:r>
              <w:t xml:space="preserve">Problema</w:t>
            </w:r>
          </w:p>
        </w:tc>
        <w:tc>
          <w:tcPr/>
          <w:p>
            <w:pPr>
              <w:pStyle w:val="Compact"/>
              <w:jc w:val="left"/>
            </w:pPr>
            <w:r>
              <w:t xml:space="preserve">Corrección aplicada</w:t>
            </w:r>
          </w:p>
        </w:tc>
      </w:tr>
      <w:tr>
        <w:tc>
          <w:tcPr/>
          <w:p>
            <w:pPr>
              <w:pStyle w:val="Compact"/>
              <w:jc w:val="left"/>
            </w:pPr>
            <w:r>
              <w:t xml:space="preserve">‘</w:t>
            </w:r>
            <w:r>
              <w:t xml:space="preserve">Exhibit 5</w:t>
            </w:r>
            <w:r>
              <w:t xml:space="preserve">’</w:t>
            </w:r>
            <w:r>
              <w:t xml:space="preserve">!E90:G100</w:t>
            </w:r>
          </w:p>
        </w:tc>
        <w:tc>
          <w:tcPr/>
          <w:p>
            <w:pPr>
              <w:pStyle w:val="Compact"/>
              <w:jc w:val="left"/>
            </w:pPr>
            <w:r>
              <w:t xml:space="preserve">Valores escondidos dentro de fórmulas con un multiplicador (</w:t>
            </w:r>
            <w:r>
              <w:rPr>
                <w:rStyle w:val="VerbatimChar"/>
              </w:rPr>
              <w:t xml:space="preserve">=atc_size*1001.385</w:t>
            </w:r>
            <w:r>
              <w:t xml:space="preserve">); capital y utilidades retenidas como sumas dentro de la fórmula (</w:t>
            </w:r>
            <w:r>
              <w:rPr>
                <w:rStyle w:val="VerbatimChar"/>
              </w:rPr>
              <w:t xml:space="preserve">=atc_size*(1368.988+44.122-47.088)</w:t>
            </w:r>
            <w:r>
              <w:t xml:space="preserve">).</w:t>
            </w:r>
          </w:p>
        </w:tc>
        <w:tc>
          <w:tcPr/>
          <w:p>
            <w:pPr>
              <w:pStyle w:val="Compact"/>
              <w:jc w:val="left"/>
            </w:pPr>
            <w:r>
              <w:t xml:space="preserve">Cada componente en su propia celda (Historicos, filas 69-76).</w:t>
            </w:r>
          </w:p>
        </w:tc>
      </w:tr>
      <w:tr>
        <w:tc>
          <w:tcPr/>
          <w:p>
            <w:pPr>
              <w:pStyle w:val="Compact"/>
              <w:jc w:val="left"/>
            </w:pPr>
            <w:r>
              <w:t xml:space="preserve">Nombres</w:t>
            </w:r>
            <w:r>
              <w:t xml:space="preserve"> </w:t>
            </w:r>
            <w:r>
              <w:rPr>
                <w:rStyle w:val="VerbatimChar"/>
              </w:rPr>
              <w:t xml:space="preserve">acc_size</w:t>
            </w:r>
            <w:r>
              <w:t xml:space="preserve">,</w:t>
            </w:r>
            <w:r>
              <w:t xml:space="preserve"> </w:t>
            </w:r>
            <w:r>
              <w:rPr>
                <w:rStyle w:val="VerbatimChar"/>
              </w:rPr>
              <w:t xml:space="preserve">atc_backhaul_cost</w:t>
            </w:r>
            <w:r>
              <w:t xml:space="preserve">,</w:t>
            </w:r>
            <w:r>
              <w:t xml:space="preserve"> </w:t>
            </w:r>
            <w:r>
              <w:rPr>
                <w:rStyle w:val="VerbatimChar"/>
              </w:rPr>
              <w:t xml:space="preserve">atc_proj_*</w:t>
            </w:r>
            <w:r>
              <w:t xml:space="preserve">,</w:t>
            </w:r>
            <w:r>
              <w:t xml:space="preserve"> </w:t>
            </w:r>
            <w:r>
              <w:rPr>
                <w:rStyle w:val="VerbatimChar"/>
              </w:rPr>
              <w:t xml:space="preserve">atc_rev_synergy</w:t>
            </w:r>
          </w:p>
        </w:tc>
        <w:tc>
          <w:tcPr/>
          <w:p>
            <w:pPr>
              <w:pStyle w:val="Compact"/>
              <w:jc w:val="left"/>
            </w:pPr>
            <w:r>
              <w:t xml:space="preserve">Apuntan a</w:t>
            </w:r>
            <w:r>
              <w:t xml:space="preserve"> </w:t>
            </w:r>
            <w:r>
              <w:rPr>
                <w:rStyle w:val="VerbatimChar"/>
              </w:rPr>
              <w:t xml:space="preserve">#REF!</w:t>
            </w:r>
            <w:r>
              <w:t xml:space="preserve">.</w:t>
            </w:r>
          </w:p>
        </w:tc>
        <w:tc>
          <w:tcPr/>
          <w:p>
            <w:pPr>
              <w:pStyle w:val="Compact"/>
              <w:jc w:val="left"/>
            </w:pPr>
            <w:r>
              <w:t xml:space="preserve">No se usan.</w:t>
            </w:r>
          </w:p>
        </w:tc>
      </w:tr>
      <w:tr>
        <w:tc>
          <w:tcPr/>
          <w:p>
            <w:pPr>
              <w:pStyle w:val="Compact"/>
              <w:jc w:val="left"/>
            </w:pPr>
            <w:r>
              <w:t xml:space="preserve">Nombres</w:t>
            </w:r>
            <w:r>
              <w:t xml:space="preserve"> </w:t>
            </w:r>
            <w:r>
              <w:rPr>
                <w:rStyle w:val="VerbatimChar"/>
              </w:rPr>
              <w:t xml:space="preserve">case</w:t>
            </w:r>
            <w:r>
              <w:t xml:space="preserve">,</w:t>
            </w:r>
            <w:r>
              <w:t xml:space="preserve"> </w:t>
            </w:r>
            <w:r>
              <w:rPr>
                <w:rStyle w:val="VerbatimChar"/>
              </w:rPr>
              <w:t xml:space="preserve">libor</w:t>
            </w:r>
            <w:r>
              <w:t xml:space="preserve">,</w:t>
            </w:r>
            <w:r>
              <w:t xml:space="preserve"> </w:t>
            </w:r>
            <w:r>
              <w:rPr>
                <w:rStyle w:val="VerbatimChar"/>
              </w:rPr>
              <w:t xml:space="preserve">revolver</w:t>
            </w:r>
            <w:r>
              <w:t xml:space="preserve">,</w:t>
            </w:r>
            <w:r>
              <w:t xml:space="preserve"> </w:t>
            </w:r>
            <w:r>
              <w:rPr>
                <w:rStyle w:val="VerbatimChar"/>
              </w:rPr>
              <w:t xml:space="preserve">term_a</w:t>
            </w:r>
            <w:r>
              <w:t xml:space="preserve">,</w:t>
            </w:r>
            <w:r>
              <w:t xml:space="preserve"> </w:t>
            </w:r>
            <w:r>
              <w:rPr>
                <w:rStyle w:val="VerbatimChar"/>
              </w:rPr>
              <w:t xml:space="preserve">term_b</w:t>
            </w:r>
            <w:r>
              <w:t xml:space="preserve">,</w:t>
            </w:r>
            <w:r>
              <w:t xml:space="preserve"> </w:t>
            </w:r>
            <w:r>
              <w:rPr>
                <w:rStyle w:val="VerbatimChar"/>
              </w:rPr>
              <w:t xml:space="preserve">trans_mult</w:t>
            </w:r>
          </w:p>
        </w:tc>
        <w:tc>
          <w:tcPr/>
          <w:p>
            <w:pPr>
              <w:pStyle w:val="Compact"/>
              <w:jc w:val="left"/>
            </w:pPr>
            <w:r>
              <w:t xml:space="preserve">Vínculos a otro archivo (</w:t>
            </w:r>
            <w:r>
              <w:rPr>
                <w:rStyle w:val="VerbatimChar"/>
              </w:rPr>
              <w:t xml:space="preserve">[1]Assumptions</w:t>
            </w:r>
            <w:r>
              <w:t xml:space="preserve">).</w:t>
            </w:r>
          </w:p>
        </w:tc>
        <w:tc>
          <w:tcPr/>
          <w:p>
            <w:pPr>
              <w:pStyle w:val="Compact"/>
              <w:jc w:val="left"/>
            </w:pPr>
            <w:r>
              <w:t xml:space="preserve">No se usan; el modelo nuevo no tiene vínculos externos.</w:t>
            </w:r>
          </w:p>
        </w:tc>
      </w:tr>
      <w:tr>
        <w:tc>
          <w:tcPr/>
          <w:p>
            <w:pPr>
              <w:pStyle w:val="Compact"/>
              <w:jc w:val="left"/>
            </w:pPr>
            <w:r>
              <w:t xml:space="preserve">‘</w:t>
            </w:r>
            <w:r>
              <w:t xml:space="preserve">Exhibit 1</w:t>
            </w:r>
            <w:r>
              <w:t xml:space="preserve">’</w:t>
            </w:r>
            <w:r>
              <w:t xml:space="preserve">!A98:A99</w:t>
            </w:r>
          </w:p>
        </w:tc>
        <w:tc>
          <w:tcPr/>
          <w:p>
            <w:pPr>
              <w:pStyle w:val="Compact"/>
              <w:jc w:val="left"/>
            </w:pPr>
            <w:r>
              <w:t xml:space="preserve">La base de los ingresos diferidos no coincide con el cálculo.</w:t>
            </w:r>
          </w:p>
        </w:tc>
        <w:tc>
          <w:tcPr/>
          <w:p>
            <w:pPr>
              <w:pStyle w:val="Compact"/>
              <w:jc w:val="left"/>
            </w:pPr>
            <w:r>
              <w:t xml:space="preserve">Base documentada en Supuestos!I50.</w:t>
            </w:r>
          </w:p>
        </w:tc>
      </w:tr>
      <w:tr>
        <w:tc>
          <w:tcPr/>
          <w:p>
            <w:pPr>
              <w:pStyle w:val="Compact"/>
              <w:jc w:val="left"/>
            </w:pPr>
            <w:r>
              <w:t xml:space="preserve">‘</w:t>
            </w:r>
            <w:r>
              <w:t xml:space="preserve">Exhibit 6</w:t>
            </w:r>
            <w:r>
              <w:t xml:space="preserve">’</w:t>
            </w:r>
            <w:r>
              <w:t xml:space="preserve">!O59</w:t>
            </w:r>
          </w:p>
        </w:tc>
        <w:tc>
          <w:tcPr/>
          <w:p>
            <w:pPr>
              <w:pStyle w:val="Compact"/>
              <w:jc w:val="left"/>
            </w:pPr>
            <w:r>
              <w:t xml:space="preserve">84 períodos en lugar de 79.</w:t>
            </w:r>
          </w:p>
        </w:tc>
        <w:tc>
          <w:tcPr/>
          <w:p>
            <w:pPr>
              <w:pStyle w:val="Compact"/>
              <w:jc w:val="left"/>
            </w:pPr>
            <w:r>
              <w:t xml:space="preserve">Cronograma recalculado con fórmulas (hoja Deuda).</w:t>
            </w:r>
          </w:p>
        </w:tc>
      </w:tr>
      <w:tr>
        <w:tc>
          <w:tcPr/>
          <w:p>
            <w:pPr>
              <w:pStyle w:val="Compact"/>
              <w:jc w:val="left"/>
            </w:pPr>
            <w:r>
              <w:t xml:space="preserve">‘</w:t>
            </w:r>
            <w:r>
              <w:t xml:space="preserve">Exhibit 7</w:t>
            </w:r>
            <w:r>
              <w:t xml:space="preserve">’</w:t>
            </w:r>
            <w:r>
              <w:t xml:space="preserve">!I84</w:t>
            </w:r>
          </w:p>
        </w:tc>
        <w:tc>
          <w:tcPr/>
          <w:p>
            <w:pPr>
              <w:pStyle w:val="Compact"/>
              <w:jc w:val="left"/>
            </w:pPr>
            <w:r>
              <w:t xml:space="preserve">D/P promedio incoherente con el D/V promedio.</w:t>
            </w:r>
          </w:p>
        </w:tc>
        <w:tc>
          <w:tcPr/>
          <w:p>
            <w:pPr>
              <w:pStyle w:val="Compact"/>
              <w:jc w:val="left"/>
            </w:pPr>
            <w:r>
              <w:t xml:space="preserve">Se usa D/V; el D/P se deriva.</w:t>
            </w:r>
          </w:p>
        </w:tc>
      </w:tr>
      <w:tr>
        <w:tc>
          <w:tcPr/>
          <w:p>
            <w:pPr>
              <w:pStyle w:val="Compact"/>
              <w:jc w:val="left"/>
            </w:pPr>
            <w:r>
              <w:t xml:space="preserve">‘</w:t>
            </w:r>
            <w:r>
              <w:t xml:space="preserve">Exhibit 5</w:t>
            </w:r>
            <w:r>
              <w:t xml:space="preserve">’</w:t>
            </w:r>
            <w:r>
              <w:t xml:space="preserve">!A68,</w:t>
            </w:r>
            <w:r>
              <w:t xml:space="preserve"> </w:t>
            </w:r>
            <w:r>
              <w:t xml:space="preserve">‘</w:t>
            </w:r>
            <w:r>
              <w:t xml:space="preserve">Exhibit 7</w:t>
            </w:r>
            <w:r>
              <w:t xml:space="preserve">’</w:t>
            </w:r>
            <w:r>
              <w:t xml:space="preserve">!D86</w:t>
            </w:r>
          </w:p>
        </w:tc>
        <w:tc>
          <w:tcPr/>
          <w:p>
            <w:pPr>
              <w:pStyle w:val="Compact"/>
              <w:jc w:val="left"/>
            </w:pPr>
            <w:r>
              <w:t xml:space="preserve">Errores de redacción.</w:t>
            </w:r>
          </w:p>
        </w:tc>
        <w:tc>
          <w:tcPr/>
          <w:p>
            <w:pPr>
              <w:pStyle w:val="Compact"/>
              <w:jc w:val="left"/>
            </w:pPr>
            <w:r>
              <w:t xml:space="preserve">Sin efecto.</w:t>
            </w:r>
          </w:p>
        </w:tc>
      </w:tr>
    </w:tbl>
    <w:bookmarkEnd w:id="24"/>
    <w:bookmarkEnd w:id="25"/>
    <w:bookmarkStart w:id="26" w:name="situación-actual-indicadores-abreviados"/>
    <w:p>
      <w:pPr>
        <w:pStyle w:val="Heading1"/>
      </w:pPr>
      <w:r>
        <w:t xml:space="preserve">2.4 Situación actual (indicadores abreviados)</w:t>
      </w:r>
    </w:p>
    <w:tbl>
      <w:tblPr>
        <w:tblStyle w:val="Table"/>
        <w:tblW w:type="pct" w:w="5000"/>
        <w:tblLook w:firstRow="1" w:lastRow="0" w:firstColumn="0" w:lastColumn="0" w:noHBand="0" w:noVBand="0" w:val="0020"/>
        <w:jc w:val="start"/>
      </w:tblPr>
      <w:tblGrid>
        <w:gridCol w:w="1863"/>
        <w:gridCol w:w="698"/>
        <w:gridCol w:w="698"/>
        <w:gridCol w:w="698"/>
        <w:gridCol w:w="698"/>
        <w:gridCol w:w="3261"/>
      </w:tblGrid>
      <w:tr>
        <w:trPr>
          <w:tblHeader w:val="true"/>
        </w:trPr>
        <w:tc>
          <w:tcPr/>
          <w:p>
            <w:pPr>
              <w:pStyle w:val="Compact"/>
              <w:jc w:val="left"/>
            </w:pPr>
            <w:r>
              <w:t xml:space="preserve">Indicador</w:t>
            </w:r>
          </w:p>
        </w:tc>
        <w:tc>
          <w:tcPr/>
          <w:p>
            <w:pPr>
              <w:pStyle w:val="Compact"/>
              <w:jc w:val="right"/>
            </w:pPr>
            <w:r>
              <w:t xml:space="preserve">2005</w:t>
            </w:r>
          </w:p>
        </w:tc>
        <w:tc>
          <w:tcPr/>
          <w:p>
            <w:pPr>
              <w:pStyle w:val="Compact"/>
              <w:jc w:val="right"/>
            </w:pPr>
            <w:r>
              <w:t xml:space="preserve">2006</w:t>
            </w:r>
          </w:p>
        </w:tc>
        <w:tc>
          <w:tcPr/>
          <w:p>
            <w:pPr>
              <w:pStyle w:val="Compact"/>
              <w:jc w:val="right"/>
            </w:pPr>
            <w:r>
              <w:t xml:space="preserve">2007</w:t>
            </w:r>
          </w:p>
        </w:tc>
        <w:tc>
          <w:tcPr/>
          <w:p>
            <w:pPr>
              <w:pStyle w:val="Compact"/>
              <w:jc w:val="right"/>
            </w:pPr>
            <w:r>
              <w:t xml:space="preserve">Comparables</w:t>
            </w:r>
          </w:p>
        </w:tc>
        <w:tc>
          <w:tcPr/>
          <w:p>
            <w:pPr>
              <w:pStyle w:val="Compact"/>
              <w:jc w:val="left"/>
            </w:pPr>
            <w:r>
              <w:t xml:space="preserve">Comentario</w:t>
            </w:r>
          </w:p>
        </w:tc>
      </w:tr>
      <w:tr>
        <w:tc>
          <w:tcPr/>
          <w:p>
            <w:pPr>
              <w:pStyle w:val="Compact"/>
              <w:jc w:val="left"/>
            </w:pPr>
            <w:r>
              <w:t xml:space="preserve">Crecimiento de ingresos</w:t>
            </w:r>
          </w:p>
        </w:tc>
        <w:tc>
          <w:tcPr/>
          <w:p>
            <w:pPr>
              <w:pStyle w:val="Compact"/>
              <w:jc w:val="right"/>
            </w:pPr>
            <w:r>
              <w:t xml:space="preserve">—</w:t>
            </w:r>
          </w:p>
        </w:tc>
        <w:tc>
          <w:tcPr/>
          <w:p>
            <w:pPr>
              <w:pStyle w:val="Compact"/>
              <w:jc w:val="right"/>
            </w:pPr>
            <w:r>
              <w:t xml:space="preserve">14,6%</w:t>
            </w:r>
          </w:p>
        </w:tc>
        <w:tc>
          <w:tcPr/>
          <w:p>
            <w:pPr>
              <w:pStyle w:val="Compact"/>
              <w:jc w:val="right"/>
            </w:pPr>
            <w:r>
              <w:t xml:space="preserve">13,6%</w:t>
            </w:r>
          </w:p>
        </w:tc>
        <w:tc>
          <w:tcPr/>
          <w:p>
            <w:pPr>
              <w:pStyle w:val="Compact"/>
              <w:jc w:val="right"/>
            </w:pPr>
            <w:r>
              <w:t xml:space="preserve">n.d.</w:t>
            </w:r>
          </w:p>
        </w:tc>
        <w:tc>
          <w:tcPr/>
          <w:p>
            <w:pPr>
              <w:pStyle w:val="Compact"/>
              <w:jc w:val="left"/>
            </w:pPr>
            <w:r>
              <w:t xml:space="preserve">Crecimiento alto, impulsado por minutos (+22% en 2007), no por precio.</w:t>
            </w:r>
          </w:p>
        </w:tc>
      </w:tr>
      <w:tr>
        <w:tc>
          <w:tcPr/>
          <w:p>
            <w:pPr>
              <w:pStyle w:val="Compact"/>
              <w:jc w:val="left"/>
            </w:pPr>
            <w:r>
              <w:t xml:space="preserve">Margen EBITDA</w:t>
            </w:r>
          </w:p>
        </w:tc>
        <w:tc>
          <w:tcPr/>
          <w:p>
            <w:pPr>
              <w:pStyle w:val="Compact"/>
              <w:jc w:val="right"/>
            </w:pPr>
            <w:r>
              <w:t xml:space="preserve">23,0%</w:t>
            </w:r>
          </w:p>
        </w:tc>
        <w:tc>
          <w:tcPr/>
          <w:p>
            <w:pPr>
              <w:pStyle w:val="Compact"/>
              <w:jc w:val="right"/>
            </w:pPr>
            <w:r>
              <w:t xml:space="preserve">24,9%</w:t>
            </w:r>
          </w:p>
        </w:tc>
        <w:tc>
          <w:tcPr/>
          <w:p>
            <w:pPr>
              <w:pStyle w:val="Compact"/>
              <w:jc w:val="right"/>
            </w:pPr>
            <w:r>
              <w:t xml:space="preserve">26,2%</w:t>
            </w:r>
          </w:p>
        </w:tc>
        <w:tc>
          <w:tcPr/>
          <w:p>
            <w:pPr>
              <w:pStyle w:val="Compact"/>
              <w:jc w:val="right"/>
            </w:pPr>
            <w:r>
              <w:t xml:space="preserve">31,6%</w:t>
            </w:r>
          </w:p>
        </w:tc>
        <w:tc>
          <w:tcPr/>
          <w:p>
            <w:pPr>
              <w:pStyle w:val="Compact"/>
              <w:jc w:val="left"/>
            </w:pPr>
            <w:r>
              <w:t xml:space="preserve">Mejora, pero sigue bajo los rivales: backhaul ~20% más caro y sin paquetes.</w:t>
            </w:r>
            <w:r>
              <w:t xml:space="preserve"> </w:t>
            </w:r>
            <w:r>
              <w:rPr>
                <w:bCs/>
                <w:b/>
              </w:rPr>
              <w:t xml:space="preserve">Problema.</w:t>
            </w:r>
          </w:p>
        </w:tc>
      </w:tr>
      <w:tr>
        <w:tc>
          <w:tcPr/>
          <w:p>
            <w:pPr>
              <w:pStyle w:val="Compact"/>
              <w:jc w:val="left"/>
            </w:pPr>
            <w:r>
              <w:t xml:space="preserve">Margen EBIT</w:t>
            </w:r>
          </w:p>
        </w:tc>
        <w:tc>
          <w:tcPr/>
          <w:p>
            <w:pPr>
              <w:pStyle w:val="Compact"/>
              <w:jc w:val="right"/>
            </w:pPr>
            <w:r>
              <w:t xml:space="preserve">6,8%</w:t>
            </w:r>
          </w:p>
        </w:tc>
        <w:tc>
          <w:tcPr/>
          <w:p>
            <w:pPr>
              <w:pStyle w:val="Compact"/>
              <w:jc w:val="right"/>
            </w:pPr>
            <w:r>
              <w:t xml:space="preserve">8,9%</w:t>
            </w:r>
          </w:p>
        </w:tc>
        <w:tc>
          <w:tcPr/>
          <w:p>
            <w:pPr>
              <w:pStyle w:val="Compact"/>
              <w:jc w:val="right"/>
            </w:pPr>
            <w:r>
              <w:t xml:space="preserve">11,4%</w:t>
            </w:r>
          </w:p>
        </w:tc>
        <w:tc>
          <w:tcPr/>
          <w:p>
            <w:pPr>
              <w:pStyle w:val="Compact"/>
              <w:jc w:val="right"/>
            </w:pPr>
            <w:r>
              <w:t xml:space="preserve">15,6%</w:t>
            </w:r>
          </w:p>
        </w:tc>
        <w:tc>
          <w:tcPr/>
          <w:p>
            <w:pPr>
              <w:pStyle w:val="Compact"/>
              <w:jc w:val="left"/>
            </w:pPr>
            <w:r>
              <w:t xml:space="preserve">Mismo origen; la D&amp;A pesa 14,8% de los ingresos.</w:t>
            </w:r>
          </w:p>
        </w:tc>
      </w:tr>
      <w:tr>
        <w:tc>
          <w:tcPr/>
          <w:p>
            <w:pPr>
              <w:pStyle w:val="Compact"/>
              <w:jc w:val="left"/>
            </w:pPr>
            <w:r>
              <w:t xml:space="preserve">Margen neto</w:t>
            </w:r>
          </w:p>
        </w:tc>
        <w:tc>
          <w:tcPr/>
          <w:p>
            <w:pPr>
              <w:pStyle w:val="Compact"/>
              <w:jc w:val="right"/>
            </w:pPr>
            <w:r>
              <w:t xml:space="preserve">5,1%</w:t>
            </w:r>
          </w:p>
        </w:tc>
        <w:tc>
          <w:tcPr/>
          <w:p>
            <w:pPr>
              <w:pStyle w:val="Compact"/>
              <w:jc w:val="right"/>
            </w:pPr>
            <w:r>
              <w:t xml:space="preserve">5,2%</w:t>
            </w:r>
          </w:p>
        </w:tc>
        <w:tc>
          <w:tcPr/>
          <w:p>
            <w:pPr>
              <w:pStyle w:val="Compact"/>
              <w:jc w:val="right"/>
            </w:pPr>
            <w:r>
              <w:t xml:space="preserve">8,0%</w:t>
            </w:r>
          </w:p>
        </w:tc>
        <w:tc>
          <w:tcPr/>
          <w:p>
            <w:pPr>
              <w:pStyle w:val="Compact"/>
              <w:jc w:val="right"/>
            </w:pPr>
            <w:r>
              <w:t xml:space="preserve">6,6%</w:t>
            </w:r>
          </w:p>
        </w:tc>
        <w:tc>
          <w:tcPr/>
          <w:p>
            <w:pPr>
              <w:pStyle w:val="Compact"/>
              <w:jc w:val="left"/>
            </w:pPr>
            <w:r>
              <w:t xml:space="preserve">Supera a los comparables solo por partidas no operativas (afiliadas y ganancias en inversiones).</w:t>
            </w:r>
          </w:p>
        </w:tc>
      </w:tr>
      <w:tr>
        <w:tc>
          <w:tcPr/>
          <w:p>
            <w:pPr>
              <w:pStyle w:val="Compact"/>
              <w:jc w:val="left"/>
            </w:pPr>
            <w:r>
              <w:t xml:space="preserve">ROA</w:t>
            </w:r>
          </w:p>
        </w:tc>
        <w:tc>
          <w:tcPr/>
          <w:p>
            <w:pPr>
              <w:pStyle w:val="Compact"/>
              <w:jc w:val="right"/>
            </w:pPr>
            <w:r>
              <w:t xml:space="preserve">2,9%</w:t>
            </w:r>
          </w:p>
        </w:tc>
        <w:tc>
          <w:tcPr/>
          <w:p>
            <w:pPr>
              <w:pStyle w:val="Compact"/>
              <w:jc w:val="right"/>
            </w:pPr>
            <w:r>
              <w:t xml:space="preserve">3,2%</w:t>
            </w:r>
          </w:p>
        </w:tc>
        <w:tc>
          <w:tcPr/>
          <w:p>
            <w:pPr>
              <w:pStyle w:val="Compact"/>
              <w:jc w:val="right"/>
            </w:pPr>
            <w:r>
              <w:t xml:space="preserve">5,6%</w:t>
            </w:r>
          </w:p>
        </w:tc>
        <w:tc>
          <w:tcPr/>
          <w:p>
            <w:pPr>
              <w:pStyle w:val="Compact"/>
              <w:jc w:val="right"/>
            </w:pPr>
            <w:r>
              <w:t xml:space="preserve">n.d.</w:t>
            </w:r>
          </w:p>
        </w:tc>
        <w:tc>
          <w:tcPr/>
          <w:p>
            <w:pPr>
              <w:pStyle w:val="Compact"/>
              <w:jc w:val="left"/>
            </w:pPr>
            <w:r>
              <w:t xml:space="preserve">Bajo; sube con la utilización de la red.</w:t>
            </w:r>
          </w:p>
        </w:tc>
      </w:tr>
      <w:tr>
        <w:tc>
          <w:tcPr/>
          <w:p>
            <w:pPr>
              <w:pStyle w:val="Compact"/>
              <w:jc w:val="left"/>
            </w:pPr>
            <w:r>
              <w:t xml:space="preserve">ROE</w:t>
            </w:r>
          </w:p>
        </w:tc>
        <w:tc>
          <w:tcPr/>
          <w:p>
            <w:pPr>
              <w:pStyle w:val="Compact"/>
              <w:jc w:val="right"/>
            </w:pPr>
            <w:r>
              <w:t xml:space="preserve">5,7%</w:t>
            </w:r>
          </w:p>
        </w:tc>
        <w:tc>
          <w:tcPr/>
          <w:p>
            <w:pPr>
              <w:pStyle w:val="Compact"/>
              <w:jc w:val="right"/>
            </w:pPr>
            <w:r>
              <w:t xml:space="preserve">6,0%</w:t>
            </w:r>
          </w:p>
        </w:tc>
        <w:tc>
          <w:tcPr/>
          <w:p>
            <w:pPr>
              <w:pStyle w:val="Compact"/>
              <w:jc w:val="right"/>
            </w:pPr>
            <w:r>
              <w:t xml:space="preserve">9,8%</w:t>
            </w:r>
          </w:p>
        </w:tc>
        <w:tc>
          <w:tcPr/>
          <w:p>
            <w:pPr>
              <w:pStyle w:val="Compact"/>
              <w:jc w:val="right"/>
            </w:pPr>
            <w:r>
              <w:t xml:space="preserve">n.d.</w:t>
            </w:r>
          </w:p>
        </w:tc>
        <w:tc>
          <w:tcPr/>
          <w:p>
            <w:pPr>
              <w:pStyle w:val="Compact"/>
              <w:jc w:val="left"/>
            </w:pPr>
            <w:r>
              <w:t xml:space="preserve">Por debajo de un Ke de 9,3%: ATC no crea valor para el accionista.</w:t>
            </w:r>
            <w:r>
              <w:t xml:space="preserve"> </w:t>
            </w:r>
            <w:r>
              <w:rPr>
                <w:bCs/>
                <w:b/>
              </w:rPr>
              <w:t xml:space="preserve">Problema.</w:t>
            </w:r>
          </w:p>
        </w:tc>
      </w:tr>
      <w:tr>
        <w:tc>
          <w:tcPr/>
          <w:p>
            <w:pPr>
              <w:pStyle w:val="Compact"/>
              <w:jc w:val="left"/>
            </w:pPr>
            <w:r>
              <w:t xml:space="preserve">ROIC (nota 7)</w:t>
            </w:r>
          </w:p>
        </w:tc>
        <w:tc>
          <w:tcPr/>
          <w:p>
            <w:pPr>
              <w:pStyle w:val="Compact"/>
              <w:jc w:val="right"/>
            </w:pPr>
            <w:r>
              <w:t xml:space="preserve">3,2%</w:t>
            </w:r>
          </w:p>
        </w:tc>
        <w:tc>
          <w:tcPr/>
          <w:p>
            <w:pPr>
              <w:pStyle w:val="Compact"/>
              <w:jc w:val="right"/>
            </w:pPr>
            <w:r>
              <w:t xml:space="preserve">4,6%</w:t>
            </w:r>
          </w:p>
        </w:tc>
        <w:tc>
          <w:tcPr/>
          <w:p>
            <w:pPr>
              <w:pStyle w:val="Compact"/>
              <w:jc w:val="right"/>
            </w:pPr>
            <w:r>
              <w:t xml:space="preserve">6,4%</w:t>
            </w:r>
          </w:p>
        </w:tc>
        <w:tc>
          <w:tcPr/>
          <w:p>
            <w:pPr>
              <w:pStyle w:val="Compact"/>
              <w:jc w:val="right"/>
            </w:pPr>
            <w:r>
              <w:t xml:space="preserve">n.d.</w:t>
            </w:r>
          </w:p>
        </w:tc>
        <w:tc>
          <w:tcPr/>
          <w:p>
            <w:pPr>
              <w:pStyle w:val="Compact"/>
              <w:jc w:val="left"/>
            </w:pPr>
            <w:r>
              <w:t xml:space="preserve">Por debajo de Ku = 8,2%.</w:t>
            </w:r>
          </w:p>
        </w:tc>
      </w:tr>
      <w:tr>
        <w:tc>
          <w:tcPr/>
          <w:p>
            <w:pPr>
              <w:pStyle w:val="Compact"/>
              <w:jc w:val="left"/>
            </w:pPr>
            <w:r>
              <w:t xml:space="preserve">Días de cartera</w:t>
            </w:r>
          </w:p>
        </w:tc>
        <w:tc>
          <w:tcPr/>
          <w:p>
            <w:pPr>
              <w:pStyle w:val="Compact"/>
              <w:jc w:val="right"/>
            </w:pPr>
            <w:r>
              <w:t xml:space="preserve">43,04</w:t>
            </w:r>
          </w:p>
        </w:tc>
        <w:tc>
          <w:tcPr/>
          <w:p>
            <w:pPr>
              <w:pStyle w:val="Compact"/>
              <w:jc w:val="right"/>
            </w:pPr>
            <w:r>
              <w:t xml:space="preserve">42,23</w:t>
            </w:r>
          </w:p>
        </w:tc>
        <w:tc>
          <w:tcPr/>
          <w:p>
            <w:pPr>
              <w:pStyle w:val="Compact"/>
              <w:jc w:val="right"/>
            </w:pPr>
            <w:r>
              <w:t xml:space="preserve">39,73</w:t>
            </w:r>
          </w:p>
        </w:tc>
        <w:tc>
          <w:tcPr/>
          <w:p>
            <w:pPr>
              <w:pStyle w:val="Compact"/>
              <w:jc w:val="right"/>
            </w:pPr>
            <w:r>
              <w:t xml:space="preserve">n.d.</w:t>
            </w:r>
          </w:p>
        </w:tc>
        <w:tc>
          <w:tcPr/>
          <w:p>
            <w:pPr>
              <w:pStyle w:val="Compact"/>
              <w:jc w:val="left"/>
            </w:pPr>
            <w:r>
              <w:t xml:space="preserve">Estables, cerca de un ciclo mensual de facturación.</w:t>
            </w:r>
          </w:p>
        </w:tc>
      </w:tr>
      <w:tr>
        <w:tc>
          <w:tcPr/>
          <w:p>
            <w:pPr>
              <w:pStyle w:val="Compact"/>
              <w:jc w:val="left"/>
            </w:pPr>
            <w:r>
              <w:t xml:space="preserve">Días de inventario (costo)</w:t>
            </w:r>
          </w:p>
        </w:tc>
        <w:tc>
          <w:tcPr/>
          <w:p>
            <w:pPr>
              <w:pStyle w:val="Compact"/>
              <w:jc w:val="right"/>
            </w:pPr>
            <w:r>
              <w:t xml:space="preserve">65,22</w:t>
            </w:r>
          </w:p>
        </w:tc>
        <w:tc>
          <w:tcPr/>
          <w:p>
            <w:pPr>
              <w:pStyle w:val="Compact"/>
              <w:jc w:val="right"/>
            </w:pPr>
            <w:r>
              <w:t xml:space="preserve">74,16</w:t>
            </w:r>
          </w:p>
        </w:tc>
        <w:tc>
          <w:tcPr/>
          <w:p>
            <w:pPr>
              <w:pStyle w:val="Compact"/>
              <w:jc w:val="right"/>
            </w:pPr>
            <w:r>
              <w:t xml:space="preserve">56,79</w:t>
            </w:r>
          </w:p>
        </w:tc>
        <w:tc>
          <w:tcPr/>
          <w:p>
            <w:pPr>
              <w:pStyle w:val="Compact"/>
              <w:jc w:val="right"/>
            </w:pPr>
            <w:r>
              <w:t xml:space="preserve">n.d.</w:t>
            </w:r>
          </w:p>
        </w:tc>
        <w:tc>
          <w:tcPr/>
          <w:p>
            <w:pPr>
              <w:pStyle w:val="Compact"/>
              <w:jc w:val="left"/>
            </w:pPr>
            <w:r>
              <w:t xml:space="preserve">Bajan en 2007: buena gestión de equipos.</w:t>
            </w:r>
          </w:p>
        </w:tc>
      </w:tr>
      <w:tr>
        <w:tc>
          <w:tcPr/>
          <w:p>
            <w:pPr>
              <w:pStyle w:val="Compact"/>
              <w:jc w:val="left"/>
            </w:pPr>
            <w:r>
              <w:t xml:space="preserve">Días de proveedores</w:t>
            </w:r>
          </w:p>
        </w:tc>
        <w:tc>
          <w:tcPr/>
          <w:p>
            <w:pPr>
              <w:pStyle w:val="Compact"/>
              <w:jc w:val="right"/>
            </w:pPr>
            <w:r>
              <w:t xml:space="preserve">39,20</w:t>
            </w:r>
          </w:p>
        </w:tc>
        <w:tc>
          <w:tcPr/>
          <w:p>
            <w:pPr>
              <w:pStyle w:val="Compact"/>
              <w:jc w:val="right"/>
            </w:pPr>
            <w:r>
              <w:t xml:space="preserve">35,18</w:t>
            </w:r>
          </w:p>
        </w:tc>
        <w:tc>
          <w:tcPr/>
          <w:p>
            <w:pPr>
              <w:pStyle w:val="Compact"/>
              <w:jc w:val="right"/>
            </w:pPr>
            <w:r>
              <w:t xml:space="preserve">32,23</w:t>
            </w:r>
          </w:p>
        </w:tc>
        <w:tc>
          <w:tcPr/>
          <w:p>
            <w:pPr>
              <w:pStyle w:val="Compact"/>
              <w:jc w:val="right"/>
            </w:pPr>
            <w:r>
              <w:t xml:space="preserve">n.d.</w:t>
            </w:r>
          </w:p>
        </w:tc>
        <w:tc>
          <w:tcPr/>
          <w:p>
            <w:pPr>
              <w:pStyle w:val="Compact"/>
              <w:jc w:val="left"/>
            </w:pPr>
            <w:r>
              <w:t xml:space="preserve">Bajan; ATC paga más rápido, lo que consume caja, aunque poca.</w:t>
            </w:r>
          </w:p>
        </w:tc>
      </w:tr>
      <w:tr>
        <w:tc>
          <w:tcPr/>
          <w:p>
            <w:pPr>
              <w:pStyle w:val="Compact"/>
              <w:jc w:val="left"/>
            </w:pPr>
            <w:r>
              <w:t xml:space="preserve">Ciclo de caja</w:t>
            </w:r>
          </w:p>
        </w:tc>
        <w:tc>
          <w:tcPr/>
          <w:p>
            <w:pPr>
              <w:pStyle w:val="Compact"/>
              <w:jc w:val="right"/>
            </w:pPr>
            <w:r>
              <w:t xml:space="preserve">69,06</w:t>
            </w:r>
          </w:p>
        </w:tc>
        <w:tc>
          <w:tcPr/>
          <w:p>
            <w:pPr>
              <w:pStyle w:val="Compact"/>
              <w:jc w:val="right"/>
            </w:pPr>
            <w:r>
              <w:t xml:space="preserve">81,21</w:t>
            </w:r>
          </w:p>
        </w:tc>
        <w:tc>
          <w:tcPr/>
          <w:p>
            <w:pPr>
              <w:pStyle w:val="Compact"/>
              <w:jc w:val="right"/>
            </w:pPr>
            <w:r>
              <w:t xml:space="preserve">64,29</w:t>
            </w:r>
          </w:p>
        </w:tc>
        <w:tc>
          <w:tcPr/>
          <w:p>
            <w:pPr>
              <w:pStyle w:val="Compact"/>
              <w:jc w:val="right"/>
            </w:pPr>
            <w:r>
              <w:t xml:space="preserve">n.d.</w:t>
            </w:r>
          </w:p>
        </w:tc>
        <w:tc>
          <w:tcPr/>
          <w:p>
            <w:pPr>
              <w:pStyle w:val="Compact"/>
              <w:jc w:val="left"/>
            </w:pPr>
            <w:r>
              <w:t xml:space="preserve">Corto. El capital de trabajo neto es solo 115; no es un problema.</w:t>
            </w:r>
          </w:p>
        </w:tc>
      </w:tr>
      <w:tr>
        <w:tc>
          <w:tcPr/>
          <w:p>
            <w:pPr>
              <w:pStyle w:val="Compact"/>
              <w:jc w:val="left"/>
            </w:pPr>
            <w:r>
              <w:t xml:space="preserve">Rotación de activos</w:t>
            </w:r>
          </w:p>
        </w:tc>
        <w:tc>
          <w:tcPr/>
          <w:p>
            <w:pPr>
              <w:pStyle w:val="Compact"/>
              <w:jc w:val="right"/>
            </w:pPr>
            <w:r>
              <w:t xml:space="preserve">0,56x</w:t>
            </w:r>
          </w:p>
        </w:tc>
        <w:tc>
          <w:tcPr/>
          <w:p>
            <w:pPr>
              <w:pStyle w:val="Compact"/>
              <w:jc w:val="right"/>
            </w:pPr>
            <w:r>
              <w:t xml:space="preserve">0,61x</w:t>
            </w:r>
          </w:p>
        </w:tc>
        <w:tc>
          <w:tcPr/>
          <w:p>
            <w:pPr>
              <w:pStyle w:val="Compact"/>
              <w:jc w:val="right"/>
            </w:pPr>
            <w:r>
              <w:t xml:space="preserve">0,70x</w:t>
            </w:r>
          </w:p>
        </w:tc>
        <w:tc>
          <w:tcPr/>
          <w:p>
            <w:pPr>
              <w:pStyle w:val="Compact"/>
              <w:jc w:val="right"/>
            </w:pPr>
            <w:r>
              <w:t xml:space="preserve">n.d.</w:t>
            </w:r>
          </w:p>
        </w:tc>
        <w:tc>
          <w:tcPr/>
          <w:p>
            <w:pPr>
              <w:pStyle w:val="Compact"/>
              <w:jc w:val="left"/>
            </w:pPr>
            <w:r>
              <w:t xml:space="preserve">Mejora: más tráfico sobre la misma red.</w:t>
            </w:r>
          </w:p>
        </w:tc>
      </w:tr>
      <w:tr>
        <w:tc>
          <w:tcPr/>
          <w:p>
            <w:pPr>
              <w:pStyle w:val="Compact"/>
              <w:jc w:val="left"/>
            </w:pPr>
            <w:r>
              <w:t xml:space="preserve">Razón corriente</w:t>
            </w:r>
          </w:p>
        </w:tc>
        <w:tc>
          <w:tcPr/>
          <w:p>
            <w:pPr>
              <w:pStyle w:val="Compact"/>
              <w:jc w:val="right"/>
            </w:pPr>
            <w:r>
              <w:t xml:space="preserve">0,81x</w:t>
            </w:r>
          </w:p>
        </w:tc>
        <w:tc>
          <w:tcPr/>
          <w:p>
            <w:pPr>
              <w:pStyle w:val="Compact"/>
              <w:jc w:val="right"/>
            </w:pPr>
            <w:r>
              <w:t xml:space="preserve">1,00x</w:t>
            </w:r>
          </w:p>
        </w:tc>
        <w:tc>
          <w:tcPr/>
          <w:p>
            <w:pPr>
              <w:pStyle w:val="Compact"/>
              <w:jc w:val="right"/>
            </w:pPr>
            <w:r>
              <w:t xml:space="preserve">1,38x</w:t>
            </w:r>
          </w:p>
        </w:tc>
        <w:tc>
          <w:tcPr/>
          <w:p>
            <w:pPr>
              <w:pStyle w:val="Compact"/>
              <w:jc w:val="right"/>
            </w:pPr>
            <w:r>
              <w:t xml:space="preserve">n.d.</w:t>
            </w:r>
          </w:p>
        </w:tc>
        <w:tc>
          <w:tcPr/>
          <w:p>
            <w:pPr>
              <w:pStyle w:val="Compact"/>
              <w:jc w:val="left"/>
            </w:pPr>
            <w:r>
              <w:t xml:space="preserve">Sube en 2007 por la caja acumulada.</w:t>
            </w:r>
          </w:p>
        </w:tc>
      </w:tr>
      <w:tr>
        <w:tc>
          <w:tcPr/>
          <w:p>
            <w:pPr>
              <w:pStyle w:val="Compact"/>
              <w:jc w:val="left"/>
            </w:pPr>
            <w:r>
              <w:t xml:space="preserve">Deuda / patrimonio contable</w:t>
            </w:r>
          </w:p>
        </w:tc>
        <w:tc>
          <w:tcPr/>
          <w:p>
            <w:pPr>
              <w:pStyle w:val="Compact"/>
              <w:jc w:val="right"/>
            </w:pPr>
            <w:r>
              <w:t xml:space="preserve">41,5%</w:t>
            </w:r>
          </w:p>
        </w:tc>
        <w:tc>
          <w:tcPr/>
          <w:p>
            <w:pPr>
              <w:pStyle w:val="Compact"/>
              <w:jc w:val="right"/>
            </w:pPr>
            <w:r>
              <w:t xml:space="preserve">34,6%</w:t>
            </w:r>
          </w:p>
        </w:tc>
        <w:tc>
          <w:tcPr/>
          <w:p>
            <w:pPr>
              <w:pStyle w:val="Compact"/>
              <w:jc w:val="right"/>
            </w:pPr>
            <w:r>
              <w:t xml:space="preserve">31,4%</w:t>
            </w:r>
          </w:p>
        </w:tc>
        <w:tc>
          <w:tcPr/>
          <w:p>
            <w:pPr>
              <w:pStyle w:val="Compact"/>
              <w:jc w:val="right"/>
            </w:pPr>
            <w:r>
              <w:t xml:space="preserve">40,1%</w:t>
            </w:r>
          </w:p>
        </w:tc>
        <w:tc>
          <w:tcPr/>
          <w:p>
            <w:pPr>
              <w:pStyle w:val="Compact"/>
              <w:jc w:val="left"/>
            </w:pPr>
            <w:r>
              <w:t xml:space="preserve">Menos endeudada que los rivales (aunque los rivales se miden a valor de mercado): hay capacidad de deuda.</w:t>
            </w:r>
          </w:p>
        </w:tc>
      </w:tr>
      <w:tr>
        <w:tc>
          <w:tcPr/>
          <w:p>
            <w:pPr>
              <w:pStyle w:val="Compact"/>
              <w:jc w:val="left"/>
            </w:pPr>
            <w:r>
              <w:t xml:space="preserve">Deuda / EBITDA</w:t>
            </w:r>
          </w:p>
        </w:tc>
        <w:tc>
          <w:tcPr/>
          <w:p>
            <w:pPr>
              <w:pStyle w:val="Compact"/>
              <w:jc w:val="right"/>
            </w:pPr>
            <w:r>
              <w:t xml:space="preserve">1,63x</w:t>
            </w:r>
          </w:p>
        </w:tc>
        <w:tc>
          <w:tcPr/>
          <w:p>
            <w:pPr>
              <w:pStyle w:val="Compact"/>
              <w:jc w:val="right"/>
            </w:pPr>
            <w:r>
              <w:t xml:space="preserve">1,20x</w:t>
            </w:r>
          </w:p>
        </w:tc>
        <w:tc>
          <w:tcPr/>
          <w:p>
            <w:pPr>
              <w:pStyle w:val="Compact"/>
              <w:jc w:val="right"/>
            </w:pPr>
            <w:r>
              <w:t xml:space="preserve">0,97x</w:t>
            </w:r>
          </w:p>
        </w:tc>
        <w:tc>
          <w:tcPr/>
          <w:p>
            <w:pPr>
              <w:pStyle w:val="Compact"/>
              <w:jc w:val="right"/>
            </w:pPr>
            <w:r>
              <w:t xml:space="preserve">n.d.</w:t>
            </w:r>
          </w:p>
        </w:tc>
        <w:tc>
          <w:tcPr/>
          <w:p>
            <w:pPr>
              <w:pStyle w:val="Compact"/>
              <w:jc w:val="left"/>
            </w:pPr>
            <w:r>
              <w:t xml:space="preserve">Muy bajo; explica por qué R&amp;R ve espacio para apalancar.</w:t>
            </w:r>
          </w:p>
        </w:tc>
      </w:tr>
      <w:tr>
        <w:tc>
          <w:tcPr/>
          <w:p>
            <w:pPr>
              <w:pStyle w:val="Compact"/>
              <w:jc w:val="left"/>
            </w:pPr>
            <w:r>
              <w:t xml:space="preserve">EBITDA / intereses</w:t>
            </w:r>
          </w:p>
        </w:tc>
        <w:tc>
          <w:tcPr/>
          <w:p>
            <w:pPr>
              <w:pStyle w:val="Compact"/>
              <w:jc w:val="right"/>
            </w:pPr>
            <w:r>
              <w:t xml:space="preserve">8,2x</w:t>
            </w:r>
          </w:p>
        </w:tc>
        <w:tc>
          <w:tcPr/>
          <w:p>
            <w:pPr>
              <w:pStyle w:val="Compact"/>
              <w:jc w:val="right"/>
            </w:pPr>
            <w:r>
              <w:t xml:space="preserve">9,2x</w:t>
            </w:r>
          </w:p>
        </w:tc>
        <w:tc>
          <w:tcPr/>
          <w:p>
            <w:pPr>
              <w:pStyle w:val="Compact"/>
              <w:jc w:val="right"/>
            </w:pPr>
            <w:r>
              <w:t xml:space="preserve">12,2x</w:t>
            </w:r>
          </w:p>
        </w:tc>
        <w:tc>
          <w:tcPr/>
          <w:p>
            <w:pPr>
              <w:pStyle w:val="Compact"/>
              <w:jc w:val="right"/>
            </w:pPr>
            <w:r>
              <w:t xml:space="preserve">n.d.</w:t>
            </w:r>
          </w:p>
        </w:tc>
        <w:tc>
          <w:tcPr/>
          <w:p>
            <w:pPr>
              <w:pStyle w:val="Compact"/>
              <w:jc w:val="left"/>
            </w:pPr>
            <w:r>
              <w:t xml:space="preserve">Holgado frente al mínimo de 5,0x.</w:t>
            </w:r>
          </w:p>
        </w:tc>
      </w:tr>
      <w:tr>
        <w:tc>
          <w:tcPr/>
          <w:p>
            <w:pPr>
              <w:pStyle w:val="Compact"/>
              <w:jc w:val="left"/>
            </w:pPr>
            <w:r>
              <w:t xml:space="preserve">Caja / ventas</w:t>
            </w:r>
          </w:p>
        </w:tc>
        <w:tc>
          <w:tcPr/>
          <w:p>
            <w:pPr>
              <w:pStyle w:val="Compact"/>
              <w:jc w:val="right"/>
            </w:pPr>
            <w:r>
              <w:t xml:space="preserve">1,0%</w:t>
            </w:r>
          </w:p>
        </w:tc>
        <w:tc>
          <w:tcPr/>
          <w:p>
            <w:pPr>
              <w:pStyle w:val="Compact"/>
              <w:jc w:val="right"/>
            </w:pPr>
            <w:r>
              <w:t xml:space="preserve">8,1%</w:t>
            </w:r>
          </w:p>
        </w:tc>
        <w:tc>
          <w:tcPr/>
          <w:p>
            <w:pPr>
              <w:pStyle w:val="Compact"/>
              <w:jc w:val="right"/>
            </w:pPr>
            <w:r>
              <w:t xml:space="preserve">5,6%</w:t>
            </w:r>
          </w:p>
        </w:tc>
        <w:tc>
          <w:tcPr/>
          <w:p>
            <w:pPr>
              <w:pStyle w:val="Compact"/>
              <w:jc w:val="right"/>
            </w:pPr>
            <w:r>
              <w:t xml:space="preserve">n.d.</w:t>
            </w:r>
          </w:p>
        </w:tc>
        <w:tc>
          <w:tcPr/>
          <w:p>
            <w:pPr>
              <w:pStyle w:val="Compact"/>
              <w:jc w:val="left"/>
            </w:pPr>
            <w:r>
              <w:t xml:space="preserve">Es caja que parece de financiación: se valora aparte.</w:t>
            </w:r>
          </w:p>
        </w:tc>
      </w:tr>
      <w:tr>
        <w:tc>
          <w:tcPr/>
          <w:p>
            <w:pPr>
              <w:pStyle w:val="Compact"/>
              <w:jc w:val="left"/>
            </w:pPr>
            <w:r>
              <w:t xml:space="preserve">Ingreso por minuto (US$)</w:t>
            </w:r>
          </w:p>
        </w:tc>
        <w:tc>
          <w:tcPr/>
          <w:p>
            <w:pPr>
              <w:pStyle w:val="Compact"/>
              <w:jc w:val="right"/>
            </w:pPr>
            <w:r>
              <w:t xml:space="preserve">0,0724</w:t>
            </w:r>
          </w:p>
        </w:tc>
        <w:tc>
          <w:tcPr/>
          <w:p>
            <w:pPr>
              <w:pStyle w:val="Compact"/>
              <w:jc w:val="right"/>
            </w:pPr>
            <w:r>
              <w:t xml:space="preserve">0,0671</w:t>
            </w:r>
          </w:p>
        </w:tc>
        <w:tc>
          <w:tcPr/>
          <w:p>
            <w:pPr>
              <w:pStyle w:val="Compact"/>
              <w:jc w:val="right"/>
            </w:pPr>
            <w:r>
              <w:t xml:space="preserve">0,0595</w:t>
            </w:r>
          </w:p>
        </w:tc>
        <w:tc>
          <w:tcPr/>
          <w:p>
            <w:pPr>
              <w:pStyle w:val="Compact"/>
              <w:jc w:val="right"/>
            </w:pPr>
            <w:r>
              <w:t xml:space="preserve">n.d.</w:t>
            </w:r>
          </w:p>
        </w:tc>
        <w:tc>
          <w:tcPr/>
          <w:p>
            <w:pPr>
              <w:pStyle w:val="Compact"/>
              <w:jc w:val="left"/>
            </w:pPr>
            <w:r>
              <w:t xml:space="preserve">Cae 11,3% en 2007: commoditización.</w:t>
            </w:r>
            <w:r>
              <w:t xml:space="preserve"> </w:t>
            </w:r>
            <w:r>
              <w:rPr>
                <w:bCs/>
                <w:b/>
              </w:rPr>
              <w:t xml:space="preserve">Problema.</w:t>
            </w:r>
          </w:p>
        </w:tc>
      </w:tr>
      <w:tr>
        <w:tc>
          <w:tcPr/>
          <w:p>
            <w:pPr>
              <w:pStyle w:val="Compact"/>
              <w:jc w:val="left"/>
            </w:pPr>
            <w:r>
              <w:t xml:space="preserve">Costo por cliente nuevo (US$)</w:t>
            </w:r>
          </w:p>
        </w:tc>
        <w:tc>
          <w:tcPr/>
          <w:p>
            <w:pPr>
              <w:pStyle w:val="Compact"/>
              <w:jc w:val="right"/>
            </w:pPr>
            <w:r>
              <w:t xml:space="preserve">372</w:t>
            </w:r>
          </w:p>
        </w:tc>
        <w:tc>
          <w:tcPr/>
          <w:p>
            <w:pPr>
              <w:pStyle w:val="Compact"/>
              <w:jc w:val="right"/>
            </w:pPr>
            <w:r>
              <w:t xml:space="preserve">385</w:t>
            </w:r>
          </w:p>
        </w:tc>
        <w:tc>
          <w:tcPr/>
          <w:p>
            <w:pPr>
              <w:pStyle w:val="Compact"/>
              <w:jc w:val="right"/>
            </w:pPr>
            <w:r>
              <w:t xml:space="preserve">487</w:t>
            </w:r>
          </w:p>
        </w:tc>
        <w:tc>
          <w:tcPr/>
          <w:p>
            <w:pPr>
              <w:pStyle w:val="Compact"/>
              <w:jc w:val="right"/>
            </w:pPr>
            <w:r>
              <w:t xml:space="preserve">n.d.</w:t>
            </w:r>
          </w:p>
        </w:tc>
        <w:tc>
          <w:tcPr/>
          <w:p>
            <w:pPr>
              <w:pStyle w:val="Compact"/>
              <w:jc w:val="left"/>
            </w:pPr>
            <w:r>
              <w:t xml:space="preserve">Sube 26,5% en 2007.</w:t>
            </w:r>
            <w:r>
              <w:t xml:space="preserve"> </w:t>
            </w:r>
            <w:r>
              <w:rPr>
                <w:bCs/>
                <w:b/>
              </w:rPr>
              <w:t xml:space="preserve">Problema.</w:t>
            </w:r>
          </w:p>
        </w:tc>
      </w:tr>
      <w:tr>
        <w:tc>
          <w:tcPr/>
          <w:p>
            <w:pPr>
              <w:pStyle w:val="Compact"/>
              <w:jc w:val="left"/>
            </w:pPr>
            <w:r>
              <w:t xml:space="preserve">Abandono mensual</w:t>
            </w:r>
          </w:p>
        </w:tc>
        <w:tc>
          <w:tcPr/>
          <w:p>
            <w:pPr>
              <w:pStyle w:val="Compact"/>
              <w:jc w:val="right"/>
            </w:pPr>
            <w:r>
              <w:t xml:space="preserve">2,1%</w:t>
            </w:r>
          </w:p>
        </w:tc>
        <w:tc>
          <w:tcPr/>
          <w:p>
            <w:pPr>
              <w:pStyle w:val="Compact"/>
              <w:jc w:val="right"/>
            </w:pPr>
            <w:r>
              <w:t xml:space="preserve">2,1%</w:t>
            </w:r>
          </w:p>
        </w:tc>
        <w:tc>
          <w:tcPr/>
          <w:p>
            <w:pPr>
              <w:pStyle w:val="Compact"/>
              <w:jc w:val="right"/>
            </w:pPr>
            <w:r>
              <w:t xml:space="preserve">1,7%</w:t>
            </w:r>
          </w:p>
        </w:tc>
        <w:tc>
          <w:tcPr/>
          <w:p>
            <w:pPr>
              <w:pStyle w:val="Compact"/>
              <w:jc w:val="right"/>
            </w:pPr>
            <w:r>
              <w:t xml:space="preserve">n.d.</w:t>
            </w:r>
          </w:p>
        </w:tc>
        <w:tc>
          <w:tcPr/>
          <w:p>
            <w:pPr>
              <w:pStyle w:val="Compact"/>
              <w:jc w:val="left"/>
            </w:pPr>
            <w:r>
              <w:t xml:space="preserve">Mejora: los subsidios y el servicio retienen clientes, pero a un costo alto. Probablemente es una buena decisión.</w:t>
            </w:r>
          </w:p>
        </w:tc>
      </w:tr>
    </w:tbl>
    <w:p>
      <w:pPr>
        <w:pStyle w:val="BodyText"/>
      </w:pPr>
      <w:r>
        <w:rPr>
          <w:iCs/>
          <w:i/>
        </w:rPr>
        <w:t xml:space="preserve">Comparables: promedio de la Tabla 3 y del Anexo 7. n.d.: el caso no da el dato.</w:t>
      </w:r>
    </w:p>
    <w:p>
      <w:pPr>
        <w:pStyle w:val="BodyText"/>
      </w:pPr>
      <w:r>
        <w:rPr>
          <w:bCs/>
          <w:b/>
        </w:rPr>
        <w:t xml:space="preserve">Flujo histórico (método indirecto, conciliado con la caja):</w:t>
      </w:r>
    </w:p>
    <w:tbl>
      <w:tblPr>
        <w:tblStyle w:val="Table"/>
        <w:tblW w:type="pct" w:w="5000"/>
        <w:tblLook w:firstRow="1" w:lastRow="0" w:firstColumn="0" w:lastColumn="0" w:noHBand="0" w:noVBand="0" w:val="0020"/>
        <w:jc w:val="start"/>
      </w:tblPr>
      <w:tblGrid>
        <w:gridCol w:w="5400"/>
        <w:gridCol w:w="1260"/>
        <w:gridCol w:w="1260"/>
      </w:tblGrid>
      <w:tr>
        <w:trPr>
          <w:tblHeader w:val="true"/>
        </w:trPr>
        <w:tc>
          <w:tcPr/>
          <w:p>
            <w:pPr>
              <w:pStyle w:val="Compact"/>
            </w:pPr>
          </w:p>
        </w:tc>
        <w:tc>
          <w:tcPr/>
          <w:p>
            <w:pPr>
              <w:pStyle w:val="Compact"/>
              <w:jc w:val="right"/>
            </w:pPr>
            <w:r>
              <w:t xml:space="preserve">2006</w:t>
            </w:r>
          </w:p>
        </w:tc>
        <w:tc>
          <w:tcPr/>
          <w:p>
            <w:pPr>
              <w:pStyle w:val="Compact"/>
              <w:jc w:val="right"/>
            </w:pPr>
            <w:r>
              <w:t xml:space="preserve">2007</w:t>
            </w:r>
          </w:p>
        </w:tc>
      </w:tr>
      <w:tr>
        <w:tc>
          <w:tcPr/>
          <w:p>
            <w:pPr>
              <w:pStyle w:val="Compact"/>
              <w:jc w:val="left"/>
            </w:pPr>
            <w:r>
              <w:t xml:space="preserve">Utilidad neta</w:t>
            </w:r>
          </w:p>
        </w:tc>
        <w:tc>
          <w:tcPr/>
          <w:p>
            <w:pPr>
              <w:pStyle w:val="Compact"/>
              <w:jc w:val="right"/>
            </w:pPr>
            <w:r>
              <w:t xml:space="preserve">179</w:t>
            </w:r>
          </w:p>
        </w:tc>
        <w:tc>
          <w:tcPr/>
          <w:p>
            <w:pPr>
              <w:pStyle w:val="Compact"/>
              <w:jc w:val="right"/>
            </w:pPr>
            <w:r>
              <w:t xml:space="preserve">315</w:t>
            </w:r>
          </w:p>
        </w:tc>
      </w:tr>
      <w:tr>
        <w:tc>
          <w:tcPr/>
          <w:p>
            <w:pPr>
              <w:pStyle w:val="Compact"/>
              <w:jc w:val="left"/>
            </w:pPr>
            <w:r>
              <w:t xml:space="preserve">+ D&amp;A</w:t>
            </w:r>
          </w:p>
        </w:tc>
        <w:tc>
          <w:tcPr/>
          <w:p>
            <w:pPr>
              <w:pStyle w:val="Compact"/>
              <w:jc w:val="right"/>
            </w:pPr>
            <w:r>
              <w:t xml:space="preserve">556</w:t>
            </w:r>
          </w:p>
        </w:tc>
        <w:tc>
          <w:tcPr/>
          <w:p>
            <w:pPr>
              <w:pStyle w:val="Compact"/>
              <w:jc w:val="right"/>
            </w:pPr>
            <w:r>
              <w:t xml:space="preserve">582</w:t>
            </w:r>
          </w:p>
        </w:tc>
      </w:tr>
      <w:tr>
        <w:tc>
          <w:tcPr/>
          <w:p>
            <w:pPr>
              <w:pStyle w:val="Compact"/>
              <w:jc w:val="left"/>
            </w:pPr>
            <w:r>
              <w:t xml:space="preserve">Flujo operativo (con capital de trabajo, impuestos diferidos y otros)</w:t>
            </w:r>
          </w:p>
        </w:tc>
        <w:tc>
          <w:tcPr/>
          <w:p>
            <w:pPr>
              <w:pStyle w:val="Compact"/>
              <w:jc w:val="right"/>
            </w:pPr>
            <w:r>
              <w:t xml:space="preserve">727</w:t>
            </w:r>
          </w:p>
        </w:tc>
        <w:tc>
          <w:tcPr/>
          <w:p>
            <w:pPr>
              <w:pStyle w:val="Compact"/>
              <w:jc w:val="right"/>
            </w:pPr>
            <w:r>
              <w:t xml:space="preserve">862</w:t>
            </w:r>
          </w:p>
        </w:tc>
      </w:tr>
      <w:tr>
        <w:tc>
          <w:tcPr/>
          <w:p>
            <w:pPr>
              <w:pStyle w:val="Compact"/>
              <w:jc w:val="left"/>
            </w:pPr>
            <w:r>
              <w:t xml:space="preserve">Flujo de inversión (capex implícito, valores, afiliadas)</w:t>
            </w:r>
          </w:p>
        </w:tc>
        <w:tc>
          <w:tcPr/>
          <w:p>
            <w:pPr>
              <w:pStyle w:val="Compact"/>
              <w:jc w:val="right"/>
            </w:pPr>
            <w:r>
              <w:t xml:space="preserve">−754</w:t>
            </w:r>
          </w:p>
        </w:tc>
        <w:tc>
          <w:tcPr/>
          <w:p>
            <w:pPr>
              <w:pStyle w:val="Compact"/>
              <w:jc w:val="right"/>
            </w:pPr>
            <w:r>
              <w:t xml:space="preserve">−302</w:t>
            </w:r>
          </w:p>
        </w:tc>
      </w:tr>
      <w:tr>
        <w:tc>
          <w:tcPr/>
          <w:p>
            <w:pPr>
              <w:pStyle w:val="Compact"/>
              <w:jc w:val="left"/>
            </w:pPr>
            <w:r>
              <w:t xml:space="preserve">Flujo de financiación (deuda, derivados, capital, otros)</w:t>
            </w:r>
          </w:p>
        </w:tc>
        <w:tc>
          <w:tcPr/>
          <w:p>
            <w:pPr>
              <w:pStyle w:val="Compact"/>
              <w:jc w:val="right"/>
            </w:pPr>
            <w:r>
              <w:t xml:space="preserve">31</w:t>
            </w:r>
          </w:p>
        </w:tc>
        <w:tc>
          <w:tcPr/>
          <w:p>
            <w:pPr>
              <w:pStyle w:val="Compact"/>
              <w:jc w:val="right"/>
            </w:pPr>
            <w:r>
              <w:t xml:space="preserve">−388</w:t>
            </w:r>
          </w:p>
        </w:tc>
      </w:tr>
      <w:tr>
        <w:tc>
          <w:tcPr/>
          <w:p>
            <w:pPr>
              <w:pStyle w:val="Compact"/>
              <w:jc w:val="left"/>
            </w:pPr>
            <w:r>
              <w:rPr>
                <w:bCs/>
                <w:b/>
              </w:rPr>
              <w:t xml:space="preserve">Variación de caja = variación del balance</w:t>
            </w:r>
          </w:p>
        </w:tc>
        <w:tc>
          <w:tcPr/>
          <w:p>
            <w:pPr>
              <w:pStyle w:val="Compact"/>
              <w:jc w:val="right"/>
            </w:pPr>
            <w:r>
              <w:rPr>
                <w:bCs/>
                <w:b/>
              </w:rPr>
              <w:t xml:space="preserve">3,9</w:t>
            </w:r>
          </w:p>
        </w:tc>
        <w:tc>
          <w:tcPr/>
          <w:p>
            <w:pPr>
              <w:pStyle w:val="Compact"/>
              <w:jc w:val="right"/>
            </w:pPr>
            <w:r>
              <w:rPr>
                <w:bCs/>
                <w:b/>
              </w:rPr>
              <w:t xml:space="preserve">171,6</w:t>
            </w:r>
          </w:p>
        </w:tc>
      </w:tr>
      <w:tr>
        <w:tc>
          <w:tcPr/>
          <w:p>
            <w:pPr>
              <w:pStyle w:val="Compact"/>
              <w:jc w:val="left"/>
            </w:pPr>
            <w:r>
              <w:t xml:space="preserve">Flujo de caja libre operativo</w:t>
            </w:r>
          </w:p>
        </w:tc>
        <w:tc>
          <w:tcPr/>
          <w:p>
            <w:pPr>
              <w:pStyle w:val="Compact"/>
              <w:jc w:val="right"/>
            </w:pPr>
            <w:r>
              <w:t xml:space="preserve">−55</w:t>
            </w:r>
          </w:p>
        </w:tc>
        <w:tc>
          <w:tcPr/>
          <w:p>
            <w:pPr>
              <w:pStyle w:val="Compact"/>
              <w:jc w:val="right"/>
            </w:pPr>
            <w:r>
              <w:t xml:space="preserve">346</w:t>
            </w:r>
          </w:p>
        </w:tc>
      </w:tr>
    </w:tbl>
    <w:p>
      <w:pPr>
        <w:pStyle w:val="BodyText"/>
      </w:pPr>
      <w:r>
        <w:t xml:space="preserve">La utilidad subestima la caja operativa porque la D&amp;A (582) supera la utilidad neta. Sin embargo, la red absorbe casi toda esa caja: en 2006 el capex implícito (742) dejó el flujo libre en negativo, y se financió con la venta de valores y contratos a plazo. En 2007, con menor capex (13,3% de los ingresos), el flujo libre fue 346, y el aumento de caja vino además de liquidar valores negociables (238). ATC casi no reparte dividendos (a lo sumo los 40,2 no explicados de 2007) y crece con recursos propios, pero con rentabilidades que no cubren su costo de capital.</w:t>
      </w:r>
    </w:p>
    <w:bookmarkEnd w:id="26"/>
    <w:bookmarkStart w:id="29" w:name="costo-de-capital-y-valoración"/>
    <w:p>
      <w:pPr>
        <w:pStyle w:val="Heading1"/>
      </w:pPr>
      <w:r>
        <w:t xml:space="preserve">3. Costo de capital y valoración</w:t>
      </w:r>
    </w:p>
    <w:bookmarkStart w:id="27" w:name="Xfd4d570f2f3fba579f42851f1e5a5f256dbf4a3"/>
    <w:p>
      <w:pPr>
        <w:pStyle w:val="Heading2"/>
      </w:pPr>
      <w:r>
        <w:t xml:space="preserve">3.1 Insumos: opciones, fuente, efecto y elección</w:t>
      </w:r>
    </w:p>
    <w:tbl>
      <w:tblPr>
        <w:tblStyle w:val="Table"/>
        <w:tblW w:type="pct" w:w="5000"/>
        <w:tblLook w:firstRow="1" w:lastRow="0" w:firstColumn="0" w:lastColumn="0" w:noHBand="0" w:noVBand="0" w:val="0020"/>
        <w:jc w:val="start"/>
      </w:tblPr>
      <w:tblGrid>
        <w:gridCol w:w="908"/>
        <w:gridCol w:w="1947"/>
        <w:gridCol w:w="908"/>
        <w:gridCol w:w="1428"/>
        <w:gridCol w:w="2726"/>
      </w:tblGrid>
      <w:tr>
        <w:trPr>
          <w:tblHeader w:val="true"/>
        </w:trPr>
        <w:tc>
          <w:tcPr/>
          <w:p>
            <w:pPr>
              <w:pStyle w:val="Compact"/>
              <w:jc w:val="left"/>
            </w:pPr>
            <w:r>
              <w:t xml:space="preserve">Insumo</w:t>
            </w:r>
          </w:p>
        </w:tc>
        <w:tc>
          <w:tcPr/>
          <w:p>
            <w:pPr>
              <w:pStyle w:val="Compact"/>
              <w:jc w:val="left"/>
            </w:pPr>
            <w:r>
              <w:t xml:space="preserve">Opciones defendibles</w:t>
            </w:r>
          </w:p>
        </w:tc>
        <w:tc>
          <w:tcPr/>
          <w:p>
            <w:pPr>
              <w:pStyle w:val="Compact"/>
              <w:jc w:val="left"/>
            </w:pPr>
            <w:r>
              <w:t xml:space="preserve">Fuente</w:t>
            </w:r>
          </w:p>
        </w:tc>
        <w:tc>
          <w:tcPr/>
          <w:p>
            <w:pPr>
              <w:pStyle w:val="Compact"/>
              <w:jc w:val="right"/>
            </w:pPr>
            <w:r>
              <w:t xml:space="preserve">Patrimonio resultante</w:t>
            </w:r>
          </w:p>
        </w:tc>
        <w:tc>
          <w:tcPr/>
          <w:p>
            <w:pPr>
              <w:pStyle w:val="Compact"/>
              <w:jc w:val="left"/>
            </w:pPr>
            <w:r>
              <w:t xml:space="preserve">Elección y motivo</w:t>
            </w:r>
          </w:p>
        </w:tc>
      </w:tr>
      <w:tr>
        <w:tc>
          <w:tcPr/>
          <w:p>
            <w:pPr>
              <w:pStyle w:val="Compact"/>
              <w:jc w:val="left"/>
            </w:pPr>
            <w:r>
              <w:t xml:space="preserve">Tasa libre de riesgo</w:t>
            </w:r>
          </w:p>
        </w:tc>
        <w:tc>
          <w:tcPr/>
          <w:p>
            <w:pPr>
              <w:pStyle w:val="Compact"/>
              <w:jc w:val="left"/>
            </w:pPr>
            <w:r>
              <w:t xml:space="preserve">Tesoro a 10 años = 5,50% − 1,25% = 4,25%</w:t>
            </w:r>
          </w:p>
        </w:tc>
        <w:tc>
          <w:tcPr/>
          <w:p>
            <w:pPr>
              <w:pStyle w:val="Compact"/>
              <w:jc w:val="left"/>
            </w:pPr>
            <w:r>
              <w:t xml:space="preserve">Caso, p. 8</w:t>
            </w:r>
          </w:p>
        </w:tc>
        <w:tc>
          <w:tcPr/>
          <w:p>
            <w:pPr>
              <w:pStyle w:val="Compact"/>
              <w:jc w:val="right"/>
            </w:pPr>
            <w:r>
              <w:t xml:space="preserve">—</w:t>
            </w:r>
          </w:p>
        </w:tc>
        <w:tc>
          <w:tcPr/>
          <w:p>
            <w:pPr>
              <w:pStyle w:val="Compact"/>
              <w:jc w:val="left"/>
            </w:pPr>
            <w:r>
              <w:t xml:space="preserve">Única del caso. Los flujos son perpetuos y un bono a 20-30 años sería más coherente, pero no hay dato.</w:t>
            </w:r>
          </w:p>
        </w:tc>
      </w:tr>
      <w:tr>
        <w:tc>
          <w:tcPr/>
          <w:p>
            <w:pPr>
              <w:pStyle w:val="Compact"/>
              <w:jc w:val="left"/>
            </w:pPr>
            <w:r>
              <w:t xml:space="preserve">PRM</w:t>
            </w:r>
          </w:p>
        </w:tc>
        <w:tc>
          <w:tcPr/>
          <w:p>
            <w:pPr>
              <w:pStyle w:val="Compact"/>
              <w:jc w:val="left"/>
            </w:pPr>
            <w:r>
              <w:t xml:space="preserve">4% /</w:t>
            </w:r>
            <w:r>
              <w:t xml:space="preserve"> </w:t>
            </w:r>
            <w:r>
              <w:rPr>
                <w:bCs/>
                <w:b/>
              </w:rPr>
              <w:t xml:space="preserve">5%</w:t>
            </w:r>
            <w:r>
              <w:t xml:space="preserve"> </w:t>
            </w:r>
            <w:r>
              <w:t xml:space="preserve">/ 6%</w:t>
            </w:r>
          </w:p>
        </w:tc>
        <w:tc>
          <w:tcPr/>
          <w:p>
            <w:pPr>
              <w:pStyle w:val="Compact"/>
              <w:jc w:val="left"/>
            </w:pPr>
            <w:r>
              <w:t xml:space="preserve">5%: Bianco. Las otras: supuesto propio</w:t>
            </w:r>
          </w:p>
        </w:tc>
        <w:tc>
          <w:tcPr/>
          <w:p>
            <w:pPr>
              <w:pStyle w:val="Compact"/>
              <w:jc w:val="right"/>
            </w:pPr>
            <w:r>
              <w:t xml:space="preserve">7.773 / 6.758 / 6.008</w:t>
            </w:r>
          </w:p>
        </w:tc>
        <w:tc>
          <w:tcPr/>
          <w:p>
            <w:pPr>
              <w:pStyle w:val="Compact"/>
              <w:jc w:val="left"/>
            </w:pPr>
            <w:r>
              <w:t xml:space="preserve">5%, el dato del caso. El caso no dice si es un promedio aritmético o geométrico, ni de qué período.</w:t>
            </w:r>
          </w:p>
        </w:tc>
      </w:tr>
      <w:tr>
        <w:tc>
          <w:tcPr/>
          <w:p>
            <w:pPr>
              <w:pStyle w:val="Compact"/>
              <w:jc w:val="left"/>
            </w:pPr>
            <w:r>
              <w:t xml:space="preserve">Beta desapalancada</w:t>
            </w:r>
          </w:p>
        </w:tc>
        <w:tc>
          <w:tcPr/>
          <w:p>
            <w:pPr>
              <w:pStyle w:val="Compact"/>
              <w:jc w:val="left"/>
            </w:pPr>
            <w:r>
              <w:t xml:space="preserve">Hamada βd = 0: 0,816 · Harris-Pringle βd = 0: 0,726 ·</w:t>
            </w:r>
            <w:r>
              <w:t xml:space="preserve"> </w:t>
            </w:r>
            <w:r>
              <w:rPr>
                <w:bCs/>
                <w:b/>
              </w:rPr>
              <w:t xml:space="preserve">Harris-Pringle βd = 0,25: 0,797</w:t>
            </w:r>
          </w:p>
        </w:tc>
        <w:tc>
          <w:tcPr/>
          <w:p>
            <w:pPr>
              <w:pStyle w:val="Compact"/>
              <w:jc w:val="left"/>
            </w:pPr>
            <w:r>
              <w:t xml:space="preserve">Anexo 7</w:t>
            </w:r>
          </w:p>
        </w:tc>
        <w:tc>
          <w:tcPr/>
          <w:p>
            <w:pPr>
              <w:pStyle w:val="Compact"/>
              <w:jc w:val="right"/>
            </w:pPr>
            <w:r>
              <w:t xml:space="preserve">6.748 · 7.208 · 6.758</w:t>
            </w:r>
          </w:p>
        </w:tc>
        <w:tc>
          <w:tcPr/>
          <w:p>
            <w:pPr>
              <w:pStyle w:val="Compact"/>
              <w:jc w:val="left"/>
            </w:pPr>
            <w:r>
              <w:t xml:space="preserve">La deuda BBB+ paga 125 pb sobre el Tesoro, así que βd = (Kd − rf)/PRM = 0,25. Harris-Pringle (deuda reequilibrada) es coherente con un valor terminal a CPPC.</w:t>
            </w:r>
          </w:p>
        </w:tc>
      </w:tr>
      <w:tr>
        <w:tc>
          <w:tcPr/>
          <w:p>
            <w:pPr>
              <w:pStyle w:val="Compact"/>
              <w:jc w:val="left"/>
            </w:pPr>
            <w:r>
              <w:t xml:space="preserve">Estructura objetivo D/V</w:t>
            </w:r>
          </w:p>
        </w:tc>
        <w:tc>
          <w:tcPr/>
          <w:p>
            <w:pPr>
              <w:pStyle w:val="Compact"/>
              <w:jc w:val="left"/>
            </w:pPr>
            <w:r>
              <w:rPr>
                <w:bCs/>
                <w:b/>
              </w:rPr>
              <w:t xml:space="preserve">Promedio 28,1%</w:t>
            </w:r>
            <w:r>
              <w:t xml:space="preserve"> </w:t>
            </w:r>
            <w:r>
              <w:t xml:space="preserve">· mediana 29,5% · 50%</w:t>
            </w:r>
          </w:p>
        </w:tc>
        <w:tc>
          <w:tcPr/>
          <w:p>
            <w:pPr>
              <w:pStyle w:val="Compact"/>
              <w:jc w:val="left"/>
            </w:pPr>
            <w:r>
              <w:t xml:space="preserve">Anexo 7; R&amp;R</w:t>
            </w:r>
          </w:p>
        </w:tc>
        <w:tc>
          <w:tcPr/>
          <w:p>
            <w:pPr>
              <w:pStyle w:val="Compact"/>
              <w:jc w:val="right"/>
            </w:pPr>
            <w:r>
              <w:t xml:space="preserve">6.758 · 6.788 · 7.263</w:t>
            </w:r>
          </w:p>
        </w:tc>
        <w:tc>
          <w:tcPr/>
          <w:p>
            <w:pPr>
              <w:pStyle w:val="Compact"/>
              <w:jc w:val="left"/>
            </w:pPr>
            <w:r>
              <w:t xml:space="preserve">El caso dice que la deuda se paga hasta la norma de la industria. El 50% de R&amp;R es un tope de compra, no una estructura permanente.</w:t>
            </w:r>
          </w:p>
        </w:tc>
      </w:tr>
      <w:tr>
        <w:tc>
          <w:tcPr/>
          <w:p>
            <w:pPr>
              <w:pStyle w:val="Compact"/>
              <w:jc w:val="left"/>
            </w:pPr>
            <w:r>
              <w:t xml:space="preserve">Kd y tasa de impuestos</w:t>
            </w:r>
          </w:p>
        </w:tc>
        <w:tc>
          <w:tcPr/>
          <w:p>
            <w:pPr>
              <w:pStyle w:val="Compact"/>
              <w:jc w:val="left"/>
            </w:pPr>
            <w:r>
              <w:t xml:space="preserve">Kd 5,50%; t 40% (tasa efectiva 2007: 39,7%)</w:t>
            </w:r>
          </w:p>
        </w:tc>
        <w:tc>
          <w:tcPr/>
          <w:p>
            <w:pPr>
              <w:pStyle w:val="Compact"/>
              <w:jc w:val="left"/>
            </w:pPr>
            <w:r>
              <w:t xml:space="preserve">Caso</w:t>
            </w:r>
          </w:p>
        </w:tc>
        <w:tc>
          <w:tcPr/>
          <w:p>
            <w:pPr>
              <w:pStyle w:val="Compact"/>
              <w:jc w:val="right"/>
            </w:pPr>
            <w:r>
              <w:t xml:space="preserve">—</w:t>
            </w:r>
          </w:p>
        </w:tc>
        <w:tc>
          <w:tcPr/>
          <w:p>
            <w:pPr>
              <w:pStyle w:val="Compact"/>
              <w:jc w:val="left"/>
            </w:pPr>
            <w:r>
              <w:t xml:space="preserve">Las del caso.</w:t>
            </w:r>
          </w:p>
        </w:tc>
      </w:tr>
      <w:tr>
        <w:tc>
          <w:tcPr/>
          <w:p>
            <w:pPr>
              <w:pStyle w:val="Compact"/>
              <w:jc w:val="left"/>
            </w:pPr>
            <w:r>
              <w:t xml:space="preserve">Primas por tamaño, regulación o país</w:t>
            </w:r>
          </w:p>
        </w:tc>
        <w:tc>
          <w:tcPr/>
          <w:p>
            <w:pPr>
              <w:pStyle w:val="Compact"/>
              <w:jc w:val="left"/>
            </w:pPr>
            <w:r>
              <w:t xml:space="preserve">0</w:t>
            </w:r>
          </w:p>
        </w:tc>
        <w:tc>
          <w:tcPr/>
          <w:p>
            <w:pPr>
              <w:pStyle w:val="Compact"/>
              <w:jc w:val="left"/>
            </w:pPr>
            <w:r>
              <w:t xml:space="preserve">—</w:t>
            </w:r>
          </w:p>
        </w:tc>
        <w:tc>
          <w:tcPr/>
          <w:p>
            <w:pPr>
              <w:pStyle w:val="Compact"/>
              <w:jc w:val="right"/>
            </w:pPr>
            <w:r>
              <w:t xml:space="preserve">6.758</w:t>
            </w:r>
          </w:p>
        </w:tc>
        <w:tc>
          <w:tcPr/>
          <w:p>
            <w:pPr>
              <w:pStyle w:val="Compact"/>
              <w:jc w:val="left"/>
            </w:pPr>
            <w:r>
              <w:t xml:space="preserve">Sumarlas sería doble conteo: los comparables son operadores de EE. UU. con la misma regulación de la FCC. El caso no da prima por tamaño y ATC no es más pequeña que Rocky Mountain.</w:t>
            </w:r>
          </w:p>
        </w:tc>
      </w:tr>
      <w:tr>
        <w:tc>
          <w:tcPr/>
          <w:p>
            <w:pPr>
              <w:pStyle w:val="Compact"/>
              <w:jc w:val="left"/>
            </w:pPr>
            <w:r>
              <w:t xml:space="preserve">Afiliadas e interés minoritario</w:t>
            </w:r>
          </w:p>
        </w:tc>
        <w:tc>
          <w:tcPr/>
          <w:p>
            <w:pPr>
              <w:pStyle w:val="Compact"/>
              <w:jc w:val="left"/>
            </w:pPr>
            <w:r>
              <w:rPr>
                <w:bCs/>
                <w:b/>
              </w:rPr>
              <w:t xml:space="preserve">P/U 19,095x</w:t>
            </w:r>
            <w:r>
              <w:t xml:space="preserve"> </w:t>
            </w:r>
            <w:r>
              <w:t xml:space="preserve">/ valor en libros</w:t>
            </w:r>
          </w:p>
        </w:tc>
        <w:tc>
          <w:tcPr/>
          <w:p>
            <w:pPr>
              <w:pStyle w:val="Compact"/>
              <w:jc w:val="left"/>
            </w:pPr>
            <w:r>
              <w:t xml:space="preserve">Nota 3</w:t>
            </w:r>
          </w:p>
        </w:tc>
        <w:tc>
          <w:tcPr/>
          <w:p>
            <w:pPr>
              <w:pStyle w:val="Compact"/>
              <w:jc w:val="right"/>
            </w:pPr>
            <w:r>
              <w:t xml:space="preserve">6.758 / 5.441</w:t>
            </w:r>
          </w:p>
        </w:tc>
        <w:tc>
          <w:tcPr/>
          <w:p>
            <w:pPr>
              <w:pStyle w:val="Compact"/>
              <w:jc w:val="left"/>
            </w:pPr>
            <w:r>
              <w:t xml:space="preserve">P/U, como propone el caso. El minoritario se trata igual, por coherencia.</w:t>
            </w:r>
          </w:p>
        </w:tc>
      </w:tr>
      <w:tr>
        <w:tc>
          <w:tcPr/>
          <w:p>
            <w:pPr>
              <w:pStyle w:val="Compact"/>
              <w:jc w:val="left"/>
            </w:pPr>
            <w:r>
              <w:t xml:space="preserve">Descuento por iliquidez</w:t>
            </w:r>
          </w:p>
        </w:tc>
        <w:tc>
          <w:tcPr/>
          <w:p>
            <w:pPr>
              <w:pStyle w:val="Compact"/>
              <w:jc w:val="left"/>
            </w:pPr>
            <w:r>
              <w:rPr>
                <w:bCs/>
                <w:b/>
              </w:rPr>
              <w:t xml:space="preserve">0%</w:t>
            </w:r>
            <w:r>
              <w:t xml:space="preserve"> </w:t>
            </w:r>
            <w:r>
              <w:t xml:space="preserve">· 10% · ≈ 15,7% · 25% · 35%</w:t>
            </w:r>
          </w:p>
        </w:tc>
        <w:tc>
          <w:tcPr/>
          <w:p>
            <w:pPr>
              <w:pStyle w:val="Compact"/>
              <w:jc w:val="left"/>
            </w:pPr>
            <w:r>
              <w:t xml:space="preserve">Notas 5 y 6, Anexo 8</w:t>
            </w:r>
          </w:p>
        </w:tc>
        <w:tc>
          <w:tcPr/>
          <w:p>
            <w:pPr>
              <w:pStyle w:val="Compact"/>
              <w:jc w:val="right"/>
            </w:pPr>
            <w:r>
              <w:t xml:space="preserve">6.758 · 6.083 · 5.697 · 5.069 · 4.393</w:t>
            </w:r>
          </w:p>
        </w:tc>
        <w:tc>
          <w:tcPr/>
          <w:p>
            <w:pPr>
              <w:pStyle w:val="Compact"/>
              <w:jc w:val="left"/>
            </w:pPr>
            <w:r>
              <w:t xml:space="preserve">0% en el valor: ACC compra el control del 100% de una empresa grande y rentable que podría salir a bolsa. El 10% (costo de salir a bolsa) se usa solo como argumento de apertura.</w:t>
            </w:r>
          </w:p>
        </w:tc>
      </w:tr>
    </w:tbl>
    <w:p>
      <w:pPr>
        <w:pStyle w:val="BodyText"/>
      </w:pPr>
      <w:r>
        <w:rPr>
          <w:bCs/>
          <w:b/>
        </w:rPr>
        <w:t xml:space="preserve">Resultado:</w:t>
      </w:r>
      <w:r>
        <w:t xml:space="preserve"> </w:t>
      </w:r>
      <w:r>
        <w:t xml:space="preserve">βu = 0,797 → Ku = 4,25% + 0,797 × 5% =</w:t>
      </w:r>
      <w:r>
        <w:t xml:space="preserve"> </w:t>
      </w:r>
      <w:r>
        <w:rPr>
          <w:bCs/>
          <w:b/>
        </w:rPr>
        <w:t xml:space="preserve">8,23%</w:t>
      </w:r>
      <w:r>
        <w:t xml:space="preserve">. Con D/V de 28,1% (D/P 39,1%), la beta reapalancada es 1,011 y Ke = 9,30%. El CPPC objetivo es 7,62%, igual a Ku − t × Kd × D/V (7,62%).</w:t>
      </w:r>
    </w:p>
    <w:p>
      <w:pPr>
        <w:pStyle w:val="BodyText"/>
      </w:pPr>
      <w:r>
        <w:rPr>
          <w:bCs/>
          <w:b/>
        </w:rPr>
        <w:t xml:space="preserve">Moneda e inflación:</w:t>
      </w:r>
      <w:r>
        <w:t xml:space="preserve"> </w:t>
      </w:r>
      <w:r>
        <w:t xml:space="preserve">flujos, rf y Kd están en US$ nominales. El caso no da inflación; g es nominal y no se supone ninguna inflación explícita.</w:t>
      </w:r>
    </w:p>
    <w:p>
      <w:pPr>
        <w:pStyle w:val="BodyText"/>
      </w:pPr>
      <w:r>
        <w:rPr>
          <w:bCs/>
          <w:b/>
        </w:rPr>
        <w:t xml:space="preserve">Qué significa la tasa:</w:t>
      </w:r>
      <w:r>
        <w:t xml:space="preserve"> </w:t>
      </w:r>
      <w:r>
        <w:t xml:space="preserve">con Ku de 8,23%, los accionistas exigen a las operaciones unos US$503 millones al año sobre su valor de 6.104. El NOPAT de 2008 es 244, así que el valor depende de que ATC mejore y crezca. Con g = 2,5%, subir Ku de 8,00% a 8,25% lleva el patrimonio de 6.926 a 6.637.</w:t>
      </w:r>
    </w:p>
    <w:bookmarkEnd w:id="27"/>
    <w:bookmarkStart w:id="28" w:name="valoración-apv-método-de-acc"/>
    <w:p>
      <w:pPr>
        <w:pStyle w:val="Heading2"/>
      </w:pPr>
      <w:r>
        <w:t xml:space="preserve">3.2 Valoración (APV, método de ACC)</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Componente</w:t>
            </w:r>
          </w:p>
        </w:tc>
        <w:tc>
          <w:tcPr/>
          <w:p>
            <w:pPr>
              <w:pStyle w:val="Compact"/>
              <w:jc w:val="right"/>
            </w:pPr>
            <w:r>
              <w:t xml:space="preserve">Millones de US$</w:t>
            </w:r>
          </w:p>
        </w:tc>
      </w:tr>
      <w:tr>
        <w:tc>
          <w:tcPr/>
          <w:p>
            <w:pPr>
              <w:pStyle w:val="Compact"/>
              <w:jc w:val="left"/>
            </w:pPr>
            <w:r>
              <w:t xml:space="preserve">VP de los flujos libres 2008-2012 a Ku</w:t>
            </w:r>
          </w:p>
        </w:tc>
        <w:tc>
          <w:tcPr/>
          <w:p>
            <w:pPr>
              <w:pStyle w:val="Compact"/>
              <w:jc w:val="right"/>
            </w:pPr>
            <w:r>
              <w:t xml:space="preserve">1.258</w:t>
            </w:r>
          </w:p>
        </w:tc>
      </w:tr>
      <w:tr>
        <w:tc>
          <w:tcPr/>
          <w:p>
            <w:pPr>
              <w:pStyle w:val="Compact"/>
              <w:jc w:val="left"/>
            </w:pPr>
            <w:r>
              <w:t xml:space="preserve">VP del valor terminal (FCF 2013 328 / (CPPC − g), descontado a Ku)</w:t>
            </w:r>
          </w:p>
        </w:tc>
        <w:tc>
          <w:tcPr/>
          <w:p>
            <w:pPr>
              <w:pStyle w:val="Compact"/>
              <w:jc w:val="right"/>
            </w:pPr>
            <w:r>
              <w:t xml:space="preserve">4.560</w:t>
            </w:r>
          </w:p>
        </w:tc>
      </w:tr>
      <w:tr>
        <w:tc>
          <w:tcPr/>
          <w:p>
            <w:pPr>
              <w:pStyle w:val="Compact"/>
              <w:jc w:val="left"/>
            </w:pPr>
            <w:r>
              <w:t xml:space="preserve">VP de los escudos fiscales de la deuda de adquisición 2008-2012 a Kd</w:t>
            </w:r>
          </w:p>
        </w:tc>
        <w:tc>
          <w:tcPr/>
          <w:p>
            <w:pPr>
              <w:pStyle w:val="Compact"/>
              <w:jc w:val="right"/>
            </w:pPr>
            <w:r>
              <w:t xml:space="preserve">285</w:t>
            </w:r>
          </w:p>
        </w:tc>
      </w:tr>
      <w:tr>
        <w:tc>
          <w:tcPr/>
          <w:p>
            <w:pPr>
              <w:pStyle w:val="Compact"/>
              <w:jc w:val="left"/>
            </w:pPr>
            <w:r>
              <w:rPr>
                <w:bCs/>
                <w:b/>
              </w:rPr>
              <w:t xml:space="preserve">Valor de las operaciones</w:t>
            </w:r>
          </w:p>
        </w:tc>
        <w:tc>
          <w:tcPr/>
          <w:p>
            <w:pPr>
              <w:pStyle w:val="Compact"/>
              <w:jc w:val="right"/>
            </w:pPr>
            <w:r>
              <w:rPr>
                <w:bCs/>
                <w:b/>
              </w:rPr>
              <w:t xml:space="preserve">6.104</w:t>
            </w:r>
          </w:p>
        </w:tc>
      </w:tr>
      <w:tr>
        <w:tc>
          <w:tcPr/>
          <w:p>
            <w:pPr>
              <w:pStyle w:val="Compact"/>
              <w:jc w:val="left"/>
            </w:pPr>
            <w:r>
              <w:t xml:space="preserve">Caja y valores negociables</w:t>
            </w:r>
          </w:p>
        </w:tc>
        <w:tc>
          <w:tcPr/>
          <w:p>
            <w:pPr>
              <w:pStyle w:val="Compact"/>
              <w:jc w:val="right"/>
            </w:pPr>
            <w:r>
              <w:t xml:space="preserve">221</w:t>
            </w:r>
          </w:p>
        </w:tc>
      </w:tr>
      <w:tr>
        <w:tc>
          <w:tcPr/>
          <w:p>
            <w:pPr>
              <w:pStyle w:val="Compact"/>
              <w:jc w:val="left"/>
            </w:pPr>
            <w:r>
              <w:t xml:space="preserve">Afiliadas: utilidad 90,0 × P/U 19,095</w:t>
            </w:r>
          </w:p>
        </w:tc>
        <w:tc>
          <w:tcPr/>
          <w:p>
            <w:pPr>
              <w:pStyle w:val="Compact"/>
              <w:jc w:val="right"/>
            </w:pPr>
            <w:r>
              <w:t xml:space="preserve">1.719</w:t>
            </w:r>
          </w:p>
        </w:tc>
      </w:tr>
      <w:tr>
        <w:tc>
          <w:tcPr/>
          <w:p>
            <w:pPr>
              <w:pStyle w:val="Compact"/>
              <w:jc w:val="left"/>
            </w:pPr>
            <w:r>
              <w:t xml:space="preserve">Nota por cobrar</w:t>
            </w:r>
          </w:p>
        </w:tc>
        <w:tc>
          <w:tcPr/>
          <w:p>
            <w:pPr>
              <w:pStyle w:val="Compact"/>
              <w:jc w:val="right"/>
            </w:pPr>
            <w:r>
              <w:t xml:space="preserve">4,4</w:t>
            </w:r>
          </w:p>
        </w:tc>
      </w:tr>
      <w:tr>
        <w:tc>
          <w:tcPr/>
          <w:p>
            <w:pPr>
              <w:pStyle w:val="Compact"/>
              <w:jc w:val="left"/>
            </w:pPr>
            <w:r>
              <w:t xml:space="preserve">− Deuda existente (se refinancia)</w:t>
            </w:r>
          </w:p>
        </w:tc>
        <w:tc>
          <w:tcPr/>
          <w:p>
            <w:pPr>
              <w:pStyle w:val="Compact"/>
              <w:jc w:val="right"/>
            </w:pPr>
            <w:r>
              <w:t xml:space="preserve">1.002</w:t>
            </w:r>
          </w:p>
        </w:tc>
      </w:tr>
      <w:tr>
        <w:tc>
          <w:tcPr/>
          <w:p>
            <w:pPr>
              <w:pStyle w:val="Compact"/>
              <w:jc w:val="left"/>
            </w:pPr>
            <w:r>
              <w:t xml:space="preserve">− Interés minoritario: 15,1 × P/U 19,095</w:t>
            </w:r>
          </w:p>
        </w:tc>
        <w:tc>
          <w:tcPr/>
          <w:p>
            <w:pPr>
              <w:pStyle w:val="Compact"/>
              <w:jc w:val="right"/>
            </w:pPr>
            <w:r>
              <w:t xml:space="preserve">287</w:t>
            </w:r>
          </w:p>
        </w:tc>
      </w:tr>
      <w:tr>
        <w:tc>
          <w:tcPr/>
          <w:p>
            <w:pPr>
              <w:pStyle w:val="Compact"/>
              <w:jc w:val="left"/>
            </w:pPr>
            <w:r>
              <w:rPr>
                <w:bCs/>
                <w:b/>
              </w:rPr>
              <w:t xml:space="preserve">Valor del patrimonio sin sinergias</w:t>
            </w:r>
          </w:p>
        </w:tc>
        <w:tc>
          <w:tcPr/>
          <w:p>
            <w:pPr>
              <w:pStyle w:val="Compact"/>
              <w:jc w:val="right"/>
            </w:pPr>
            <w:r>
              <w:rPr>
                <w:bCs/>
                <w:b/>
              </w:rPr>
              <w:t xml:space="preserve">6.758</w:t>
            </w:r>
          </w:p>
        </w:tc>
      </w:tr>
    </w:tbl>
    <w:p>
      <w:pPr>
        <w:pStyle w:val="BodyText"/>
      </w:pPr>
      <w:r>
        <w:t xml:space="preserve">El crecimiento a perpetuidad sale del propio modelo (notas 7 y 8 del caso): ROIC 2012 (10,4%) × tasa de reinversión 2012 (26,7%) =</w:t>
      </w:r>
      <w:r>
        <w:t xml:space="preserve"> </w:t>
      </w:r>
      <w:r>
        <w:rPr>
          <w:bCs/>
          <w:b/>
        </w:rPr>
        <w:t xml:space="preserve">2,78%</w:t>
      </w:r>
      <w:r>
        <w:t xml:space="preserve">. Es nominal y está por debajo de cualquier estimación razonable del crecimiento nominal de la economía de EE. UU. (el caso no da ese dato).</w:t>
      </w:r>
    </w:p>
    <w:p>
      <w:pPr>
        <w:pStyle w:val="BodyText"/>
      </w:pPr>
      <w:r>
        <w:rPr>
          <w:bCs/>
          <w:b/>
        </w:rPr>
        <w:t xml:space="preserve">Contrastes:</w:t>
      </w:r>
    </w:p>
    <w:p>
      <w:pPr>
        <w:numPr>
          <w:ilvl w:val="0"/>
          <w:numId w:val="1005"/>
        </w:numPr>
        <w:pStyle w:val="Compact"/>
      </w:pPr>
      <w:r>
        <w:rPr>
          <w:bCs/>
          <w:b/>
        </w:rPr>
        <w:t xml:space="preserve">CPPC-DCF a estructura objetivo constante:</w:t>
      </w:r>
      <w:r>
        <w:t xml:space="preserve"> </w:t>
      </w:r>
      <w:r>
        <w:t xml:space="preserve">patrimonio de 6.627. La diferencia con el APV (131) mide el valor de endeudarse más que la industria durante cinco años; la financiación no es donde está el valor.</w:t>
      </w:r>
    </w:p>
    <w:p>
      <w:pPr>
        <w:numPr>
          <w:ilvl w:val="0"/>
          <w:numId w:val="1005"/>
        </w:numPr>
        <w:pStyle w:val="Compact"/>
      </w:pPr>
      <w:r>
        <w:rPr>
          <w:bCs/>
          <w:b/>
        </w:rPr>
        <w:t xml:space="preserve">P/U histórico de la industria × utilidad neta de 2007:</w:t>
      </w:r>
      <w:r>
        <w:t xml:space="preserve"> </w:t>
      </w:r>
      <w:r>
        <w:t xml:space="preserve">6.010, coherente con el APV.</w:t>
      </w:r>
    </w:p>
    <w:p>
      <w:pPr>
        <w:numPr>
          <w:ilvl w:val="0"/>
          <w:numId w:val="1005"/>
        </w:numPr>
        <w:pStyle w:val="Compact"/>
      </w:pPr>
      <w:r>
        <w:rPr>
          <w:bCs/>
          <w:b/>
        </w:rPr>
        <w:t xml:space="preserve">Múltiplos actuales de los comparables:</w:t>
      </w:r>
      <w:r>
        <w:t xml:space="preserve"> </w:t>
      </w:r>
      <w:r>
        <w:t xml:space="preserve">mucho más altos. Un VE/EBITDA 2007 de 10,3x da un patrimonio de 11.332, y el valor terminal por múltiplo da 13.867. El APV implica 4,0 veces el EBITDA de 2012 en el valor terminal; el múltiplo de 10,3x exige g = 6,6%. Los comparables tienen márgenes EBITDA de 31,6%, frente al 24,6% proyectado para ATC, y P/U actuales de 31,0x frente a un histórico de 19,1x. Pagar ese múltiplo supondría que ATC ya es un operador nacional.</w:t>
      </w:r>
    </w:p>
    <w:p>
      <w:pPr>
        <w:pStyle w:val="FirstParagraph"/>
      </w:pPr>
      <w:r>
        <w:rPr>
          <w:bCs/>
          <w:b/>
        </w:rPr>
        <w:t xml:space="preserve">Variable decisiva.</w:t>
      </w:r>
      <w:r>
        <w:t xml:space="preserve"> </w:t>
      </w:r>
      <w:r>
        <w:t xml:space="preserve">El rango de cada decisión sobre el patrimonio 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Decisión</w:t>
            </w:r>
          </w:p>
        </w:tc>
        <w:tc>
          <w:tcPr/>
          <w:p>
            <w:pPr>
              <w:pStyle w:val="Compact"/>
              <w:jc w:val="right"/>
            </w:pPr>
            <w:r>
              <w:t xml:space="preserve">Bajo</w:t>
            </w:r>
          </w:p>
        </w:tc>
        <w:tc>
          <w:tcPr/>
          <w:p>
            <w:pPr>
              <w:pStyle w:val="Compact"/>
              <w:jc w:val="right"/>
            </w:pPr>
            <w:r>
              <w:t xml:space="preserve">Alto</w:t>
            </w:r>
          </w:p>
        </w:tc>
        <w:tc>
          <w:tcPr/>
          <w:p>
            <w:pPr>
              <w:pStyle w:val="Compact"/>
              <w:jc w:val="right"/>
            </w:pPr>
            <w:r>
              <w:t xml:space="preserve">Rango</w:t>
            </w:r>
          </w:p>
        </w:tc>
      </w:tr>
      <w:tr>
        <w:tc>
          <w:tcPr/>
          <w:p>
            <w:pPr>
              <w:pStyle w:val="Compact"/>
              <w:jc w:val="left"/>
            </w:pPr>
            <w:r>
              <w:t xml:space="preserve">Valor terminal: perpetuidad vs. múltiplo</w:t>
            </w:r>
          </w:p>
        </w:tc>
        <w:tc>
          <w:tcPr/>
          <w:p>
            <w:pPr>
              <w:pStyle w:val="Compact"/>
              <w:jc w:val="right"/>
            </w:pPr>
            <w:r>
              <w:t xml:space="preserve">6.758</w:t>
            </w:r>
          </w:p>
        </w:tc>
        <w:tc>
          <w:tcPr/>
          <w:p>
            <w:pPr>
              <w:pStyle w:val="Compact"/>
              <w:jc w:val="right"/>
            </w:pPr>
            <w:r>
              <w:t xml:space="preserve">13.867</w:t>
            </w:r>
          </w:p>
        </w:tc>
        <w:tc>
          <w:tcPr/>
          <w:p>
            <w:pPr>
              <w:pStyle w:val="Compact"/>
              <w:jc w:val="right"/>
            </w:pPr>
            <w:r>
              <w:t xml:space="preserve">7.109</w:t>
            </w:r>
          </w:p>
        </w:tc>
      </w:tr>
      <w:tr>
        <w:tc>
          <w:tcPr/>
          <w:p>
            <w:pPr>
              <w:pStyle w:val="Compact"/>
              <w:jc w:val="left"/>
            </w:pPr>
            <w:r>
              <w:t xml:space="preserve">Escenario combinado de riesgo</w:t>
            </w:r>
          </w:p>
        </w:tc>
        <w:tc>
          <w:tcPr/>
          <w:p>
            <w:pPr>
              <w:pStyle w:val="Compact"/>
              <w:jc w:val="right"/>
            </w:pPr>
            <w:r>
              <w:t xml:space="preserve">4.641</w:t>
            </w:r>
          </w:p>
        </w:tc>
        <w:tc>
          <w:tcPr/>
          <w:p>
            <w:pPr>
              <w:pStyle w:val="Compact"/>
              <w:jc w:val="right"/>
            </w:pPr>
            <w:r>
              <w:t xml:space="preserve">6.758</w:t>
            </w:r>
          </w:p>
        </w:tc>
        <w:tc>
          <w:tcPr/>
          <w:p>
            <w:pPr>
              <w:pStyle w:val="Compact"/>
              <w:jc w:val="right"/>
            </w:pPr>
            <w:r>
              <w:t xml:space="preserve">2.117</w:t>
            </w:r>
          </w:p>
        </w:tc>
      </w:tr>
      <w:tr>
        <w:tc>
          <w:tcPr/>
          <w:p>
            <w:pPr>
              <w:pStyle w:val="Compact"/>
              <w:jc w:val="left"/>
            </w:pPr>
            <w:r>
              <w:t xml:space="preserve">PRM 4%-6%</w:t>
            </w:r>
          </w:p>
        </w:tc>
        <w:tc>
          <w:tcPr/>
          <w:p>
            <w:pPr>
              <w:pStyle w:val="Compact"/>
              <w:jc w:val="right"/>
            </w:pPr>
            <w:r>
              <w:t xml:space="preserve">6.008</w:t>
            </w:r>
          </w:p>
        </w:tc>
        <w:tc>
          <w:tcPr/>
          <w:p>
            <w:pPr>
              <w:pStyle w:val="Compact"/>
              <w:jc w:val="right"/>
            </w:pPr>
            <w:r>
              <w:t xml:space="preserve">7.773</w:t>
            </w:r>
          </w:p>
        </w:tc>
        <w:tc>
          <w:tcPr/>
          <w:p>
            <w:pPr>
              <w:pStyle w:val="Compact"/>
              <w:jc w:val="right"/>
            </w:pPr>
            <w:r>
              <w:t xml:space="preserve">1.765</w:t>
            </w:r>
          </w:p>
        </w:tc>
      </w:tr>
      <w:tr>
        <w:tc>
          <w:tcPr/>
          <w:p>
            <w:pPr>
              <w:pStyle w:val="Compact"/>
              <w:jc w:val="left"/>
            </w:pPr>
            <w:r>
              <w:t xml:space="preserve">Descuento por iliquidez 0%-25%</w:t>
            </w:r>
          </w:p>
        </w:tc>
        <w:tc>
          <w:tcPr/>
          <w:p>
            <w:pPr>
              <w:pStyle w:val="Compact"/>
              <w:jc w:val="right"/>
            </w:pPr>
            <w:r>
              <w:t xml:space="preserve">5.069</w:t>
            </w:r>
          </w:p>
        </w:tc>
        <w:tc>
          <w:tcPr/>
          <w:p>
            <w:pPr>
              <w:pStyle w:val="Compact"/>
              <w:jc w:val="right"/>
            </w:pPr>
            <w:r>
              <w:t xml:space="preserve">6.758</w:t>
            </w:r>
          </w:p>
        </w:tc>
        <w:tc>
          <w:tcPr/>
          <w:p>
            <w:pPr>
              <w:pStyle w:val="Compact"/>
              <w:jc w:val="right"/>
            </w:pPr>
            <w:r>
              <w:t xml:space="preserve">1.690</w:t>
            </w:r>
          </w:p>
        </w:tc>
      </w:tr>
      <w:tr>
        <w:tc>
          <w:tcPr/>
          <w:p>
            <w:pPr>
              <w:pStyle w:val="Compact"/>
              <w:jc w:val="left"/>
            </w:pPr>
            <w:r>
              <w:t xml:space="preserve">Afiliadas y minoritario: libros vs. P/U</w:t>
            </w:r>
          </w:p>
        </w:tc>
        <w:tc>
          <w:tcPr/>
          <w:p>
            <w:pPr>
              <w:pStyle w:val="Compact"/>
              <w:jc w:val="right"/>
            </w:pPr>
            <w:r>
              <w:t xml:space="preserve">5.441</w:t>
            </w:r>
          </w:p>
        </w:tc>
        <w:tc>
          <w:tcPr/>
          <w:p>
            <w:pPr>
              <w:pStyle w:val="Compact"/>
              <w:jc w:val="right"/>
            </w:pPr>
            <w:r>
              <w:t xml:space="preserve">6.758</w:t>
            </w:r>
          </w:p>
        </w:tc>
        <w:tc>
          <w:tcPr/>
          <w:p>
            <w:pPr>
              <w:pStyle w:val="Compact"/>
              <w:jc w:val="right"/>
            </w:pPr>
            <w:r>
              <w:t xml:space="preserve">1.317</w:t>
            </w:r>
          </w:p>
        </w:tc>
      </w:tr>
      <w:tr>
        <w:tc>
          <w:tcPr/>
          <w:p>
            <w:pPr>
              <w:pStyle w:val="Compact"/>
              <w:jc w:val="left"/>
            </w:pPr>
            <w:r>
              <w:t xml:space="preserve">D/V objetivo</w:t>
            </w:r>
          </w:p>
        </w:tc>
        <w:tc>
          <w:tcPr/>
          <w:p>
            <w:pPr>
              <w:pStyle w:val="Compact"/>
              <w:jc w:val="right"/>
            </w:pPr>
            <w:r>
              <w:t xml:space="preserve">6.758</w:t>
            </w:r>
          </w:p>
        </w:tc>
        <w:tc>
          <w:tcPr/>
          <w:p>
            <w:pPr>
              <w:pStyle w:val="Compact"/>
              <w:jc w:val="right"/>
            </w:pPr>
            <w:r>
              <w:t xml:space="preserve">7.263</w:t>
            </w:r>
          </w:p>
        </w:tc>
        <w:tc>
          <w:tcPr/>
          <w:p>
            <w:pPr>
              <w:pStyle w:val="Compact"/>
              <w:jc w:val="right"/>
            </w:pPr>
            <w:r>
              <w:t xml:space="preserve">504</w:t>
            </w:r>
          </w:p>
        </w:tc>
      </w:tr>
      <w:tr>
        <w:tc>
          <w:tcPr/>
          <w:p>
            <w:pPr>
              <w:pStyle w:val="Compact"/>
              <w:jc w:val="left"/>
            </w:pPr>
            <w:r>
              <w:t xml:space="preserve">Método de beta</w:t>
            </w:r>
          </w:p>
        </w:tc>
        <w:tc>
          <w:tcPr/>
          <w:p>
            <w:pPr>
              <w:pStyle w:val="Compact"/>
              <w:jc w:val="right"/>
            </w:pPr>
            <w:r>
              <w:t xml:space="preserve">6.748</w:t>
            </w:r>
          </w:p>
        </w:tc>
        <w:tc>
          <w:tcPr/>
          <w:p>
            <w:pPr>
              <w:pStyle w:val="Compact"/>
              <w:jc w:val="right"/>
            </w:pPr>
            <w:r>
              <w:t xml:space="preserve">7.208</w:t>
            </w:r>
          </w:p>
        </w:tc>
        <w:tc>
          <w:tcPr/>
          <w:p>
            <w:pPr>
              <w:pStyle w:val="Compact"/>
              <w:jc w:val="right"/>
            </w:pPr>
            <w:r>
              <w:t xml:space="preserve">460</w:t>
            </w:r>
          </w:p>
        </w:tc>
      </w:tr>
      <w:tr>
        <w:tc>
          <w:tcPr/>
          <w:p>
            <w:pPr>
              <w:pStyle w:val="Compact"/>
              <w:jc w:val="left"/>
            </w:pPr>
            <w:r>
              <w:t xml:space="preserve">g ± 0,5 pp</w:t>
            </w:r>
          </w:p>
        </w:tc>
        <w:tc>
          <w:tcPr/>
          <w:p>
            <w:pPr>
              <w:pStyle w:val="Compact"/>
              <w:jc w:val="right"/>
            </w:pPr>
            <w:r>
              <w:t xml:space="preserve">6.580</w:t>
            </w:r>
          </w:p>
        </w:tc>
        <w:tc>
          <w:tcPr/>
          <w:p>
            <w:pPr>
              <w:pStyle w:val="Compact"/>
              <w:jc w:val="right"/>
            </w:pPr>
            <w:r>
              <w:t xml:space="preserve">6.975</w:t>
            </w:r>
          </w:p>
        </w:tc>
        <w:tc>
          <w:tcPr/>
          <w:p>
            <w:pPr>
              <w:pStyle w:val="Compact"/>
              <w:jc w:val="right"/>
            </w:pPr>
            <w:r>
              <w:t xml:space="preserve">394</w:t>
            </w:r>
          </w:p>
        </w:tc>
      </w:tr>
    </w:tbl>
    <w:p>
      <w:pPr>
        <w:pStyle w:val="BodyText"/>
      </w:pPr>
      <w:r>
        <w:rPr>
          <w:iCs/>
          <w:i/>
        </w:rPr>
        <w:t xml:space="preserve">La D/V objetivo solo cambia el CPPC del valor terminal (los escudos fiscales posteriores a 2012); por eso su efecto es menor que el de la PRM, que mueve Ku en todos los años.</w:t>
      </w:r>
    </w:p>
    <w:bookmarkEnd w:id="28"/>
    <w:bookmarkEnd w:id="29"/>
    <w:bookmarkStart w:id="30" w:name="problemas-y-alternativas"/>
    <w:p>
      <w:pPr>
        <w:pStyle w:val="Heading1"/>
      </w:pPr>
      <w:r>
        <w:t xml:space="preserve">4. Problemas y alternativas</w:t>
      </w:r>
    </w:p>
    <w:p>
      <w:pPr>
        <w:pStyle w:val="FirstParagraph"/>
      </w:pPr>
      <w:r>
        <w:rPr>
          <w:bCs/>
          <w:b/>
        </w:rPr>
        <w:t xml:space="preserve">Problemas, por prioridad:</w:t>
      </w:r>
    </w:p>
    <w:p>
      <w:pPr>
        <w:numPr>
          <w:ilvl w:val="0"/>
          <w:numId w:val="1006"/>
        </w:numPr>
        <w:pStyle w:val="Compact"/>
      </w:pPr>
      <w:r>
        <w:rPr>
          <w:bCs/>
          <w:b/>
        </w:rPr>
        <w:t xml:space="preserve">Riesgo de pagar de más.</w:t>
      </w:r>
      <w:r>
        <w:t xml:space="preserve"> </w:t>
      </w:r>
      <w:r>
        <w:t xml:space="preserve">Los múltiplos de mercado (11.332 a 13.867) duplican el valor intrínseco (6.758). El vendedor anclará su precio ahí.</w:t>
      </w:r>
    </w:p>
    <w:p>
      <w:pPr>
        <w:numPr>
          <w:ilvl w:val="0"/>
          <w:numId w:val="1006"/>
        </w:numPr>
        <w:pStyle w:val="Compact"/>
      </w:pPr>
      <w:r>
        <w:rPr>
          <w:bCs/>
          <w:b/>
        </w:rPr>
        <w:t xml:space="preserve">Desventaja estructural de costos y precios.</w:t>
      </w:r>
      <w:r>
        <w:t xml:space="preserve"> </w:t>
      </w:r>
      <w:r>
        <w:t xml:space="preserve">El margen EBITDA es 26,2% frente a 31,6% de los rivales, el ingreso por minuto cayó 11,3% y el costo por cliente nuevo subió 26,5%. El Anexo 1 ya proyecta un margen de 24,6%.</w:t>
      </w:r>
    </w:p>
    <w:p>
      <w:pPr>
        <w:numPr>
          <w:ilvl w:val="0"/>
          <w:numId w:val="1006"/>
        </w:numPr>
        <w:pStyle w:val="Compact"/>
      </w:pPr>
      <w:r>
        <w:rPr>
          <w:bCs/>
          <w:b/>
        </w:rPr>
        <w:t xml:space="preserve">Financiación tensa.</w:t>
      </w:r>
      <w:r>
        <w:t xml:space="preserve"> </w:t>
      </w:r>
      <w:r>
        <w:t xml:space="preserve">La deuda de 3.758 es el 62% del valor de las operaciones. La deuda arranca en 3,6 veces el EBITDA, y el flujo no cubre la amortización (línea de crédito de 563 en 2012).</w:t>
      </w:r>
    </w:p>
    <w:p>
      <w:pPr>
        <w:numPr>
          <w:ilvl w:val="0"/>
          <w:numId w:val="1006"/>
        </w:numPr>
        <w:pStyle w:val="Compact"/>
      </w:pPr>
      <w:r>
        <w:rPr>
          <w:bCs/>
          <w:b/>
        </w:rPr>
        <w:t xml:space="preserve">Valor concentrado en el largo plazo y en activos poco conocidos.</w:t>
      </w:r>
      <w:r>
        <w:t xml:space="preserve"> </w:t>
      </w:r>
      <w:r>
        <w:t xml:space="preserve">El valor terminal es el 75% del valor de las operaciones, y las afiliadas, sin due diligence, son el 25% del patrimonio.</w:t>
      </w:r>
    </w:p>
    <w:p>
      <w:pPr>
        <w:numPr>
          <w:ilvl w:val="0"/>
          <w:numId w:val="1006"/>
        </w:numPr>
        <w:pStyle w:val="Compact"/>
      </w:pPr>
      <w:r>
        <w:rPr>
          <w:bCs/>
          <w:b/>
        </w:rPr>
        <w:t xml:space="preserve">Sinergias de ingresos sin sustento.</w:t>
      </w:r>
      <w:r>
        <w:t xml:space="preserve"> </w:t>
      </w:r>
      <w:r>
        <w:t xml:space="preserve">Son el 70% del valor de las sinergias y el caso no da su margen.</w:t>
      </w:r>
    </w:p>
    <w:p>
      <w:pPr>
        <w:pStyle w:val="FirstParagraph"/>
      </w:pPr>
      <w:r>
        <w:rPr>
          <w:bCs/>
          <w:b/>
        </w:rPr>
        <w:t xml:space="preserve">Alternativas</w:t>
      </w:r>
      <w:r>
        <w:t xml:space="preserve"> </w:t>
      </w:r>
      <w:r>
        <w:t xml:space="preserve">(mismo orden en tabla y texto):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A. Pagar solo el valor independiente</w:t>
            </w:r>
          </w:p>
        </w:tc>
        <w:tc>
          <w:tcPr/>
          <w:p>
            <w:pPr>
              <w:pStyle w:val="Compact"/>
              <w:jc w:val="left"/>
            </w:pPr>
            <w:r>
              <w:t xml:space="preserve">B. Compartir las sinergias de backhaul (recomendada)</w:t>
            </w:r>
          </w:p>
        </w:tc>
        <w:tc>
          <w:tcPr/>
          <w:p>
            <w:pPr>
              <w:pStyle w:val="Compact"/>
              <w:jc w:val="left"/>
            </w:pPr>
            <w:r>
              <w:t xml:space="preserve">C. Pagar con todas las sinergias</w:t>
            </w:r>
          </w:p>
        </w:tc>
        <w:tc>
          <w:tcPr/>
          <w:p>
            <w:pPr>
              <w:pStyle w:val="Compact"/>
              <w:jc w:val="left"/>
            </w:pPr>
            <w:r>
              <w:t xml:space="preserve">D. No comprar: acuerdo comercial de backhaul</w:t>
            </w:r>
          </w:p>
        </w:tc>
      </w:tr>
      <w:tr>
        <w:tc>
          <w:tcPr/>
          <w:p>
            <w:pPr>
              <w:pStyle w:val="Compact"/>
              <w:jc w:val="left"/>
            </w:pPr>
            <w:r>
              <w:t xml:space="preserve">Precio del patrimonio</w:t>
            </w:r>
          </w:p>
        </w:tc>
        <w:tc>
          <w:tcPr/>
          <w:p>
            <w:pPr>
              <w:pStyle w:val="Compact"/>
              <w:jc w:val="left"/>
            </w:pPr>
            <w:r>
              <w:t xml:space="preserve">≤ 6.758</w:t>
            </w:r>
          </w:p>
        </w:tc>
        <w:tc>
          <w:tcPr/>
          <w:p>
            <w:pPr>
              <w:pStyle w:val="Compact"/>
              <w:jc w:val="left"/>
            </w:pPr>
            <w:r>
              <w:t xml:space="preserve">Objetivo 7.084; máximo 7.409</w:t>
            </w:r>
          </w:p>
        </w:tc>
        <w:tc>
          <w:tcPr/>
          <w:p>
            <w:pPr>
              <w:pStyle w:val="Compact"/>
              <w:jc w:val="left"/>
            </w:pPr>
            <w:r>
              <w:t xml:space="preserve">Hasta 8.963</w:t>
            </w:r>
          </w:p>
        </w:tc>
        <w:tc>
          <w:tcPr/>
          <w:p>
            <w:pPr>
              <w:pStyle w:val="Compact"/>
              <w:jc w:val="left"/>
            </w:pPr>
            <w:r>
              <w:t xml:space="preserve">0</w:t>
            </w:r>
          </w:p>
        </w:tc>
      </w:tr>
      <w:tr>
        <w:tc>
          <w:tcPr/>
          <w:p>
            <w:pPr>
              <w:pStyle w:val="Compact"/>
              <w:jc w:val="left"/>
            </w:pPr>
            <w:r>
              <w:t xml:space="preserve">Valor que queda para ACC</w:t>
            </w:r>
          </w:p>
        </w:tc>
        <w:tc>
          <w:tcPr/>
          <w:p>
            <w:pPr>
              <w:pStyle w:val="Compact"/>
              <w:jc w:val="left"/>
            </w:pPr>
            <w:r>
              <w:t xml:space="preserve">Todas las sinergias (651 + 1.554)</w:t>
            </w:r>
          </w:p>
        </w:tc>
        <w:tc>
          <w:tcPr/>
          <w:p>
            <w:pPr>
              <w:pStyle w:val="Compact"/>
              <w:jc w:val="left"/>
            </w:pPr>
            <w:r>
              <w:t xml:space="preserve">Al máximo: sinergias de ingresos (1.554)</w:t>
            </w:r>
          </w:p>
        </w:tc>
        <w:tc>
          <w:tcPr/>
          <w:p>
            <w:pPr>
              <w:pStyle w:val="Compact"/>
              <w:jc w:val="left"/>
            </w:pPr>
            <w:r>
              <w:t xml:space="preserve">0; negativo si se realiza la mitad (7.861 de valor frente a 8.963 de precio)</w:t>
            </w:r>
          </w:p>
        </w:tc>
        <w:tc>
          <w:tcPr/>
          <w:p>
            <w:pPr>
              <w:pStyle w:val="Compact"/>
              <w:jc w:val="left"/>
            </w:pPr>
            <w:r>
              <w:t xml:space="preserve">Parte del ahorro de backhaul (hasta 76 al año en 2012, antes de impuestos)</w:t>
            </w:r>
          </w:p>
        </w:tc>
      </w:tr>
      <w:tr>
        <w:tc>
          <w:tcPr/>
          <w:p>
            <w:pPr>
              <w:pStyle w:val="Compact"/>
              <w:jc w:val="left"/>
            </w:pPr>
            <w:r>
              <w:t xml:space="preserve">Múltiplo VE/EBITDA 2007 pagado</w:t>
            </w:r>
          </w:p>
        </w:tc>
        <w:tc>
          <w:tcPr/>
          <w:p>
            <w:pPr>
              <w:pStyle w:val="Compact"/>
              <w:jc w:val="left"/>
            </w:pPr>
            <w:r>
              <w:t xml:space="preserve">5,9x</w:t>
            </w:r>
          </w:p>
        </w:tc>
        <w:tc>
          <w:tcPr/>
          <w:p>
            <w:pPr>
              <w:pStyle w:val="Compact"/>
              <w:jc w:val="left"/>
            </w:pPr>
            <w:r>
              <w:t xml:space="preserve">6,5x al máximo</w:t>
            </w:r>
          </w:p>
        </w:tc>
        <w:tc>
          <w:tcPr/>
          <w:p>
            <w:pPr>
              <w:pStyle w:val="Compact"/>
              <w:jc w:val="left"/>
            </w:pPr>
            <w:r>
              <w:t xml:space="preserve">Mayor</w:t>
            </w:r>
          </w:p>
        </w:tc>
        <w:tc>
          <w:tcPr/>
          <w:p>
            <w:pPr>
              <w:pStyle w:val="Compact"/>
              <w:jc w:val="left"/>
            </w:pPr>
            <w:r>
              <w:t xml:space="preserve">—</w:t>
            </w:r>
          </w:p>
        </w:tc>
      </w:tr>
      <w:tr>
        <w:tc>
          <w:tcPr/>
          <w:p>
            <w:pPr>
              <w:pStyle w:val="Compact"/>
              <w:jc w:val="left"/>
            </w:pPr>
            <w:r>
              <w:t xml:space="preserve">Quién la apoya o rechaza</w:t>
            </w:r>
          </w:p>
        </w:tc>
        <w:tc>
          <w:tcPr/>
          <w:p>
            <w:pPr>
              <w:pStyle w:val="Compact"/>
              <w:jc w:val="left"/>
            </w:pPr>
            <w:r>
              <w:t xml:space="preserve">La apoyan la junta y los accionistas de ACC; el vendedor la rechazaría, anclado en múltiplos de 10,3x.</w:t>
            </w:r>
          </w:p>
        </w:tc>
        <w:tc>
          <w:tcPr/>
          <w:p>
            <w:pPr>
              <w:pStyle w:val="Compact"/>
              <w:jc w:val="left"/>
            </w:pPr>
            <w:r>
              <w:t xml:space="preserve">El vendedor recibe una prima de 9,6%; la junta ve que se paga solo lo controlable por ACC.</w:t>
            </w:r>
          </w:p>
        </w:tc>
        <w:tc>
          <w:tcPr/>
          <w:p>
            <w:pPr>
              <w:pStyle w:val="Compact"/>
              <w:jc w:val="left"/>
            </w:pPr>
            <w:r>
              <w:t xml:space="preserve">El vendedor la acepta; los accionistas de ACC la rechazarían por transferir valor.</w:t>
            </w:r>
          </w:p>
        </w:tc>
        <w:tc>
          <w:tcPr/>
          <w:p>
            <w:pPr>
              <w:pStyle w:val="Compact"/>
              <w:jc w:val="left"/>
            </w:pPr>
            <w:r>
              <w:t xml:space="preserve">La rechazaría quien busca escala (el propio caso); ATC podría aceptarla.</w:t>
            </w:r>
          </w:p>
        </w:tc>
      </w:tr>
      <w:tr>
        <w:tc>
          <w:tcPr/>
          <w:p>
            <w:pPr>
              <w:pStyle w:val="Compact"/>
              <w:jc w:val="left"/>
            </w:pPr>
            <w:r>
              <w:t xml:space="preserve">Riesgos</w:t>
            </w:r>
          </w:p>
        </w:tc>
        <w:tc>
          <w:tcPr/>
          <w:p>
            <w:pPr>
              <w:pStyle w:val="Compact"/>
              <w:jc w:val="left"/>
            </w:pPr>
            <w:r>
              <w:t xml:space="preserve">Perder el negocio frente a otro comprador.</w:t>
            </w:r>
          </w:p>
        </w:tc>
        <w:tc>
          <w:tcPr/>
          <w:p>
            <w:pPr>
              <w:pStyle w:val="Compact"/>
              <w:jc w:val="left"/>
            </w:pPr>
            <w:r>
              <w:t xml:space="preserve">Que el vendedor no baje de los múltiplos de mercado.</w:t>
            </w:r>
          </w:p>
        </w:tc>
        <w:tc>
          <w:tcPr/>
          <w:p>
            <w:pPr>
              <w:pStyle w:val="Compact"/>
              <w:jc w:val="left"/>
            </w:pPr>
            <w:r>
              <w:t xml:space="preserve">Pagar de más: es el error que preocupa a Zimmerman.</w:t>
            </w:r>
          </w:p>
        </w:tc>
        <w:tc>
          <w:tcPr/>
          <w:p>
            <w:pPr>
              <w:pStyle w:val="Compact"/>
              <w:jc w:val="left"/>
            </w:pPr>
            <w:r>
              <w:t xml:space="preserve">ACC sigue sin oferta inalámbrica; otro comprador se queda con ATC.</w:t>
            </w:r>
          </w:p>
        </w:tc>
      </w:tr>
    </w:tbl>
    <w:bookmarkEnd w:id="30"/>
    <w:bookmarkStart w:id="31" w:name="proyección"/>
    <w:p>
      <w:pPr>
        <w:pStyle w:val="Heading1"/>
      </w:pPr>
      <w:r>
        <w:t xml:space="preserve">5. Proyección</w:t>
      </w:r>
    </w:p>
    <w:p>
      <w:pPr>
        <w:pStyle w:val="FirstParagraph"/>
      </w:pPr>
      <w:r>
        <w:rPr>
          <w:bCs/>
          <w:b/>
        </w:rPr>
        <w:t xml:space="preserve">Supuestos (fuente):</w:t>
      </w:r>
    </w:p>
    <w:tbl>
      <w:tblPr>
        <w:tblStyle w:val="Table"/>
        <w:tblW w:type="pct" w:w="5000"/>
        <w:tblLook w:firstRow="1" w:lastRow="0" w:firstColumn="0" w:lastColumn="0" w:noHBand="0" w:noVBand="0" w:val="0020"/>
        <w:jc w:val="start"/>
      </w:tblPr>
      <w:tblGrid>
        <w:gridCol w:w="2640"/>
        <w:gridCol w:w="3872"/>
        <w:gridCol w:w="1408"/>
      </w:tblGrid>
      <w:tr>
        <w:trPr>
          <w:tblHeader w:val="true"/>
        </w:trPr>
        <w:tc>
          <w:tcPr/>
          <w:p>
            <w:pPr>
              <w:pStyle w:val="Compact"/>
              <w:jc w:val="left"/>
            </w:pPr>
            <w:r>
              <w:t xml:space="preserve">Supuesto</w:t>
            </w:r>
          </w:p>
        </w:tc>
        <w:tc>
          <w:tcPr/>
          <w:p>
            <w:pPr>
              <w:pStyle w:val="Compact"/>
              <w:jc w:val="left"/>
            </w:pPr>
            <w:r>
              <w:t xml:space="preserve">Valor</w:t>
            </w:r>
          </w:p>
        </w:tc>
        <w:tc>
          <w:tcPr/>
          <w:p>
            <w:pPr>
              <w:pStyle w:val="Compact"/>
              <w:jc w:val="left"/>
            </w:pPr>
            <w:r>
              <w:t xml:space="preserve">Fuente</w:t>
            </w:r>
          </w:p>
        </w:tc>
      </w:tr>
      <w:tr>
        <w:tc>
          <w:tcPr/>
          <w:p>
            <w:pPr>
              <w:pStyle w:val="Compact"/>
              <w:jc w:val="left"/>
            </w:pPr>
            <w:r>
              <w:t xml:space="preserve">Crecimiento de ingresos por servicios 2008-2012</w:t>
            </w:r>
          </w:p>
        </w:tc>
        <w:tc>
          <w:tcPr/>
          <w:p>
            <w:pPr>
              <w:pStyle w:val="Compact"/>
              <w:jc w:val="left"/>
            </w:pPr>
            <w:r>
              <w:t xml:space="preserve">14%, 14%, 12,5%, 10%, 7%</w:t>
            </w:r>
          </w:p>
        </w:tc>
        <w:tc>
          <w:tcPr/>
          <w:p>
            <w:pPr>
              <w:pStyle w:val="Compact"/>
              <w:jc w:val="left"/>
            </w:pPr>
            <w:r>
              <w:t xml:space="preserve">Caso, Anexo 1</w:t>
            </w:r>
          </w:p>
        </w:tc>
      </w:tr>
      <w:tr>
        <w:tc>
          <w:tcPr/>
          <w:p>
            <w:pPr>
              <w:pStyle w:val="Compact"/>
              <w:jc w:val="left"/>
            </w:pPr>
            <w:r>
              <w:t xml:space="preserve">Equipos / servicios; costos del sistema; costo de equipos; SG&amp;A</w:t>
            </w:r>
          </w:p>
        </w:tc>
        <w:tc>
          <w:tcPr/>
          <w:p>
            <w:pPr>
              <w:pStyle w:val="Compact"/>
              <w:jc w:val="left"/>
            </w:pPr>
            <w:r>
              <w:t xml:space="preserve">7,50%; 20% de servicios; 240% de equipos; 40% de ingresos</w:t>
            </w:r>
          </w:p>
        </w:tc>
        <w:tc>
          <w:tcPr/>
          <w:p>
            <w:pPr>
              <w:pStyle w:val="Compact"/>
              <w:jc w:val="left"/>
            </w:pPr>
            <w:r>
              <w:t xml:space="preserve">Anexo 1 (= promedios 2005-2007)</w:t>
            </w:r>
          </w:p>
        </w:tc>
      </w:tr>
      <w:tr>
        <w:tc>
          <w:tcPr/>
          <w:p>
            <w:pPr>
              <w:pStyle w:val="Compact"/>
              <w:jc w:val="left"/>
            </w:pPr>
            <w:r>
              <w:t xml:space="preserve">D&amp;A y capex</w:t>
            </w:r>
          </w:p>
        </w:tc>
        <w:tc>
          <w:tcPr/>
          <w:p>
            <w:pPr>
              <w:pStyle w:val="Compact"/>
              <w:jc w:val="left"/>
            </w:pPr>
            <w:r>
              <w:t xml:space="preserve">D&amp;A del Anexo 1; capex 14%-15,5% de ingresos</w:t>
            </w:r>
          </w:p>
        </w:tc>
        <w:tc>
          <w:tcPr/>
          <w:p>
            <w:pPr>
              <w:pStyle w:val="Compact"/>
              <w:jc w:val="left"/>
            </w:pPr>
            <w:r>
              <w:t xml:space="preserve">Anexo 1</w:t>
            </w:r>
          </w:p>
        </w:tc>
      </w:tr>
      <w:tr>
        <w:tc>
          <w:tcPr/>
          <w:p>
            <w:pPr>
              <w:pStyle w:val="Compact"/>
              <w:jc w:val="left"/>
            </w:pPr>
            <w:r>
              <w:t xml:space="preserve">Capital de trabajo</w:t>
            </w:r>
          </w:p>
        </w:tc>
        <w:tc>
          <w:tcPr/>
          <w:p>
            <w:pPr>
              <w:pStyle w:val="Compact"/>
              <w:jc w:val="left"/>
            </w:pPr>
            <w:r>
              <w:t xml:space="preserve">Cartera 41,67 días; inventario 154,36; proveedores 35,54; diferidos 14,01; acumulados 6,85; prepagados 1,38%</w:t>
            </w:r>
          </w:p>
        </w:tc>
        <w:tc>
          <w:tcPr/>
          <w:p>
            <w:pPr>
              <w:pStyle w:val="Compact"/>
              <w:jc w:val="left"/>
            </w:pPr>
            <w:r>
              <w:t xml:space="preserve">Anexo 1 = promedio histórico</w:t>
            </w:r>
          </w:p>
        </w:tc>
      </w:tr>
      <w:tr>
        <w:tc>
          <w:tcPr/>
          <w:p>
            <w:pPr>
              <w:pStyle w:val="Compact"/>
              <w:jc w:val="left"/>
            </w:pPr>
            <w:r>
              <w:t xml:space="preserve">Deuda de adquisición</w:t>
            </w:r>
          </w:p>
        </w:tc>
        <w:tc>
          <w:tcPr/>
          <w:p>
            <w:pPr>
              <w:pStyle w:val="Compact"/>
              <w:jc w:val="left"/>
            </w:pPr>
            <w:r>
              <w:t xml:space="preserve">EBITDA 2007 1.033,3 / 5,0 / 5,5% = 3.757,5; cuota mensual 40,78</w:t>
            </w:r>
          </w:p>
        </w:tc>
        <w:tc>
          <w:tcPr/>
          <w:p>
            <w:pPr>
              <w:pStyle w:val="Compact"/>
              <w:jc w:val="left"/>
            </w:pPr>
            <w:r>
              <w:t xml:space="preserve">Caso y Anexo 6</w:t>
            </w:r>
          </w:p>
        </w:tc>
      </w:tr>
      <w:tr>
        <w:tc>
          <w:tcPr/>
          <w:p>
            <w:pPr>
              <w:pStyle w:val="Compact"/>
              <w:jc w:val="left"/>
            </w:pPr>
            <w:r>
              <w:t xml:space="preserve">Variable de cierre</w:t>
            </w:r>
          </w:p>
        </w:tc>
        <w:tc>
          <w:tcPr/>
          <w:p>
            <w:pPr>
              <w:pStyle w:val="Compact"/>
              <w:jc w:val="left"/>
            </w:pPr>
            <w:r>
              <w:t xml:space="preserve">Caja si sobra, línea de crédito a Kd si falta</w:t>
            </w:r>
          </w:p>
        </w:tc>
        <w:tc>
          <w:tcPr/>
          <w:p>
            <w:pPr>
              <w:pStyle w:val="Compact"/>
              <w:jc w:val="left"/>
            </w:pPr>
            <w:r>
              <w:t xml:space="preserve">Supuesto propio</w:t>
            </w:r>
          </w:p>
        </w:tc>
      </w:tr>
      <w:tr>
        <w:tc>
          <w:tcPr/>
          <w:p>
            <w:pPr>
              <w:pStyle w:val="Compact"/>
              <w:jc w:val="left"/>
            </w:pPr>
            <w:r>
              <w:t xml:space="preserve">Balance inicial</w:t>
            </w:r>
          </w:p>
        </w:tc>
        <w:tc>
          <w:tcPr/>
          <w:p>
            <w:pPr>
              <w:pStyle w:val="Compact"/>
              <w:jc w:val="left"/>
            </w:pPr>
            <w:r>
              <w:t xml:space="preserve">Deuda existente refinanciada; caja usada en la compra; sin contabilidad de compra</w:t>
            </w:r>
          </w:p>
        </w:tc>
        <w:tc>
          <w:tcPr/>
          <w:p>
            <w:pPr>
              <w:pStyle w:val="Compact"/>
              <w:jc w:val="left"/>
            </w:pPr>
            <w:r>
              <w:t xml:space="preserve">Supuesto propio</w:t>
            </w:r>
          </w:p>
        </w:tc>
      </w:tr>
    </w:tbl>
    <w:p/>
    <w:tbl>
      <w:tblPr>
        <w:tblStyle w:val="Table"/>
        <w:tblW w:type="pct" w:w="5000"/>
        <w:tblLook w:firstRow="1" w:lastRow="0" w:firstColumn="0" w:lastColumn="0" w:noHBand="0" w:noVBand="0" w:val="0020"/>
        <w:jc w:val="start"/>
      </w:tblPr>
      <w:tblGrid>
        <w:gridCol w:w="1250"/>
        <w:gridCol w:w="1667"/>
        <w:gridCol w:w="1667"/>
        <w:gridCol w:w="1667"/>
        <w:gridCol w:w="1667"/>
      </w:tblGrid>
      <w:tr>
        <w:trPr>
          <w:tblHeader w:val="true"/>
        </w:trPr>
        <w:tc>
          <w:tcPr/>
          <w:p>
            <w:pPr>
              <w:pStyle w:val="Compact"/>
            </w:pPr>
          </w:p>
        </w:tc>
        <w:tc>
          <w:tcPr/>
          <w:p>
            <w:pPr>
              <w:pStyle w:val="Compact"/>
              <w:jc w:val="right"/>
            </w:pPr>
            <w:r>
              <w:t xml:space="preserve">2007 real</w:t>
            </w:r>
          </w:p>
        </w:tc>
        <w:tc>
          <w:tcPr/>
          <w:p>
            <w:pPr>
              <w:pStyle w:val="Compact"/>
              <w:jc w:val="right"/>
            </w:pPr>
            <w:r>
              <w:t xml:space="preserve">2008</w:t>
            </w:r>
          </w:p>
        </w:tc>
        <w:tc>
          <w:tcPr/>
          <w:p>
            <w:pPr>
              <w:pStyle w:val="Compact"/>
              <w:jc w:val="right"/>
            </w:pPr>
            <w:r>
              <w:t xml:space="preserve">2010</w:t>
            </w:r>
          </w:p>
        </w:tc>
        <w:tc>
          <w:tcPr/>
          <w:p>
            <w:pPr>
              <w:pStyle w:val="Compact"/>
              <w:jc w:val="right"/>
            </w:pPr>
            <w:r>
              <w:t xml:space="preserve">2012</w:t>
            </w:r>
          </w:p>
        </w:tc>
      </w:tr>
      <w:tr>
        <w:tc>
          <w:tcPr/>
          <w:p>
            <w:pPr>
              <w:pStyle w:val="Compact"/>
              <w:jc w:val="left"/>
            </w:pPr>
            <w:r>
              <w:t xml:space="preserve">Ingresos totales</w:t>
            </w:r>
          </w:p>
        </w:tc>
        <w:tc>
          <w:tcPr/>
          <w:p>
            <w:pPr>
              <w:pStyle w:val="Compact"/>
              <w:jc w:val="right"/>
            </w:pPr>
            <w:r>
              <w:t xml:space="preserve">3.946</w:t>
            </w:r>
          </w:p>
        </w:tc>
        <w:tc>
          <w:tcPr/>
          <w:p>
            <w:pPr>
              <w:pStyle w:val="Compact"/>
              <w:jc w:val="right"/>
            </w:pPr>
            <w:r>
              <w:t xml:space="preserve">4.509</w:t>
            </w:r>
          </w:p>
        </w:tc>
        <w:tc>
          <w:tcPr/>
          <w:p>
            <w:pPr>
              <w:pStyle w:val="Compact"/>
              <w:jc w:val="right"/>
            </w:pPr>
            <w:r>
              <w:t xml:space="preserve">5.783</w:t>
            </w:r>
          </w:p>
        </w:tc>
        <w:tc>
          <w:tcPr/>
          <w:p>
            <w:pPr>
              <w:pStyle w:val="Compact"/>
              <w:jc w:val="right"/>
            </w:pPr>
            <w:r>
              <w:t xml:space="preserve">6.807</w:t>
            </w:r>
          </w:p>
        </w:tc>
      </w:tr>
      <w:tr>
        <w:tc>
          <w:tcPr/>
          <w:p>
            <w:pPr>
              <w:pStyle w:val="Compact"/>
              <w:jc w:val="left"/>
            </w:pPr>
            <w:r>
              <w:t xml:space="preserve">EBITDA</w:t>
            </w:r>
          </w:p>
        </w:tc>
        <w:tc>
          <w:tcPr/>
          <w:p>
            <w:pPr>
              <w:pStyle w:val="Compact"/>
              <w:jc w:val="right"/>
            </w:pPr>
            <w:r>
              <w:t xml:space="preserve">1.033</w:t>
            </w:r>
          </w:p>
        </w:tc>
        <w:tc>
          <w:tcPr/>
          <w:p>
            <w:pPr>
              <w:pStyle w:val="Compact"/>
              <w:jc w:val="right"/>
            </w:pPr>
            <w:r>
              <w:t xml:space="preserve">1.111</w:t>
            </w:r>
          </w:p>
        </w:tc>
        <w:tc>
          <w:tcPr/>
          <w:p>
            <w:pPr>
              <w:pStyle w:val="Compact"/>
              <w:jc w:val="right"/>
            </w:pPr>
            <w:r>
              <w:t xml:space="preserve">1.425</w:t>
            </w:r>
          </w:p>
        </w:tc>
        <w:tc>
          <w:tcPr/>
          <w:p>
            <w:pPr>
              <w:pStyle w:val="Compact"/>
              <w:jc w:val="right"/>
            </w:pPr>
            <w:r>
              <w:t xml:space="preserve">1.677</w:t>
            </w:r>
          </w:p>
        </w:tc>
      </w:tr>
      <w:tr>
        <w:tc>
          <w:tcPr/>
          <w:p>
            <w:pPr>
              <w:pStyle w:val="Compact"/>
              <w:jc w:val="left"/>
            </w:pPr>
            <w:r>
              <w:t xml:space="preserve">Margen EBITDA</w:t>
            </w:r>
          </w:p>
        </w:tc>
        <w:tc>
          <w:tcPr/>
          <w:p>
            <w:pPr>
              <w:pStyle w:val="Compact"/>
              <w:jc w:val="right"/>
            </w:pPr>
            <w:r>
              <w:t xml:space="preserve">26,2%</w:t>
            </w:r>
          </w:p>
        </w:tc>
        <w:tc>
          <w:tcPr/>
          <w:p>
            <w:pPr>
              <w:pStyle w:val="Compact"/>
              <w:jc w:val="right"/>
            </w:pPr>
            <w:r>
              <w:t xml:space="preserve">24,6%</w:t>
            </w:r>
          </w:p>
        </w:tc>
        <w:tc>
          <w:tcPr/>
          <w:p>
            <w:pPr>
              <w:pStyle w:val="Compact"/>
              <w:jc w:val="right"/>
            </w:pPr>
            <w:r>
              <w:t xml:space="preserve">24,6%</w:t>
            </w:r>
          </w:p>
        </w:tc>
        <w:tc>
          <w:tcPr/>
          <w:p>
            <w:pPr>
              <w:pStyle w:val="Compact"/>
              <w:jc w:val="right"/>
            </w:pPr>
            <w:r>
              <w:t xml:space="preserve">24,6%</w:t>
            </w:r>
          </w:p>
        </w:tc>
      </w:tr>
      <w:tr>
        <w:tc>
          <w:tcPr/>
          <w:p>
            <w:pPr>
              <w:pStyle w:val="Compact"/>
              <w:jc w:val="left"/>
            </w:pPr>
            <w:r>
              <w:t xml:space="preserve">NOPAT</w:t>
            </w:r>
          </w:p>
        </w:tc>
        <w:tc>
          <w:tcPr/>
          <w:p>
            <w:pPr>
              <w:pStyle w:val="Compact"/>
              <w:jc w:val="right"/>
            </w:pPr>
            <w:r>
              <w:t xml:space="preserve">—</w:t>
            </w:r>
          </w:p>
        </w:tc>
        <w:tc>
          <w:tcPr/>
          <w:p>
            <w:pPr>
              <w:pStyle w:val="Compact"/>
              <w:jc w:val="right"/>
            </w:pPr>
            <w:r>
              <w:t xml:space="preserve">244</w:t>
            </w:r>
          </w:p>
        </w:tc>
        <w:tc>
          <w:tcPr/>
          <w:p>
            <w:pPr>
              <w:pStyle w:val="Compact"/>
              <w:jc w:val="right"/>
            </w:pPr>
            <w:r>
              <w:t xml:space="preserve">335</w:t>
            </w:r>
          </w:p>
        </w:tc>
        <w:tc>
          <w:tcPr/>
          <w:p>
            <w:pPr>
              <w:pStyle w:val="Compact"/>
              <w:jc w:val="right"/>
            </w:pPr>
            <w:r>
              <w:t xml:space="preserve">435</w:t>
            </w:r>
          </w:p>
        </w:tc>
      </w:tr>
      <w:tr>
        <w:tc>
          <w:tcPr/>
          <w:p>
            <w:pPr>
              <w:pStyle w:val="Compact"/>
              <w:jc w:val="left"/>
            </w:pPr>
            <w:r>
              <w:t xml:space="preserve">Capex</w:t>
            </w:r>
          </w:p>
        </w:tc>
        <w:tc>
          <w:tcPr/>
          <w:p>
            <w:pPr>
              <w:pStyle w:val="Compact"/>
              <w:jc w:val="right"/>
            </w:pPr>
            <w:r>
              <w:t xml:space="preserve">526</w:t>
            </w:r>
          </w:p>
        </w:tc>
        <w:tc>
          <w:tcPr/>
          <w:p>
            <w:pPr>
              <w:pStyle w:val="Compact"/>
              <w:jc w:val="right"/>
            </w:pPr>
            <w:r>
              <w:t xml:space="preserve">631</w:t>
            </w:r>
          </w:p>
        </w:tc>
        <w:tc>
          <w:tcPr/>
          <w:p>
            <w:pPr>
              <w:pStyle w:val="Compact"/>
              <w:jc w:val="right"/>
            </w:pPr>
            <w:r>
              <w:t xml:space="preserve">867</w:t>
            </w:r>
          </w:p>
        </w:tc>
        <w:tc>
          <w:tcPr/>
          <w:p>
            <w:pPr>
              <w:pStyle w:val="Compact"/>
              <w:jc w:val="right"/>
            </w:pPr>
            <w:r>
              <w:t xml:space="preserve">1.055</w:t>
            </w:r>
          </w:p>
        </w:tc>
      </w:tr>
      <w:tr>
        <w:tc>
          <w:tcPr/>
          <w:p>
            <w:pPr>
              <w:pStyle w:val="Compact"/>
              <w:jc w:val="left"/>
            </w:pPr>
            <w:r>
              <w:t xml:space="preserve">Flujo de caja libre no apalancado</w:t>
            </w:r>
          </w:p>
        </w:tc>
        <w:tc>
          <w:tcPr/>
          <w:p>
            <w:pPr>
              <w:pStyle w:val="Compact"/>
              <w:jc w:val="right"/>
            </w:pPr>
            <w:r>
              <w:t xml:space="preserve">346</w:t>
            </w:r>
          </w:p>
        </w:tc>
        <w:tc>
          <w:tcPr/>
          <w:p>
            <w:pPr>
              <w:pStyle w:val="Compact"/>
              <w:jc w:val="right"/>
            </w:pPr>
            <w:r>
              <w:t xml:space="preserve">292</w:t>
            </w:r>
          </w:p>
        </w:tc>
        <w:tc>
          <w:tcPr/>
          <w:p>
            <w:pPr>
              <w:pStyle w:val="Compact"/>
              <w:jc w:val="right"/>
            </w:pPr>
            <w:r>
              <w:t xml:space="preserve">315</w:t>
            </w:r>
          </w:p>
        </w:tc>
        <w:tc>
          <w:tcPr/>
          <w:p>
            <w:pPr>
              <w:pStyle w:val="Compact"/>
              <w:jc w:val="right"/>
            </w:pPr>
            <w:r>
              <w:t xml:space="preserve">319</w:t>
            </w:r>
          </w:p>
        </w:tc>
      </w:tr>
      <w:tr>
        <w:tc>
          <w:tcPr/>
          <w:p>
            <w:pPr>
              <w:pStyle w:val="Compact"/>
              <w:jc w:val="left"/>
            </w:pPr>
            <w:r>
              <w:t xml:space="preserve">Intereses (deuda de adquisición + línea)</w:t>
            </w:r>
          </w:p>
        </w:tc>
        <w:tc>
          <w:tcPr/>
          <w:p>
            <w:pPr>
              <w:pStyle w:val="Compact"/>
              <w:jc w:val="right"/>
            </w:pPr>
            <w:r>
              <w:t xml:space="preserve">85</w:t>
            </w:r>
          </w:p>
        </w:tc>
        <w:tc>
          <w:tcPr/>
          <w:p>
            <w:pPr>
              <w:pStyle w:val="Compact"/>
              <w:jc w:val="right"/>
            </w:pPr>
            <w:r>
              <w:t xml:space="preserve">199 + 0</w:t>
            </w:r>
          </w:p>
        </w:tc>
        <w:tc>
          <w:tcPr/>
          <w:p>
            <w:pPr>
              <w:pStyle w:val="Compact"/>
              <w:jc w:val="right"/>
            </w:pPr>
            <w:r>
              <w:t xml:space="preserve">166 + 11</w:t>
            </w:r>
          </w:p>
        </w:tc>
        <w:tc>
          <w:tcPr/>
          <w:p>
            <w:pPr>
              <w:pStyle w:val="Compact"/>
              <w:jc w:val="right"/>
            </w:pPr>
            <w:r>
              <w:t xml:space="preserve">128 + 24</w:t>
            </w:r>
          </w:p>
        </w:tc>
      </w:tr>
      <w:tr>
        <w:tc>
          <w:tcPr/>
          <w:p>
            <w:pPr>
              <w:pStyle w:val="Compact"/>
              <w:jc w:val="left"/>
            </w:pPr>
            <w:r>
              <w:t xml:space="preserve">Utilidad neta (solo operaciones)</w:t>
            </w:r>
          </w:p>
        </w:tc>
        <w:tc>
          <w:tcPr/>
          <w:p>
            <w:pPr>
              <w:pStyle w:val="Compact"/>
              <w:jc w:val="right"/>
            </w:pPr>
            <w:r>
              <w:t xml:space="preserve">—</w:t>
            </w:r>
          </w:p>
        </w:tc>
        <w:tc>
          <w:tcPr/>
          <w:p>
            <w:pPr>
              <w:pStyle w:val="Compact"/>
              <w:jc w:val="right"/>
            </w:pPr>
            <w:r>
              <w:t xml:space="preserve">124</w:t>
            </w:r>
          </w:p>
        </w:tc>
        <w:tc>
          <w:tcPr/>
          <w:p>
            <w:pPr>
              <w:pStyle w:val="Compact"/>
              <w:jc w:val="right"/>
            </w:pPr>
            <w:r>
              <w:t xml:space="preserve">229</w:t>
            </w:r>
          </w:p>
        </w:tc>
        <w:tc>
          <w:tcPr/>
          <w:p>
            <w:pPr>
              <w:pStyle w:val="Compact"/>
              <w:jc w:val="right"/>
            </w:pPr>
            <w:r>
              <w:t xml:space="preserve">343</w:t>
            </w:r>
          </w:p>
        </w:tc>
      </w:tr>
      <w:tr>
        <w:tc>
          <w:tcPr/>
          <w:p>
            <w:pPr>
              <w:pStyle w:val="Compact"/>
              <w:jc w:val="left"/>
            </w:pPr>
            <w:r>
              <w:t xml:space="preserve">Deuda de adquisición al cierre</w:t>
            </w:r>
          </w:p>
        </w:tc>
        <w:tc>
          <w:tcPr/>
          <w:p>
            <w:pPr>
              <w:pStyle w:val="Compact"/>
              <w:jc w:val="right"/>
            </w:pPr>
            <w:r>
              <w:t xml:space="preserve">3.758</w:t>
            </w:r>
          </w:p>
        </w:tc>
        <w:tc>
          <w:tcPr/>
          <w:p>
            <w:pPr>
              <w:pStyle w:val="Compact"/>
              <w:jc w:val="right"/>
            </w:pPr>
            <w:r>
              <w:t xml:space="preserve">3.468</w:t>
            </w:r>
          </w:p>
        </w:tc>
        <w:tc>
          <w:tcPr/>
          <w:p>
            <w:pPr>
              <w:pStyle w:val="Compact"/>
              <w:jc w:val="right"/>
            </w:pPr>
            <w:r>
              <w:t xml:space="preserve">2.838</w:t>
            </w:r>
          </w:p>
        </w:tc>
        <w:tc>
          <w:tcPr/>
          <w:p>
            <w:pPr>
              <w:pStyle w:val="Compact"/>
              <w:jc w:val="right"/>
            </w:pPr>
            <w:r>
              <w:t xml:space="preserve">2.135</w:t>
            </w:r>
          </w:p>
        </w:tc>
      </w:tr>
      <w:tr>
        <w:tc>
          <w:tcPr/>
          <w:p>
            <w:pPr>
              <w:pStyle w:val="Compact"/>
              <w:jc w:val="left"/>
            </w:pPr>
            <w:r>
              <w:t xml:space="preserve">Línea de crédito (variable de cierre)</w:t>
            </w:r>
          </w:p>
        </w:tc>
        <w:tc>
          <w:tcPr/>
          <w:p>
            <w:pPr>
              <w:pStyle w:val="Compact"/>
              <w:jc w:val="right"/>
            </w:pPr>
            <w:r>
              <w:t xml:space="preserve">—</w:t>
            </w:r>
          </w:p>
        </w:tc>
        <w:tc>
          <w:tcPr/>
          <w:p>
            <w:pPr>
              <w:pStyle w:val="Compact"/>
              <w:jc w:val="right"/>
            </w:pPr>
            <w:r>
              <w:t xml:space="preserve">118</w:t>
            </w:r>
          </w:p>
        </w:tc>
        <w:tc>
          <w:tcPr/>
          <w:p>
            <w:pPr>
              <w:pStyle w:val="Compact"/>
              <w:jc w:val="right"/>
            </w:pPr>
            <w:r>
              <w:t xml:space="preserve">311</w:t>
            </w:r>
          </w:p>
        </w:tc>
        <w:tc>
          <w:tcPr/>
          <w:p>
            <w:pPr>
              <w:pStyle w:val="Compact"/>
              <w:jc w:val="right"/>
            </w:pPr>
            <w:r>
              <w:t xml:space="preserve">563</w:t>
            </w:r>
          </w:p>
        </w:tc>
      </w:tr>
      <w:tr>
        <w:tc>
          <w:tcPr/>
          <w:p>
            <w:pPr>
              <w:pStyle w:val="Compact"/>
              <w:jc w:val="left"/>
            </w:pPr>
            <w:r>
              <w:t xml:space="preserve">Deuda total / EBITDA</w:t>
            </w:r>
          </w:p>
        </w:tc>
        <w:tc>
          <w:tcPr/>
          <w:p>
            <w:pPr>
              <w:pStyle w:val="Compact"/>
              <w:jc w:val="right"/>
            </w:pPr>
            <w:r>
              <w:t xml:space="preserve">1,0x (real) · 3,6x (proforma)</w:t>
            </w:r>
          </w:p>
        </w:tc>
        <w:tc>
          <w:tcPr/>
          <w:p>
            <w:pPr>
              <w:pStyle w:val="Compact"/>
              <w:jc w:val="right"/>
            </w:pPr>
            <w:r>
              <w:t xml:space="preserve">3,2x</w:t>
            </w:r>
          </w:p>
        </w:tc>
        <w:tc>
          <w:tcPr/>
          <w:p>
            <w:pPr>
              <w:pStyle w:val="Compact"/>
              <w:jc w:val="right"/>
            </w:pPr>
            <w:r>
              <w:t xml:space="preserve">2,2x</w:t>
            </w:r>
          </w:p>
        </w:tc>
        <w:tc>
          <w:tcPr/>
          <w:p>
            <w:pPr>
              <w:pStyle w:val="Compact"/>
              <w:jc w:val="right"/>
            </w:pPr>
            <w:r>
              <w:t xml:space="preserve">1,6x</w:t>
            </w:r>
          </w:p>
        </w:tc>
      </w:tr>
      <w:tr>
        <w:tc>
          <w:tcPr/>
          <w:p>
            <w:pPr>
              <w:pStyle w:val="Compact"/>
              <w:jc w:val="left"/>
            </w:pPr>
            <w:r>
              <w:t xml:space="preserve">EBITDA / intereses</w:t>
            </w:r>
          </w:p>
        </w:tc>
        <w:tc>
          <w:tcPr/>
          <w:p>
            <w:pPr>
              <w:pStyle w:val="Compact"/>
              <w:jc w:val="right"/>
            </w:pPr>
            <w:r>
              <w:t xml:space="preserve">12,2x</w:t>
            </w:r>
          </w:p>
        </w:tc>
        <w:tc>
          <w:tcPr/>
          <w:p>
            <w:pPr>
              <w:pStyle w:val="Compact"/>
              <w:jc w:val="right"/>
            </w:pPr>
            <w:r>
              <w:t xml:space="preserve">5,6x</w:t>
            </w:r>
          </w:p>
        </w:tc>
        <w:tc>
          <w:tcPr/>
          <w:p>
            <w:pPr>
              <w:pStyle w:val="Compact"/>
              <w:jc w:val="right"/>
            </w:pPr>
            <w:r>
              <w:t xml:space="preserve">8,1x</w:t>
            </w:r>
          </w:p>
        </w:tc>
        <w:tc>
          <w:tcPr/>
          <w:p>
            <w:pPr>
              <w:pStyle w:val="Compact"/>
              <w:jc w:val="right"/>
            </w:pPr>
            <w:r>
              <w:t xml:space="preserve">11,0x</w:t>
            </w:r>
          </w:p>
        </w:tc>
      </w:tr>
      <w:tr>
        <w:tc>
          <w:tcPr/>
          <w:p>
            <w:pPr>
              <w:pStyle w:val="Compact"/>
              <w:jc w:val="left"/>
            </w:pPr>
            <w:r>
              <w:t xml:space="preserve">Margen EBIT</w:t>
            </w:r>
          </w:p>
        </w:tc>
        <w:tc>
          <w:tcPr/>
          <w:p>
            <w:pPr>
              <w:pStyle w:val="Compact"/>
              <w:jc w:val="right"/>
            </w:pPr>
            <w:r>
              <w:t xml:space="preserve">11,4%</w:t>
            </w:r>
          </w:p>
        </w:tc>
        <w:tc>
          <w:tcPr/>
          <w:p>
            <w:pPr>
              <w:pStyle w:val="Compact"/>
              <w:jc w:val="right"/>
            </w:pPr>
            <w:r>
              <w:t xml:space="preserve">9,0%</w:t>
            </w:r>
          </w:p>
        </w:tc>
        <w:tc>
          <w:tcPr/>
          <w:p>
            <w:pPr>
              <w:pStyle w:val="Compact"/>
              <w:jc w:val="right"/>
            </w:pPr>
            <w:r>
              <w:t xml:space="preserve">9,6%</w:t>
            </w:r>
          </w:p>
        </w:tc>
        <w:tc>
          <w:tcPr/>
          <w:p>
            <w:pPr>
              <w:pStyle w:val="Compact"/>
              <w:jc w:val="right"/>
            </w:pPr>
            <w:r>
              <w:t xml:space="preserve">10,6%</w:t>
            </w:r>
          </w:p>
        </w:tc>
      </w:tr>
    </w:tbl>
    <w:p>
      <w:pPr>
        <w:pStyle w:val="BodyText"/>
      </w:pPr>
      <w:r>
        <w:t xml:space="preserve">El balance proforma cuadra todos los años (control 0,000) y el flujo concilia con la caja (0,000); el detalle está en la hoja Proyeccion.</w:t>
      </w:r>
      <w:r>
        <w:t xml:space="preserve"> </w:t>
      </w:r>
      <w:r>
        <w:rPr>
          <w:bCs/>
          <w:b/>
        </w:rPr>
        <w:t xml:space="preserve">Frente a 2007</w:t>
      </w:r>
      <w:r>
        <w:t xml:space="preserve">, el margen EBITDA baja de 26,2% a 24,6% porque el Anexo 1 fija SG&amp;A en 40% y los subsidios de equipos en 240%. El apalancamiento pasa de 1,0x a 3,2 veces el EBITDA, y la cobertura de 12,2x a 5,6x: por encima del mínimo de 5,0x de R&amp;R, pero con poco margen. El ROE proforma no es comparable porque no se registra la contabilidad de compra.</w:t>
      </w:r>
    </w:p>
    <w:p>
      <w:pPr>
        <w:pStyle w:val="BodyText"/>
      </w:pPr>
      <w:r>
        <w:rPr>
          <w:bCs/>
          <w:b/>
        </w:rPr>
        <w:t xml:space="preserve">Sensibilidad del patrimonio a Ku y 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Ku \ g</w:t>
            </w:r>
          </w:p>
        </w:tc>
        <w:tc>
          <w:tcPr/>
          <w:p>
            <w:pPr>
              <w:pStyle w:val="Compact"/>
              <w:jc w:val="right"/>
            </w:pPr>
            <w:r>
              <w:t xml:space="preserve">1,5%</w:t>
            </w:r>
          </w:p>
        </w:tc>
        <w:tc>
          <w:tcPr/>
          <w:p>
            <w:pPr>
              <w:pStyle w:val="Compact"/>
              <w:jc w:val="right"/>
            </w:pPr>
            <w:r>
              <w:t xml:space="preserve">2,5%</w:t>
            </w:r>
          </w:p>
        </w:tc>
        <w:tc>
          <w:tcPr/>
          <w:p>
            <w:pPr>
              <w:pStyle w:val="Compact"/>
              <w:jc w:val="right"/>
            </w:pPr>
            <w:r>
              <w:t xml:space="preserve">3,0%</w:t>
            </w:r>
          </w:p>
        </w:tc>
        <w:tc>
          <w:tcPr/>
          <w:p>
            <w:pPr>
              <w:pStyle w:val="Compact"/>
              <w:jc w:val="right"/>
            </w:pPr>
            <w:r>
              <w:t xml:space="preserve">4,0%</w:t>
            </w:r>
          </w:p>
        </w:tc>
      </w:tr>
      <w:tr>
        <w:tc>
          <w:tcPr/>
          <w:p>
            <w:pPr>
              <w:pStyle w:val="Compact"/>
              <w:jc w:val="left"/>
            </w:pPr>
            <w:r>
              <w:t xml:space="preserve">7,50%</w:t>
            </w:r>
          </w:p>
        </w:tc>
        <w:tc>
          <w:tcPr/>
          <w:p>
            <w:pPr>
              <w:pStyle w:val="Compact"/>
              <w:jc w:val="right"/>
            </w:pPr>
            <w:r>
              <w:t xml:space="preserve">7.111</w:t>
            </w:r>
          </w:p>
        </w:tc>
        <w:tc>
          <w:tcPr/>
          <w:p>
            <w:pPr>
              <w:pStyle w:val="Compact"/>
              <w:jc w:val="right"/>
            </w:pPr>
            <w:r>
              <w:t xml:space="preserve">7.606</w:t>
            </w:r>
          </w:p>
        </w:tc>
        <w:tc>
          <w:tcPr/>
          <w:p>
            <w:pPr>
              <w:pStyle w:val="Compact"/>
              <w:jc w:val="right"/>
            </w:pPr>
            <w:r>
              <w:t xml:space="preserve">7.943</w:t>
            </w:r>
          </w:p>
        </w:tc>
        <w:tc>
          <w:tcPr/>
          <w:p>
            <w:pPr>
              <w:pStyle w:val="Compact"/>
              <w:jc w:val="right"/>
            </w:pPr>
            <w:r>
              <w:t xml:space="preserve">8.955</w:t>
            </w:r>
          </w:p>
        </w:tc>
      </w:tr>
      <w:tr>
        <w:tc>
          <w:tcPr/>
          <w:p>
            <w:pPr>
              <w:pStyle w:val="Compact"/>
              <w:jc w:val="left"/>
            </w:pPr>
            <w:r>
              <w:t xml:space="preserve">8,00%</w:t>
            </w:r>
          </w:p>
        </w:tc>
        <w:tc>
          <w:tcPr/>
          <w:p>
            <w:pPr>
              <w:pStyle w:val="Compact"/>
              <w:jc w:val="right"/>
            </w:pPr>
            <w:r>
              <w:t xml:space="preserve">6.576</w:t>
            </w:r>
          </w:p>
        </w:tc>
        <w:tc>
          <w:tcPr/>
          <w:p>
            <w:pPr>
              <w:pStyle w:val="Compact"/>
              <w:jc w:val="right"/>
            </w:pPr>
            <w:r>
              <w:t xml:space="preserve">6.926</w:t>
            </w:r>
          </w:p>
        </w:tc>
        <w:tc>
          <w:tcPr/>
          <w:p>
            <w:pPr>
              <w:pStyle w:val="Compact"/>
              <w:jc w:val="right"/>
            </w:pPr>
            <w:r>
              <w:t xml:space="preserve">7.157</w:t>
            </w:r>
          </w:p>
        </w:tc>
        <w:tc>
          <w:tcPr/>
          <w:p>
            <w:pPr>
              <w:pStyle w:val="Compact"/>
              <w:jc w:val="right"/>
            </w:pPr>
            <w:r>
              <w:t xml:space="preserve">7.811</w:t>
            </w:r>
          </w:p>
        </w:tc>
      </w:tr>
      <w:tr>
        <w:tc>
          <w:tcPr/>
          <w:p>
            <w:pPr>
              <w:pStyle w:val="Compact"/>
              <w:jc w:val="left"/>
            </w:pPr>
            <w:r>
              <w:t xml:space="preserve">8,25%</w:t>
            </w:r>
          </w:p>
        </w:tc>
        <w:tc>
          <w:tcPr/>
          <w:p>
            <w:pPr>
              <w:pStyle w:val="Compact"/>
              <w:jc w:val="right"/>
            </w:pPr>
            <w:r>
              <w:t xml:space="preserve">6.341</w:t>
            </w:r>
          </w:p>
        </w:tc>
        <w:tc>
          <w:tcPr/>
          <w:p>
            <w:pPr>
              <w:pStyle w:val="Compact"/>
              <w:jc w:val="right"/>
            </w:pPr>
            <w:r>
              <w:t xml:space="preserve">6.637</w:t>
            </w:r>
          </w:p>
        </w:tc>
        <w:tc>
          <w:tcPr/>
          <w:p>
            <w:pPr>
              <w:pStyle w:val="Compact"/>
              <w:jc w:val="right"/>
            </w:pPr>
            <w:r>
              <w:t xml:space="preserve">6.828</w:t>
            </w:r>
          </w:p>
        </w:tc>
        <w:tc>
          <w:tcPr/>
          <w:p>
            <w:pPr>
              <w:pStyle w:val="Compact"/>
              <w:jc w:val="right"/>
            </w:pPr>
            <w:r>
              <w:t xml:space="preserve">7.356</w:t>
            </w:r>
          </w:p>
        </w:tc>
      </w:tr>
      <w:tr>
        <w:tc>
          <w:tcPr/>
          <w:p>
            <w:pPr>
              <w:pStyle w:val="Compact"/>
              <w:jc w:val="left"/>
            </w:pPr>
            <w:r>
              <w:t xml:space="preserve">8,50%</w:t>
            </w:r>
          </w:p>
        </w:tc>
        <w:tc>
          <w:tcPr/>
          <w:p>
            <w:pPr>
              <w:pStyle w:val="Compact"/>
              <w:jc w:val="right"/>
            </w:pPr>
            <w:r>
              <w:t xml:space="preserve">6.125</w:t>
            </w:r>
          </w:p>
        </w:tc>
        <w:tc>
          <w:tcPr/>
          <w:p>
            <w:pPr>
              <w:pStyle w:val="Compact"/>
              <w:jc w:val="right"/>
            </w:pPr>
            <w:r>
              <w:t xml:space="preserve">6.373</w:t>
            </w:r>
          </w:p>
        </w:tc>
        <w:tc>
          <w:tcPr/>
          <w:p>
            <w:pPr>
              <w:pStyle w:val="Compact"/>
              <w:jc w:val="right"/>
            </w:pPr>
            <w:r>
              <w:t xml:space="preserve">6.532</w:t>
            </w:r>
          </w:p>
        </w:tc>
        <w:tc>
          <w:tcPr/>
          <w:p>
            <w:pPr>
              <w:pStyle w:val="Compact"/>
              <w:jc w:val="right"/>
            </w:pPr>
            <w:r>
              <w:t xml:space="preserve">6.960</w:t>
            </w:r>
          </w:p>
        </w:tc>
      </w:tr>
      <w:tr>
        <w:tc>
          <w:tcPr/>
          <w:p>
            <w:pPr>
              <w:pStyle w:val="Compact"/>
              <w:jc w:val="left"/>
            </w:pPr>
            <w:r>
              <w:t xml:space="preserve">9,00%</w:t>
            </w:r>
          </w:p>
        </w:tc>
        <w:tc>
          <w:tcPr/>
          <w:p>
            <w:pPr>
              <w:pStyle w:val="Compact"/>
              <w:jc w:val="right"/>
            </w:pPr>
            <w:r>
              <w:t xml:space="preserve">5.739</w:t>
            </w:r>
          </w:p>
        </w:tc>
        <w:tc>
          <w:tcPr/>
          <w:p>
            <w:pPr>
              <w:pStyle w:val="Compact"/>
              <w:jc w:val="right"/>
            </w:pPr>
            <w:r>
              <w:t xml:space="preserve">5.914</w:t>
            </w:r>
          </w:p>
        </w:tc>
        <w:tc>
          <w:tcPr/>
          <w:p>
            <w:pPr>
              <w:pStyle w:val="Compact"/>
              <w:jc w:val="right"/>
            </w:pPr>
            <w:r>
              <w:t xml:space="preserve">6.023</w:t>
            </w:r>
          </w:p>
        </w:tc>
        <w:tc>
          <w:tcPr/>
          <w:p>
            <w:pPr>
              <w:pStyle w:val="Compact"/>
              <w:jc w:val="right"/>
            </w:pPr>
            <w:r>
              <w:t xml:space="preserve">6.304</w:t>
            </w:r>
          </w:p>
        </w:tc>
      </w:tr>
    </w:tbl>
    <w:p>
      <w:pPr>
        <w:pStyle w:val="BodyText"/>
      </w:pPr>
      <w:r>
        <w:rPr>
          <w:bCs/>
          <w:b/>
        </w:rPr>
        <w:t xml:space="preserve">Escenarios de riesgo tomados del caso</w:t>
      </w:r>
      <w:r>
        <w:t xml:space="preserve"> </w:t>
      </w:r>
      <w:r>
        <w:t xml:space="preserve">(supuestos propios de magnitud):</w:t>
      </w:r>
    </w:p>
    <w:tbl>
      <w:tblPr>
        <w:tblStyle w:val="Table"/>
        <w:tblW w:type="pct" w:w="5000"/>
        <w:tblLook w:firstRow="1" w:lastRow="0" w:firstColumn="0" w:lastColumn="0" w:noHBand="0" w:noVBand="0" w:val="0020"/>
        <w:jc w:val="start"/>
      </w:tblPr>
      <w:tblGrid>
        <w:gridCol w:w="1250"/>
        <w:gridCol w:w="1667"/>
        <w:gridCol w:w="1667"/>
        <w:gridCol w:w="1667"/>
        <w:gridCol w:w="1667"/>
      </w:tblGrid>
      <w:tr>
        <w:trPr>
          <w:tblHeader w:val="true"/>
        </w:trPr>
        <w:tc>
          <w:tcPr/>
          <w:p>
            <w:pPr>
              <w:pStyle w:val="Compact"/>
            </w:pPr>
          </w:p>
        </w:tc>
        <w:tc>
          <w:tcPr/>
          <w:p>
            <w:pPr>
              <w:pStyle w:val="Compact"/>
              <w:jc w:val="right"/>
            </w:pPr>
            <w:r>
              <w:t xml:space="preserve">Base</w:t>
            </w:r>
          </w:p>
        </w:tc>
        <w:tc>
          <w:tcPr/>
          <w:p>
            <w:pPr>
              <w:pStyle w:val="Compact"/>
              <w:jc w:val="right"/>
            </w:pPr>
            <w:r>
              <w:t xml:space="preserve">Precios: −3 pp de crecimiento al año (ingreso por minuto −11% en 2007)</w:t>
            </w:r>
          </w:p>
        </w:tc>
        <w:tc>
          <w:tcPr/>
          <w:p>
            <w:pPr>
              <w:pStyle w:val="Compact"/>
              <w:jc w:val="right"/>
            </w:pPr>
            <w:r>
              <w:t xml:space="preserve">Adquisición de clientes: SG&amp;A +2 pp (costo por cliente +26%)</w:t>
            </w:r>
          </w:p>
        </w:tc>
        <w:tc>
          <w:tcPr/>
          <w:p>
            <w:pPr>
              <w:pStyle w:val="Compact"/>
              <w:jc w:val="right"/>
            </w:pPr>
            <w:r>
              <w:t xml:space="preserve">Combinado</w:t>
            </w:r>
          </w:p>
        </w:tc>
      </w:tr>
      <w:tr>
        <w:tc>
          <w:tcPr/>
          <w:p>
            <w:pPr>
              <w:pStyle w:val="Compact"/>
              <w:jc w:val="left"/>
            </w:pPr>
            <w:r>
              <w:t xml:space="preserve">EBITDA 2012</w:t>
            </w:r>
          </w:p>
        </w:tc>
        <w:tc>
          <w:tcPr/>
          <w:p>
            <w:pPr>
              <w:pStyle w:val="Compact"/>
              <w:jc w:val="right"/>
            </w:pPr>
            <w:r>
              <w:t xml:space="preserve">1.677</w:t>
            </w:r>
          </w:p>
        </w:tc>
        <w:tc>
          <w:tcPr/>
          <w:p>
            <w:pPr>
              <w:pStyle w:val="Compact"/>
              <w:jc w:val="right"/>
            </w:pPr>
            <w:r>
              <w:t xml:space="preserve">1.463</w:t>
            </w:r>
          </w:p>
        </w:tc>
        <w:tc>
          <w:tcPr/>
          <w:p>
            <w:pPr>
              <w:pStyle w:val="Compact"/>
              <w:jc w:val="right"/>
            </w:pPr>
            <w:r>
              <w:t xml:space="preserve">1.541</w:t>
            </w:r>
          </w:p>
        </w:tc>
        <w:tc>
          <w:tcPr/>
          <w:p>
            <w:pPr>
              <w:pStyle w:val="Compact"/>
              <w:jc w:val="right"/>
            </w:pPr>
            <w:r>
              <w:t xml:space="preserve">1.345</w:t>
            </w:r>
          </w:p>
        </w:tc>
      </w:tr>
      <w:tr>
        <w:tc>
          <w:tcPr/>
          <w:p>
            <w:pPr>
              <w:pStyle w:val="Compact"/>
              <w:jc w:val="left"/>
            </w:pPr>
            <w:r>
              <w:t xml:space="preserve">g</w:t>
            </w:r>
          </w:p>
        </w:tc>
        <w:tc>
          <w:tcPr/>
          <w:p>
            <w:pPr>
              <w:pStyle w:val="Compact"/>
              <w:jc w:val="right"/>
            </w:pPr>
            <w:r>
              <w:t xml:space="preserve">2,78%</w:t>
            </w:r>
          </w:p>
        </w:tc>
        <w:tc>
          <w:tcPr/>
          <w:p>
            <w:pPr>
              <w:pStyle w:val="Compact"/>
              <w:jc w:val="right"/>
            </w:pPr>
            <w:r>
              <w:t xml:space="preserve">2,32%</w:t>
            </w:r>
          </w:p>
        </w:tc>
        <w:tc>
          <w:tcPr/>
          <w:p>
            <w:pPr>
              <w:pStyle w:val="Compact"/>
              <w:jc w:val="right"/>
            </w:pPr>
            <w:r>
              <w:t xml:space="preserve">2,77%</w:t>
            </w:r>
          </w:p>
        </w:tc>
        <w:tc>
          <w:tcPr/>
          <w:p>
            <w:pPr>
              <w:pStyle w:val="Compact"/>
              <w:jc w:val="right"/>
            </w:pPr>
            <w:r>
              <w:t xml:space="preserve">2,31%</w:t>
            </w:r>
          </w:p>
        </w:tc>
      </w:tr>
      <w:tr>
        <w:tc>
          <w:tcPr/>
          <w:p>
            <w:pPr>
              <w:pStyle w:val="Compact"/>
              <w:jc w:val="left"/>
            </w:pPr>
            <w:r>
              <w:t xml:space="preserve">Patrimonio sin sinergias</w:t>
            </w:r>
          </w:p>
        </w:tc>
        <w:tc>
          <w:tcPr/>
          <w:p>
            <w:pPr>
              <w:pStyle w:val="Compact"/>
              <w:jc w:val="right"/>
            </w:pPr>
            <w:r>
              <w:t xml:space="preserve">6.758</w:t>
            </w:r>
          </w:p>
        </w:tc>
        <w:tc>
          <w:tcPr/>
          <w:p>
            <w:pPr>
              <w:pStyle w:val="Compact"/>
              <w:jc w:val="right"/>
            </w:pPr>
            <w:r>
              <w:t xml:space="preserve">5.800</w:t>
            </w:r>
          </w:p>
        </w:tc>
        <w:tc>
          <w:tcPr/>
          <w:p>
            <w:pPr>
              <w:pStyle w:val="Compact"/>
              <w:jc w:val="right"/>
            </w:pPr>
            <w:r>
              <w:t xml:space="preserve">5.337</w:t>
            </w:r>
          </w:p>
        </w:tc>
        <w:tc>
          <w:tcPr/>
          <w:p>
            <w:pPr>
              <w:pStyle w:val="Compact"/>
              <w:jc w:val="right"/>
            </w:pPr>
            <w:r>
              <w:t xml:space="preserve">4.641</w:t>
            </w:r>
          </w:p>
        </w:tc>
      </w:tr>
      <w:tr>
        <w:tc>
          <w:tcPr/>
          <w:p>
            <w:pPr>
              <w:pStyle w:val="Compact"/>
              <w:jc w:val="left"/>
            </w:pPr>
            <w:r>
              <w:t xml:space="preserve">Diferencia con la base</w:t>
            </w:r>
          </w:p>
        </w:tc>
        <w:tc>
          <w:tcPr/>
          <w:p>
            <w:pPr>
              <w:pStyle w:val="Compact"/>
              <w:jc w:val="right"/>
            </w:pPr>
            <w:r>
              <w:t xml:space="preserve">—</w:t>
            </w:r>
          </w:p>
        </w:tc>
        <w:tc>
          <w:tcPr/>
          <w:p>
            <w:pPr>
              <w:pStyle w:val="Compact"/>
              <w:jc w:val="right"/>
            </w:pPr>
            <w:r>
              <w:t xml:space="preserve">−958</w:t>
            </w:r>
          </w:p>
        </w:tc>
        <w:tc>
          <w:tcPr/>
          <w:p>
            <w:pPr>
              <w:pStyle w:val="Compact"/>
              <w:jc w:val="right"/>
            </w:pPr>
            <w:r>
              <w:t xml:space="preserve">−1.421</w:t>
            </w:r>
          </w:p>
        </w:tc>
        <w:tc>
          <w:tcPr/>
          <w:p>
            <w:pPr>
              <w:pStyle w:val="Compact"/>
              <w:jc w:val="right"/>
            </w:pPr>
            <w:r>
              <w:t xml:space="preserve">−2.117</w:t>
            </w:r>
          </w:p>
        </w:tc>
      </w:tr>
    </w:tbl>
    <w:p>
      <w:pPr>
        <w:pStyle w:val="BodyText"/>
      </w:pPr>
      <w:r>
        <w:t xml:space="preserve">Si solo se realiza la mitad de las sinergias, el patrimonio con sinergias baja de 8.963 a 7.861. En el escenario combinado, ATC vale 4.641, por debajo de la apertura recomendada: es otro motivo para no pagar sinergias de ingresos.</w:t>
      </w:r>
    </w:p>
    <w:bookmarkEnd w:id="31"/>
    <w:bookmarkStart w:id="32" w:name="recomendación-estrategia-de-negociación"/>
    <w:p>
      <w:pPr>
        <w:pStyle w:val="Heading1"/>
      </w:pPr>
      <w:r>
        <w:t xml:space="preserve">6. Recomendación: estrategia de negociación</w:t>
      </w:r>
    </w:p>
    <w:tbl>
      <w:tblPr>
        <w:tblStyle w:val="Table"/>
        <w:tblW w:type="pct" w:w="5000"/>
        <w:tblLook w:firstRow="1" w:lastRow="0" w:firstColumn="0" w:lastColumn="0" w:noHBand="0" w:noVBand="0" w:val="0020"/>
        <w:jc w:val="start"/>
      </w:tblPr>
      <w:tblGrid>
        <w:gridCol w:w="1105"/>
        <w:gridCol w:w="1473"/>
        <w:gridCol w:w="5341"/>
      </w:tblGrid>
      <w:tr>
        <w:trPr>
          <w:tblHeader w:val="true"/>
        </w:trPr>
        <w:tc>
          <w:tcPr/>
          <w:p>
            <w:pPr>
              <w:pStyle w:val="Compact"/>
            </w:pPr>
          </w:p>
        </w:tc>
        <w:tc>
          <w:tcPr/>
          <w:p>
            <w:pPr>
              <w:pStyle w:val="Compact"/>
              <w:jc w:val="right"/>
            </w:pPr>
            <w:r>
              <w:t xml:space="preserve">Precio del patrimonio (millones de US$)</w:t>
            </w:r>
          </w:p>
        </w:tc>
        <w:tc>
          <w:tcPr/>
          <w:p>
            <w:pPr>
              <w:pStyle w:val="Compact"/>
              <w:jc w:val="left"/>
            </w:pPr>
            <w:r>
              <w:t xml:space="preserve">Argumento</w:t>
            </w:r>
          </w:p>
        </w:tc>
      </w:tr>
      <w:tr>
        <w:tc>
          <w:tcPr/>
          <w:p>
            <w:pPr>
              <w:pStyle w:val="Compact"/>
              <w:jc w:val="left"/>
            </w:pPr>
            <w:r>
              <w:rPr>
                <w:bCs/>
                <w:b/>
              </w:rPr>
              <w:t xml:space="preserve">Apertura</w:t>
            </w:r>
          </w:p>
        </w:tc>
        <w:tc>
          <w:tcPr/>
          <w:p>
            <w:pPr>
              <w:pStyle w:val="Compact"/>
              <w:jc w:val="right"/>
            </w:pPr>
            <w:r>
              <w:t xml:space="preserve">6.083</w:t>
            </w:r>
          </w:p>
        </w:tc>
        <w:tc>
          <w:tcPr/>
          <w:p>
            <w:pPr>
              <w:pStyle w:val="Compact"/>
              <w:jc w:val="left"/>
            </w:pPr>
            <w:r>
              <w:t xml:space="preserve">Valor independiente menos el 10% que costaría salir a bolsa: lo que el vendedor obtendría por su cuenta. Es defendible porque es su alternativa real.</w:t>
            </w:r>
          </w:p>
        </w:tc>
      </w:tr>
      <w:tr>
        <w:tc>
          <w:tcPr/>
          <w:p>
            <w:pPr>
              <w:pStyle w:val="Compact"/>
              <w:jc w:val="left"/>
            </w:pPr>
            <w:r>
              <w:rPr>
                <w:bCs/>
                <w:b/>
              </w:rPr>
              <w:t xml:space="preserve">Objetivo</w:t>
            </w:r>
          </w:p>
        </w:tc>
        <w:tc>
          <w:tcPr/>
          <w:p>
            <w:pPr>
              <w:pStyle w:val="Compact"/>
              <w:jc w:val="right"/>
            </w:pPr>
            <w:r>
              <w:t xml:space="preserve">7.084</w:t>
            </w:r>
          </w:p>
        </w:tc>
        <w:tc>
          <w:tcPr/>
          <w:p>
            <w:pPr>
              <w:pStyle w:val="Compact"/>
              <w:jc w:val="left"/>
            </w:pPr>
            <w:r>
              <w:t xml:space="preserve">Valor independiente más la mitad de las sinergias de backhaul.</w:t>
            </w:r>
          </w:p>
        </w:tc>
      </w:tr>
      <w:tr>
        <w:tc>
          <w:tcPr/>
          <w:p>
            <w:pPr>
              <w:pStyle w:val="Compact"/>
              <w:jc w:val="left"/>
            </w:pPr>
            <w:r>
              <w:rPr>
                <w:bCs/>
                <w:b/>
              </w:rPr>
              <w:t xml:space="preserve">Precio máximo (retiro)</w:t>
            </w:r>
          </w:p>
        </w:tc>
        <w:tc>
          <w:tcPr/>
          <w:p>
            <w:pPr>
              <w:pStyle w:val="Compact"/>
              <w:jc w:val="right"/>
            </w:pPr>
            <w:r>
              <w:t xml:space="preserve">7.409</w:t>
            </w:r>
          </w:p>
        </w:tc>
        <w:tc>
          <w:tcPr/>
          <w:p>
            <w:pPr>
              <w:pStyle w:val="Compact"/>
              <w:jc w:val="left"/>
            </w:pPr>
            <w:r>
              <w:t xml:space="preserve">Valor independiente más todo el backhaul (6,5 veces el EBITDA 2007).</w:t>
            </w:r>
          </w:p>
        </w:tc>
      </w:tr>
    </w:tbl>
    <w:p>
      <w:pPr>
        <w:numPr>
          <w:ilvl w:val="0"/>
          <w:numId w:val="1007"/>
        </w:numPr>
        <w:pStyle w:val="Compact"/>
      </w:pPr>
      <w:r>
        <w:rPr>
          <w:bCs/>
          <w:b/>
        </w:rPr>
        <w:t xml:space="preserve">Si no se alcanza el precio máximo:</w:t>
      </w:r>
      <w:r>
        <w:t xml:space="preserve"> </w:t>
      </w:r>
      <w:r>
        <w:t xml:space="preserve">retirarse y ofrecer la alternativa D (venta de capacidad de fibra para backhaul y comercialización conjunta), que conserva parte del ahorro de 76 al año sin deuda.</w:t>
      </w:r>
    </w:p>
    <w:p>
      <w:pPr>
        <w:numPr>
          <w:ilvl w:val="0"/>
          <w:numId w:val="1007"/>
        </w:numPr>
        <w:pStyle w:val="Compact"/>
      </w:pPr>
      <w:r>
        <w:rPr>
          <w:bCs/>
          <w:b/>
        </w:rPr>
        <w:t xml:space="preserve">Concesiones posibles:</w:t>
      </w:r>
    </w:p>
    <w:p>
      <w:pPr>
        <w:numPr>
          <w:ilvl w:val="1"/>
          <w:numId w:val="1008"/>
        </w:numPr>
        <w:pStyle w:val="Compact"/>
      </w:pPr>
      <w:r>
        <w:t xml:space="preserve">Un pago contingente (earn-out) por encima del precio máximo, ligado a alcanzar los suscriptores empresariales de la Tabla 5. Así se comparten las sinergias de ingresos solo si ocurren.</w:t>
      </w:r>
    </w:p>
    <w:p>
      <w:pPr>
        <w:numPr>
          <w:ilvl w:val="1"/>
          <w:numId w:val="1008"/>
        </w:numPr>
        <w:pStyle w:val="Compact"/>
      </w:pPr>
      <w:r>
        <w:t xml:space="preserve">Dejar a los vendedores la caja de 2007 (221), descontada del precio.</w:t>
      </w:r>
    </w:p>
    <w:p>
      <w:pPr>
        <w:numPr>
          <w:ilvl w:val="1"/>
          <w:numId w:val="1008"/>
        </w:numPr>
        <w:pStyle w:val="Compact"/>
      </w:pPr>
      <w:r>
        <w:t xml:space="preserve">Flexibilidad en plazos.</w:t>
      </w:r>
    </w:p>
    <w:p>
      <w:pPr>
        <w:numPr>
          <w:ilvl w:val="0"/>
          <w:numId w:val="1007"/>
        </w:numPr>
        <w:pStyle w:val="Compact"/>
      </w:pPr>
      <w:r>
        <w:rPr>
          <w:bCs/>
          <w:b/>
        </w:rPr>
        <w:t xml:space="preserve">Condiciones para firmar:</w:t>
      </w:r>
    </w:p>
    <w:p>
      <w:pPr>
        <w:numPr>
          <w:ilvl w:val="1"/>
          <w:numId w:val="1009"/>
        </w:numPr>
        <w:pStyle w:val="Compact"/>
      </w:pPr>
      <w:r>
        <w:t xml:space="preserve">Due diligence de las afiliadas (1.719, el 25% del patrimonio) y del interés minoritario.</w:t>
      </w:r>
    </w:p>
    <w:p>
      <w:pPr>
        <w:numPr>
          <w:ilvl w:val="1"/>
          <w:numId w:val="1009"/>
        </w:numPr>
        <w:pStyle w:val="Compact"/>
      </w:pPr>
      <w:r>
        <w:t xml:space="preserve">Explicar los 40,2 faltantes en las utilidades retenidas de 2007.</w:t>
      </w:r>
    </w:p>
    <w:p>
      <w:pPr>
        <w:numPr>
          <w:ilvl w:val="1"/>
          <w:numId w:val="1009"/>
        </w:numPr>
        <w:pStyle w:val="Compact"/>
      </w:pPr>
      <w:r>
        <w:t xml:space="preserve">Deuda de adquisición no mayor al 50% del valor total (47% hoy) y compromiso de ACC de cubrir la línea de crédito (≈ 563 a 2012).</w:t>
      </w:r>
    </w:p>
    <w:p>
      <w:pPr>
        <w:numPr>
          <w:ilvl w:val="1"/>
          <w:numId w:val="1009"/>
        </w:numPr>
        <w:pStyle w:val="Compact"/>
      </w:pPr>
      <w:r>
        <w:t xml:space="preserve">Revisar las obligaciones por retiro de activos (127).</w:t>
      </w:r>
    </w:p>
    <w:p>
      <w:pPr>
        <w:pStyle w:val="FirstParagraph"/>
      </w:pPr>
      <w:r>
        <w:rPr>
          <w:bCs/>
          <w:b/>
        </w:rPr>
        <w:t xml:space="preserve">Objeciones probables y respuestas:</w:t>
      </w:r>
    </w:p>
    <w:tbl>
      <w:tblPr>
        <w:tblStyle w:val="Table"/>
        <w:tblW w:type="pct" w:w="5000"/>
        <w:tblLook w:firstRow="1" w:lastRow="0" w:firstColumn="0" w:lastColumn="0" w:noHBand="0" w:noVBand="0" w:val="0020"/>
        <w:jc w:val="start"/>
      </w:tblPr>
      <w:tblGrid>
        <w:gridCol w:w="2574"/>
        <w:gridCol w:w="5346"/>
      </w:tblGrid>
      <w:tr>
        <w:trPr>
          <w:tblHeader w:val="true"/>
        </w:trPr>
        <w:tc>
          <w:tcPr/>
          <w:p>
            <w:pPr>
              <w:pStyle w:val="Compact"/>
              <w:jc w:val="left"/>
            </w:pPr>
            <w:r>
              <w:t xml:space="preserve">Objeción</w:t>
            </w:r>
          </w:p>
        </w:tc>
        <w:tc>
          <w:tcPr/>
          <w:p>
            <w:pPr>
              <w:pStyle w:val="Compact"/>
              <w:jc w:val="left"/>
            </w:pPr>
            <w:r>
              <w:t xml:space="preserve">Respuesta</w:t>
            </w:r>
          </w:p>
        </w:tc>
      </w:tr>
      <w:tr>
        <w:tc>
          <w:tcPr/>
          <w:p>
            <w:pPr>
              <w:pStyle w:val="Compact"/>
              <w:jc w:val="left"/>
            </w:pPr>
            <w:r>
              <w:t xml:space="preserve">(Vendedor)</w:t>
            </w:r>
            <w:r>
              <w:t xml:space="preserve"> </w:t>
            </w:r>
            <w:r>
              <w:t xml:space="preserve">“</w:t>
            </w:r>
            <w:r>
              <w:t xml:space="preserve">Los comparables valen 10,3 veces el EBITDA.</w:t>
            </w:r>
            <w:r>
              <w:t xml:space="preserve">”</w:t>
            </w:r>
          </w:p>
        </w:tc>
        <w:tc>
          <w:tcPr/>
          <w:p>
            <w:pPr>
              <w:pStyle w:val="Compact"/>
              <w:jc w:val="left"/>
            </w:pPr>
            <w:r>
              <w:t xml:space="preserve">Ese múltiplo exige crecer 6,6% para siempre. Los comparables tienen márgenes de 31,6% y sus múltiplos van de 2,6x a 19,1x. El P/U histórico de la industria da 6.010.</w:t>
            </w:r>
          </w:p>
        </w:tc>
      </w:tr>
      <w:tr>
        <w:tc>
          <w:tcPr/>
          <w:p>
            <w:pPr>
              <w:pStyle w:val="Compact"/>
              <w:jc w:val="left"/>
            </w:pPr>
            <w:r>
              <w:t xml:space="preserve">(Vendedor)</w:t>
            </w:r>
            <w:r>
              <w:t xml:space="preserve"> </w:t>
            </w:r>
            <w:r>
              <w:t xml:space="preserve">“</w:t>
            </w:r>
            <w:r>
              <w:t xml:space="preserve">Las sinergias existen por ATC.</w:t>
            </w:r>
            <w:r>
              <w:t xml:space="preserve">”</w:t>
            </w:r>
          </w:p>
        </w:tc>
        <w:tc>
          <w:tcPr/>
          <w:p>
            <w:pPr>
              <w:pStyle w:val="Compact"/>
              <w:jc w:val="left"/>
            </w:pPr>
            <w:r>
              <w:t xml:space="preserve">Las de backhaul usan la fibra de ACC y las de ingresos los clientes de ACC. Aun así se paga hasta el 100% del backhaul.</w:t>
            </w:r>
          </w:p>
        </w:tc>
      </w:tr>
      <w:tr>
        <w:tc>
          <w:tcPr/>
          <w:p>
            <w:pPr>
              <w:pStyle w:val="Compact"/>
              <w:jc w:val="left"/>
            </w:pPr>
            <w:r>
              <w:t xml:space="preserve">(Vendedor)</w:t>
            </w:r>
            <w:r>
              <w:t xml:space="preserve"> </w:t>
            </w:r>
            <w:r>
              <w:t xml:space="preserve">“</w:t>
            </w:r>
            <w:r>
              <w:t xml:space="preserve">No aceptamos descuento por ser privada.</w:t>
            </w:r>
            <w:r>
              <w:t xml:space="preserve">”</w:t>
            </w:r>
          </w:p>
        </w:tc>
        <w:tc>
          <w:tcPr/>
          <w:p>
            <w:pPr>
              <w:pStyle w:val="Compact"/>
              <w:jc w:val="left"/>
            </w:pPr>
            <w:r>
              <w:t xml:space="preserve">El valor no lleva descuento; la apertura refleja solo el costo de la alternativa de salir a bolsa.</w:t>
            </w:r>
          </w:p>
        </w:tc>
      </w:tr>
      <w:tr>
        <w:tc>
          <w:tcPr/>
          <w:p>
            <w:pPr>
              <w:pStyle w:val="Compact"/>
              <w:jc w:val="left"/>
            </w:pPr>
            <w:r>
              <w:t xml:space="preserve">(Junta de ACC)</w:t>
            </w:r>
            <w:r>
              <w:t xml:space="preserve"> </w:t>
            </w:r>
            <w:r>
              <w:t xml:space="preserve">“</w:t>
            </w:r>
            <w:r>
              <w:t xml:space="preserve">Es mucha deuda.</w:t>
            </w:r>
            <w:r>
              <w:t xml:space="preserve">”</w:t>
            </w:r>
          </w:p>
        </w:tc>
        <w:tc>
          <w:tcPr/>
          <w:p>
            <w:pPr>
              <w:pStyle w:val="Compact"/>
              <w:jc w:val="left"/>
            </w:pPr>
            <w:r>
              <w:t xml:space="preserve">Es cierto sobre el valor de las operaciones (62%). Por eso se condiciona la deuda al 50% del valor total y se reserva la línea. Los escudos fiscales valen solo 285: la compra no depende de la deuda.</w:t>
            </w:r>
          </w:p>
        </w:tc>
      </w:tr>
      <w:tr>
        <w:tc>
          <w:tcPr/>
          <w:p>
            <w:pPr>
              <w:pStyle w:val="Compact"/>
              <w:jc w:val="left"/>
            </w:pPr>
            <w:r>
              <w:t xml:space="preserve">(Junta de ACC)</w:t>
            </w:r>
            <w:r>
              <w:t xml:space="preserve"> </w:t>
            </w:r>
            <w:r>
              <w:t xml:space="preserve">“</w:t>
            </w:r>
            <w:r>
              <w:t xml:space="preserve">Sin ATC nos quedamos atrás.</w:t>
            </w:r>
            <w:r>
              <w:t xml:space="preserve">”</w:t>
            </w:r>
          </w:p>
        </w:tc>
        <w:tc>
          <w:tcPr/>
          <w:p>
            <w:pPr>
              <w:pStyle w:val="Compact"/>
              <w:jc w:val="left"/>
            </w:pPr>
            <w:r>
              <w:t xml:space="preserve">Con el precio máximo se paga una prima de 9,6% y se conservan 1.554 de sinergias de ingresos. Por encima, la ventaja estratégica se paga dos veces.</w:t>
            </w:r>
          </w:p>
        </w:tc>
      </w:tr>
    </w:tbl>
    <w:bookmarkEnd w:id="32"/>
    <w:bookmarkStart w:id="33" w:name="verificación-de-los-cálculos"/>
    <w:p>
      <w:pPr>
        <w:pStyle w:val="Heading1"/>
      </w:pPr>
      <w:r>
        <w:t xml:space="preserve">7. Verificación de los cálculos</w:t>
      </w:r>
    </w:p>
    <w:p>
      <w:pPr>
        <w:numPr>
          <w:ilvl w:val="0"/>
          <w:numId w:val="1010"/>
        </w:numPr>
        <w:pStyle w:val="Compact"/>
      </w:pPr>
      <w:r>
        <w:rPr>
          <w:bCs/>
          <w:b/>
        </w:rPr>
        <w:t xml:space="preserve">Doble cálculo:</w:t>
      </w:r>
      <w:r>
        <w:t xml:space="preserve"> </w:t>
      </w:r>
      <w:r>
        <w:t xml:space="preserve">un script independiente en Python (</w:t>
      </w:r>
      <w:r>
        <w:rPr>
          <w:rStyle w:val="VerbatimChar"/>
        </w:rPr>
        <w:t xml:space="preserve">verificacion/verificar.py</w:t>
      </w:r>
      <w:r>
        <w:t xml:space="preserve">) recalcula 34 cifras clave desde los datos del caso, sin leer las fórmulas del Excel. La diferencia máxima con el Excel es 2,5 × 10</w:t>
      </w:r>
      <w:r>
        <w:rPr>
          <w:vertAlign w:val="superscript"/>
        </w:rPr>
        <w:t xml:space="preserve">-11</w:t>
      </w:r>
      <w:r>
        <w:t xml:space="preserve"> </w:t>
      </w:r>
      <w:r>
        <w:t xml:space="preserve">(hoja Verificacion).</w:t>
      </w:r>
    </w:p>
    <w:p>
      <w:pPr>
        <w:numPr>
          <w:ilvl w:val="0"/>
          <w:numId w:val="1010"/>
        </w:numPr>
        <w:pStyle w:val="Compact"/>
      </w:pPr>
      <w:r>
        <w:rPr>
          <w:bCs/>
          <w:b/>
        </w:rPr>
        <w:t xml:space="preserve">Controles internos (hoja Control):</w:t>
      </w:r>
      <w:r>
        <w:t xml:space="preserve"> </w:t>
      </w:r>
      <w:r>
        <w:t xml:space="preserve">todos dan</w:t>
      </w:r>
      <w:r>
        <w:t xml:space="preserve"> </w:t>
      </w:r>
      <w:r>
        <w:t xml:space="preserve">“</w:t>
      </w:r>
      <w:r>
        <w:t xml:space="preserve">OK</w:t>
      </w:r>
      <w:r>
        <w:t xml:space="preserve">”</w:t>
      </w:r>
      <w:r>
        <w:t xml:space="preserve">. Cubren el balance histórico y proforma, la conciliación de flujos, la Tabla 3, el D/V del Anexo 7, el ROE de la Tabla 2, los saldos de deuda del Anexo 6, y la igualdad entre valoración, escenarios y sinergias.</w:t>
      </w:r>
    </w:p>
    <w:p>
      <w:pPr>
        <w:numPr>
          <w:ilvl w:val="0"/>
          <w:numId w:val="1010"/>
        </w:numPr>
        <w:pStyle w:val="Compact"/>
      </w:pPr>
      <w:r>
        <w:rPr>
          <w:bCs/>
          <w:b/>
        </w:rPr>
        <w:t xml:space="preserve">Fórmulas:</w:t>
      </w:r>
      <w:r>
        <w:t xml:space="preserve"> </w:t>
      </w:r>
      <w:r>
        <w:t xml:space="preserve">el Excel se recalculó con LibreOffice sin errores y no tiene vínculos externos. Cada supuesto está en su celda (hoja Supuestos). Las únicas constantes dentro de fórmulas son convenciones: 360 días, 12 meses, 5 años de descuento, los años y meses del cronograma de deuda y las tolerancias de los controles.</w:t>
      </w:r>
    </w:p>
    <w:p>
      <w:pPr>
        <w:numPr>
          <w:ilvl w:val="0"/>
          <w:numId w:val="1010"/>
        </w:numPr>
        <w:pStyle w:val="Compact"/>
      </w:pPr>
      <w:r>
        <w:rPr>
          <w:bCs/>
          <w:b/>
        </w:rPr>
        <w:t xml:space="preserve">Única fuente de verdad:</w:t>
      </w:r>
      <w:r>
        <w:t xml:space="preserve"> </w:t>
      </w:r>
      <w:r>
        <w:t xml:space="preserve">cada cifra de este informe sale de una celda del Excel. La tabla</w:t>
      </w:r>
      <w:r>
        <w:t xml:space="preserve"> </w:t>
      </w:r>
      <w:r>
        <w:t xml:space="preserve">“</w:t>
      </w:r>
      <w:r>
        <w:t xml:space="preserve">cifra → celda</w:t>
      </w:r>
      <w:r>
        <w:t xml:space="preserve">”</w:t>
      </w:r>
      <w:r>
        <w:t xml:space="preserve"> </w:t>
      </w:r>
      <w:r>
        <w:t xml:space="preserve">está en la hoja Control y en</w:t>
      </w:r>
      <w:r>
        <w:t xml:space="preserve"> </w:t>
      </w:r>
      <w:r>
        <w:rPr>
          <w:rStyle w:val="VerbatimChar"/>
        </w:rPr>
        <w:t xml:space="preserve">informe/tabla_control.md</w:t>
      </w:r>
      <w:r>
        <w:t xml:space="preserve">.</w:t>
      </w:r>
    </w:p>
    <w:p>
      <w:pPr>
        <w:pStyle w:val="FirstParagraph"/>
      </w:pPr>
      <w:r>
        <w:rPr>
          <w:bCs/>
          <w:b/>
        </w:rPr>
        <w:t xml:space="preserve">Comprobaciones manuales del escenario base:</w:t>
      </w:r>
    </w:p>
    <w:p>
      <w:pPr>
        <w:numPr>
          <w:ilvl w:val="0"/>
          <w:numId w:val="1011"/>
        </w:numPr>
        <w:pStyle w:val="Compact"/>
      </w:pPr>
      <w:r>
        <w:t xml:space="preserve">Deuda inicial = 1.033,3 / 5,0 / 5,5% = 3.757,5 → Excel 3.757,5.</w:t>
      </w:r>
    </w:p>
    <w:p>
      <w:pPr>
        <w:numPr>
          <w:ilvl w:val="0"/>
          <w:numId w:val="1011"/>
        </w:numPr>
        <w:pStyle w:val="Compact"/>
      </w:pPr>
      <w:r>
        <w:t xml:space="preserve">Ku = 4,25% + 0,7967 × 5% = 8,23% → Excel 8,23%; CPPC = 8,23% − 0,40 × 5,5% × 28,1% = 7,62% → 7,62%.</w:t>
      </w:r>
    </w:p>
    <w:p>
      <w:pPr>
        <w:numPr>
          <w:ilvl w:val="0"/>
          <w:numId w:val="1011"/>
        </w:numPr>
        <w:pStyle w:val="Compact"/>
      </w:pPr>
      <w:r>
        <w:t xml:space="preserve">Ingresos por servicios 2008 = 3.679,2 × 1,14 = 4.194,3 → 4.194,3.</w:t>
      </w:r>
    </w:p>
    <w:p>
      <w:pPr>
        <w:numPr>
          <w:ilvl w:val="0"/>
          <w:numId w:val="1011"/>
        </w:numPr>
        <w:pStyle w:val="Compact"/>
      </w:pPr>
      <w:r>
        <w:t xml:space="preserve">FCF 2008 = NOPAT 243,5 + D&amp;A 705,2 − capex 631,3 − Δ capital de trabajo 25,9 = 291,6.</w:t>
      </w:r>
    </w:p>
    <w:p>
      <w:pPr>
        <w:numPr>
          <w:ilvl w:val="0"/>
          <w:numId w:val="1011"/>
        </w:numPr>
        <w:pStyle w:val="Compact"/>
      </w:pPr>
      <w:r>
        <w:t xml:space="preserve">Afiliadas = 90,0 × 19,095 = 1.719 → 1.719,2.</w:t>
      </w:r>
    </w:p>
    <w:bookmarkEnd w:id="33"/>
    <w:bookmarkStart w:id="34" w:name="preparación-para-la-discusión-en-clase"/>
    <w:p>
      <w:pPr>
        <w:pStyle w:val="Heading1"/>
      </w:pPr>
      <w:r>
        <w:t xml:space="preserve">8. Preparación para la discusión en clase</w:t>
      </w:r>
    </w:p>
    <w:p>
      <w:pPr>
        <w:pStyle w:val="FirstParagraph"/>
      </w:pPr>
      <w:r>
        <w:rPr>
          <w:bCs/>
          <w:b/>
        </w:rPr>
        <w:t xml:space="preserve">Intervención 1:</w:t>
      </w:r>
      <w:r>
        <w:rPr>
          <w:bCs/>
          <w:b/>
        </w:rPr>
        <w:t xml:space="preserve"> </w:t>
      </w:r>
      <w:r>
        <w:rPr>
          <w:bCs/>
          <w:b/>
        </w:rPr>
        <w:t xml:space="preserve">“</w:t>
      </w:r>
      <w:r>
        <w:rPr>
          <w:bCs/>
          <w:b/>
        </w:rPr>
        <w:t xml:space="preserve">No hay que usar el múltiplo de comparables para el valor terminal.</w:t>
      </w:r>
      <w:r>
        <w:rPr>
          <w:bCs/>
          <w:b/>
        </w:rPr>
        <w:t xml:space="preserve">”</w:t>
      </w:r>
    </w:p>
    <w:p>
      <w:pPr>
        <w:numPr>
          <w:ilvl w:val="0"/>
          <w:numId w:val="1012"/>
        </w:numPr>
        <w:pStyle w:val="Compact"/>
      </w:pPr>
      <w:r>
        <w:t xml:space="preserve">Teoría: el valor terminal debe ser coherente con el crecimiento que la empresa puede financiar, g = ROIC × tasa de reinversión (notas 7 y 8; Damodaran).</w:t>
      </w:r>
    </w:p>
    <w:p>
      <w:pPr>
        <w:numPr>
          <w:ilvl w:val="0"/>
          <w:numId w:val="1012"/>
        </w:numPr>
        <w:pStyle w:val="Compact"/>
      </w:pPr>
      <w:r>
        <w:t xml:space="preserve">Dato: el múltiplo de 10,3x implica g = 6,6%, frente a 2,78% fundamental.</w:t>
      </w:r>
    </w:p>
    <w:p>
      <w:pPr>
        <w:numPr>
          <w:ilvl w:val="0"/>
          <w:numId w:val="1012"/>
        </w:numPr>
        <w:pStyle w:val="Compact"/>
      </w:pPr>
      <w:r>
        <w:t xml:space="preserve">Objeción probable:</w:t>
      </w:r>
      <w:r>
        <w:t xml:space="preserve"> </w:t>
      </w:r>
      <w:r>
        <w:t xml:space="preserve">“</w:t>
      </w:r>
      <w:r>
        <w:t xml:space="preserve">el mercado sabe más que nuestro modelo</w:t>
      </w:r>
      <w:r>
        <w:t xml:space="preserve">”</w:t>
      </w:r>
      <w:r>
        <w:t xml:space="preserve">.</w:t>
      </w:r>
    </w:p>
    <w:p>
      <w:pPr>
        <w:numPr>
          <w:ilvl w:val="0"/>
          <w:numId w:val="1012"/>
        </w:numPr>
        <w:pStyle w:val="Compact"/>
      </w:pPr>
      <w:r>
        <w:t xml:space="preserve">Respuesta: los comparables son más grandes y rentables (31,6% de margen EBITDA) y sus múltiplos van de 2,6x a 19,1x. Ninguno es un buen par de ATC.</w:t>
      </w:r>
    </w:p>
    <w:p>
      <w:pPr>
        <w:pStyle w:val="FirstParagraph"/>
      </w:pPr>
      <w:r>
        <w:rPr>
          <w:bCs/>
          <w:b/>
        </w:rPr>
        <w:t xml:space="preserve">Intervención 2:</w:t>
      </w:r>
      <w:r>
        <w:rPr>
          <w:bCs/>
          <w:b/>
        </w:rPr>
        <w:t xml:space="preserve"> </w:t>
      </w:r>
      <w:r>
        <w:rPr>
          <w:bCs/>
          <w:b/>
        </w:rPr>
        <w:t xml:space="preserve">“</w:t>
      </w:r>
      <w:r>
        <w:rPr>
          <w:bCs/>
          <w:b/>
        </w:rPr>
        <w:t xml:space="preserve">El APV es el método correcto, pero la financiación no crea el valor.</w:t>
      </w:r>
      <w:r>
        <w:rPr>
          <w:bCs/>
          <w:b/>
        </w:rPr>
        <w:t xml:space="preserve">”</w:t>
      </w:r>
    </w:p>
    <w:p>
      <w:pPr>
        <w:numPr>
          <w:ilvl w:val="0"/>
          <w:numId w:val="1013"/>
        </w:numPr>
        <w:pStyle w:val="Compact"/>
      </w:pPr>
      <w:r>
        <w:t xml:space="preserve">Teoría: APV de Myers. Con una deuda que cambia de 3.758 a 2.135 en 2008-2012, un CPPC constante no aplica.</w:t>
      </w:r>
    </w:p>
    <w:p>
      <w:pPr>
        <w:numPr>
          <w:ilvl w:val="0"/>
          <w:numId w:val="1013"/>
        </w:numPr>
        <w:pStyle w:val="Compact"/>
      </w:pPr>
      <w:r>
        <w:t xml:space="preserve">Dato: el APV y el CPPC-DCF difieren solo en 131, y los escudos fiscales valen 285.</w:t>
      </w:r>
    </w:p>
    <w:p>
      <w:pPr>
        <w:numPr>
          <w:ilvl w:val="0"/>
          <w:numId w:val="1013"/>
        </w:numPr>
        <w:pStyle w:val="Compact"/>
      </w:pPr>
      <w:r>
        <w:t xml:space="preserve">Objeción probable:</w:t>
      </w:r>
      <w:r>
        <w:t xml:space="preserve"> </w:t>
      </w:r>
      <w:r>
        <w:t xml:space="preserve">“</w:t>
      </w:r>
      <w:r>
        <w:t xml:space="preserve">entonces da igual el método</w:t>
      </w:r>
      <w:r>
        <w:t xml:space="preserve">”</w:t>
      </w:r>
      <w:r>
        <w:t xml:space="preserve">.</w:t>
      </w:r>
    </w:p>
    <w:p>
      <w:pPr>
        <w:numPr>
          <w:ilvl w:val="0"/>
          <w:numId w:val="1013"/>
        </w:numPr>
        <w:pStyle w:val="Compact"/>
      </w:pPr>
      <w:r>
        <w:t xml:space="preserve">Respuesta: el APV muestra además que la deuda propuesta es el 62% del valor operativo y que ATC necesita 563 adicionales. Es un riesgo que el CPPC esconde.</w:t>
      </w:r>
    </w:p>
    <w:p>
      <w:pPr>
        <w:pStyle w:val="FirstParagraph"/>
      </w:pPr>
      <w:r>
        <w:rPr>
          <w:bCs/>
          <w:b/>
        </w:rPr>
        <w:t xml:space="preserve">Intervención 3:</w:t>
      </w:r>
      <w:r>
        <w:rPr>
          <w:bCs/>
          <w:b/>
        </w:rPr>
        <w:t xml:space="preserve"> </w:t>
      </w:r>
      <w:r>
        <w:rPr>
          <w:bCs/>
          <w:b/>
        </w:rPr>
        <w:t xml:space="preserve">“</w:t>
      </w:r>
      <w:r>
        <w:rPr>
          <w:bCs/>
          <w:b/>
        </w:rPr>
        <w:t xml:space="preserve">No corresponde un descuento por iliquidez en el valor.</w:t>
      </w:r>
      <w:r>
        <w:rPr>
          <w:bCs/>
          <w:b/>
        </w:rPr>
        <w:t xml:space="preserve">”</w:t>
      </w:r>
    </w:p>
    <w:p>
      <w:pPr>
        <w:numPr>
          <w:ilvl w:val="0"/>
          <w:numId w:val="1014"/>
        </w:numPr>
        <w:pStyle w:val="Compact"/>
      </w:pPr>
      <w:r>
        <w:t xml:space="preserve">Teoría: el descuento compensa la falta de liquidez de posiciones minoritarias. Quien compra el 100% tiene la opción de salir a bolsa (nota 6).</w:t>
      </w:r>
    </w:p>
    <w:p>
      <w:pPr>
        <w:numPr>
          <w:ilvl w:val="0"/>
          <w:numId w:val="1014"/>
        </w:numPr>
        <w:pStyle w:val="Compact"/>
      </w:pPr>
      <w:r>
        <w:t xml:space="preserve">Dato: ATC factura 3.946, fuera del rango del Anexo 8, cuyo descuento cae con el tamaño; el costo de salir a bolsa es 10%.</w:t>
      </w:r>
    </w:p>
    <w:p>
      <w:pPr>
        <w:numPr>
          <w:ilvl w:val="0"/>
          <w:numId w:val="1014"/>
        </w:numPr>
        <w:pStyle w:val="Compact"/>
      </w:pPr>
      <w:r>
        <w:t xml:space="preserve">Objeción probable:</w:t>
      </w:r>
      <w:r>
        <w:t xml:space="preserve"> </w:t>
      </w:r>
      <w:r>
        <w:t xml:space="preserve">“</w:t>
      </w:r>
      <w:r>
        <w:t xml:space="preserve">los estudios dan 35%</w:t>
      </w:r>
      <w:r>
        <w:t xml:space="preserve">”</w:t>
      </w:r>
      <w:r>
        <w:t xml:space="preserve">.</w:t>
      </w:r>
    </w:p>
    <w:p>
      <w:pPr>
        <w:numPr>
          <w:ilvl w:val="0"/>
          <w:numId w:val="1014"/>
        </w:numPr>
        <w:pStyle w:val="Compact"/>
      </w:pPr>
      <w:r>
        <w:t xml:space="preserve">Respuesta: Moroney y Silber miden acciones restringidas minoritarias; no aplican al control total. Aplicar el 25% bajaría el valor a 5.069.</w:t>
      </w:r>
    </w:p>
    <w:p>
      <w:pPr>
        <w:pStyle w:val="FirstParagraph"/>
      </w:pPr>
      <w:r>
        <w:rPr>
          <w:bCs/>
          <w:b/>
        </w:rPr>
        <w:t xml:space="preserve">Puntos con varias respuestas válidas (los más debatibles):</w:t>
      </w:r>
    </w:p>
    <w:p>
      <w:pPr>
        <w:numPr>
          <w:ilvl w:val="0"/>
          <w:numId w:val="1015"/>
        </w:numPr>
        <w:pStyle w:val="Compact"/>
      </w:pPr>
      <w:r>
        <w:t xml:space="preserve">La beta de la deuda (0 o 0,25).</w:t>
      </w:r>
    </w:p>
    <w:p>
      <w:pPr>
        <w:numPr>
          <w:ilvl w:val="0"/>
          <w:numId w:val="1015"/>
        </w:numPr>
        <w:pStyle w:val="Compact"/>
      </w:pPr>
      <w:r>
        <w:t xml:space="preserve">Hamada o Harris-Pringle.</w:t>
      </w:r>
    </w:p>
    <w:p>
      <w:pPr>
        <w:numPr>
          <w:ilvl w:val="0"/>
          <w:numId w:val="1015"/>
        </w:numPr>
        <w:pStyle w:val="Compact"/>
      </w:pPr>
      <w:r>
        <w:t xml:space="preserve">El método del valor terminal y el valor de g.</w:t>
      </w:r>
    </w:p>
    <w:p>
      <w:pPr>
        <w:numPr>
          <w:ilvl w:val="0"/>
          <w:numId w:val="1015"/>
        </w:numPr>
        <w:pStyle w:val="Compact"/>
      </w:pPr>
      <w:r>
        <w:t xml:space="preserve">El valor de las afiliadas (P/U o libros: 1.317 de diferencia).</w:t>
      </w:r>
    </w:p>
    <w:p>
      <w:pPr>
        <w:numPr>
          <w:ilvl w:val="0"/>
          <w:numId w:val="1015"/>
        </w:numPr>
        <w:pStyle w:val="Compact"/>
      </w:pPr>
      <w:r>
        <w:t xml:space="preserve">El margen y la tasa de descuento de las sinergias de ingresos.</w:t>
      </w:r>
    </w:p>
    <w:p>
      <w:pPr>
        <w:numPr>
          <w:ilvl w:val="0"/>
          <w:numId w:val="1015"/>
        </w:numPr>
        <w:pStyle w:val="Compact"/>
      </w:pPr>
      <w:r>
        <w:t xml:space="preserve">Si aplicar o no un descuento por iliquidez.</w:t>
      </w:r>
    </w:p>
    <w:p>
      <w:pPr>
        <w:numPr>
          <w:ilvl w:val="0"/>
          <w:numId w:val="1015"/>
        </w:numPr>
        <w:pStyle w:val="Compact"/>
      </w:pPr>
      <w:r>
        <w:t xml:space="preserve">Qué parte de las sinergias pagar.</w:t>
      </w:r>
    </w:p>
    <w:bookmarkEnd w:id="34"/>
    <w:bookmarkStart w:id="35" w:name="limitaciones"/>
    <w:p>
      <w:pPr>
        <w:pStyle w:val="Heading1"/>
      </w:pPr>
      <w:r>
        <w:t xml:space="preserve">Limitaciones</w:t>
      </w:r>
    </w:p>
    <w:p>
      <w:pPr>
        <w:numPr>
          <w:ilvl w:val="0"/>
          <w:numId w:val="1016"/>
        </w:numPr>
        <w:pStyle w:val="Compact"/>
      </w:pPr>
      <w:r>
        <w:t xml:space="preserve">Las proyecciones son las del caso (Anexo 1). Equivalen a un margen EBITDA menor que el de 2007 y no incluyen mejoras propias.</w:t>
      </w:r>
    </w:p>
    <w:p>
      <w:pPr>
        <w:numPr>
          <w:ilvl w:val="0"/>
          <w:numId w:val="1016"/>
        </w:numPr>
        <w:pStyle w:val="Compact"/>
      </w:pPr>
      <w:r>
        <w:t xml:space="preserve">El capex histórico se deduce del balance.</w:t>
      </w:r>
    </w:p>
    <w:p>
      <w:pPr>
        <w:numPr>
          <w:ilvl w:val="0"/>
          <w:numId w:val="1016"/>
        </w:numPr>
        <w:pStyle w:val="Compact"/>
      </w:pPr>
      <w:r>
        <w:t xml:space="preserve">Los costos de integración y el capex de las sinergias no están en el caso; su omisión sobrestima las sinergias.</w:t>
      </w:r>
    </w:p>
    <w:p>
      <w:pPr>
        <w:numPr>
          <w:ilvl w:val="0"/>
          <w:numId w:val="1016"/>
        </w:numPr>
        <w:pStyle w:val="Compact"/>
      </w:pPr>
      <w:r>
        <w:t xml:space="preserve">La tasa libre de riesgo es a 10 años y los flujos son perpetuos.</w:t>
      </w:r>
    </w:p>
    <w:p>
      <w:pPr>
        <w:numPr>
          <w:ilvl w:val="0"/>
          <w:numId w:val="1016"/>
        </w:numPr>
        <w:pStyle w:val="Compact"/>
      </w:pPr>
      <w:r>
        <w:t xml:space="preserve">El caso no dice el período de la PRM ni si es un promedio aritmético o geométrico.</w:t>
      </w:r>
    </w:p>
    <w:p>
      <w:pPr>
        <w:numPr>
          <w:ilvl w:val="0"/>
          <w:numId w:val="1016"/>
        </w:numPr>
        <w:pStyle w:val="Compact"/>
      </w:pPr>
      <w:r>
        <w:t xml:space="preserve">El Anexo 8 se leyó de un gráfico.</w:t>
      </w:r>
    </w:p>
    <w:p>
      <w:pPr>
        <w:numPr>
          <w:ilvl w:val="0"/>
          <w:numId w:val="1016"/>
        </w:numPr>
        <w:pStyle w:val="Compact"/>
      </w:pPr>
      <w:r>
        <w:t xml:space="preserve">El proforma no aplica contabilidad de compra (el ROE no es interpretable).</w:t>
      </w:r>
    </w:p>
    <w:p>
      <w:pPr>
        <w:numPr>
          <w:ilvl w:val="0"/>
          <w:numId w:val="1016"/>
        </w:numPr>
        <w:pStyle w:val="Compact"/>
      </w:pPr>
      <w:r>
        <w:t xml:space="preserve">No hay datos de mercado de ATC.</w:t>
      </w:r>
    </w:p>
    <w:bookmarkEnd w:id="35"/>
    <w:bookmarkStart w:id="36" w:name="referencias"/>
    <w:p>
      <w:pPr>
        <w:pStyle w:val="Heading1"/>
      </w:pPr>
      <w:r>
        <w:t xml:space="preserve">Referencias</w:t>
      </w:r>
    </w:p>
    <w:p>
      <w:pPr>
        <w:numPr>
          <w:ilvl w:val="0"/>
          <w:numId w:val="1017"/>
        </w:numPr>
        <w:pStyle w:val="Compact"/>
      </w:pPr>
      <w:r>
        <w:t xml:space="preserve">Stafford, E. y Heilprin, J. (2011, rev. 2012).</w:t>
      </w:r>
      <w:r>
        <w:t xml:space="preserve"> </w:t>
      </w:r>
      <w:r>
        <w:rPr>
          <w:iCs/>
          <w:i/>
        </w:rPr>
        <w:t xml:space="preserve">Valuation of AirThread Connections</w:t>
      </w:r>
      <w:r>
        <w:t xml:space="preserve">. Harvard Business School, caso 4263.</w:t>
      </w:r>
    </w:p>
    <w:p>
      <w:pPr>
        <w:numPr>
          <w:ilvl w:val="0"/>
          <w:numId w:val="1017"/>
        </w:numPr>
        <w:pStyle w:val="Compact"/>
      </w:pPr>
      <w:r>
        <w:t xml:space="preserve">Damodaran, A. (2002).</w:t>
      </w:r>
      <w:r>
        <w:t xml:space="preserve"> </w:t>
      </w:r>
      <w:r>
        <w:rPr>
          <w:iCs/>
          <w:i/>
        </w:rPr>
        <w:t xml:space="preserve">Investment Valuation</w:t>
      </w:r>
      <w:r>
        <w:t xml:space="preserve">, 2.ª ed. Wiley (fuente del Anexo 8).</w:t>
      </w:r>
    </w:p>
    <w:p>
      <w:pPr>
        <w:numPr>
          <w:ilvl w:val="0"/>
          <w:numId w:val="1017"/>
        </w:numPr>
        <w:pStyle w:val="Compact"/>
      </w:pPr>
      <w:r>
        <w:t xml:space="preserve">Myers, S. (1974). Interactions of corporate financing and investment decisions.</w:t>
      </w:r>
      <w:r>
        <w:t xml:space="preserve"> </w:t>
      </w:r>
      <w:r>
        <w:rPr>
          <w:iCs/>
          <w:i/>
        </w:rPr>
        <w:t xml:space="preserve">Journal of Finance</w:t>
      </w:r>
      <w:r>
        <w:t xml:space="preserve">, 29(1).</w:t>
      </w:r>
    </w:p>
    <w:p>
      <w:pPr>
        <w:numPr>
          <w:ilvl w:val="0"/>
          <w:numId w:val="1017"/>
        </w:numPr>
        <w:pStyle w:val="Compact"/>
      </w:pPr>
      <w:r>
        <w:t xml:space="preserve">Harris, R. y Pringle, J. (1985). Risk-adjusted discount rates: extensions from the average-risk case.</w:t>
      </w:r>
      <w:r>
        <w:t xml:space="preserve"> </w:t>
      </w:r>
      <w:r>
        <w:rPr>
          <w:iCs/>
          <w:i/>
        </w:rPr>
        <w:t xml:space="preserve">Journal of Financial Research</w:t>
      </w:r>
      <w:r>
        <w:t xml:space="preserve">, 8(3).</w:t>
      </w:r>
    </w:p>
    <w:p>
      <w:pPr>
        <w:numPr>
          <w:ilvl w:val="0"/>
          <w:numId w:val="1017"/>
        </w:numPr>
        <w:pStyle w:val="Compact"/>
      </w:pPr>
      <w:r>
        <w:t xml:space="preserve">Hamada, R. (1972). The effect of the firm’s capital structure on the systematic risk of common stocks.</w:t>
      </w:r>
      <w:r>
        <w:t xml:space="preserve"> </w:t>
      </w:r>
      <w:r>
        <w:rPr>
          <w:iCs/>
          <w:i/>
        </w:rPr>
        <w:t xml:space="preserve">Journal of Finance</w:t>
      </w:r>
      <w:r>
        <w:t xml:space="preserve">, 27(2).</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AirThread Connections: cuánto vale y cuánto pagar</dc:title>
  <dc:creator>Para: Robert Zimmerman, VP sénior de Desarrollo de Negocios, ACC</dc:creator>
  <dc:language>es</dc:language>
  <cp:keywords/>
  <dcterms:created xsi:type="dcterms:W3CDTF">2026-10-24T22:37:11Z</dcterms:created>
  <dcterms:modified xsi:type="dcterms:W3CDTF">2026-10-24T22:37:11Z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Diciembre de 2007 (fecha del caso). Cifras en millones de US$ salvo indicación.</vt:lpwstr>
  </property>
  <property fmtid="{D5CDD505-2E9C-101B-9397-08002B2CF9AE}" pid="3" name="subtitle">
    <vt:lpwstr>Valoración para la adquisición por American Cable Communications</vt:lpwstr>
  </property>
</Properties>
</file>