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left"/>
      </w:pPr>
      <w:r>
        <w:rPr>
          <w:b/>
          <w:bCs/>
          <w:color w:val="1F3864"/>
          <w:sz w:val="56"/>
          <w:szCs w:val="56"/>
        </w:rPr>
        <w:t xml:space="preserve">Cafés Monte Bianco</w:t>
      </w:r>
    </w:p>
    <w:p>
      <w:pPr>
        <w:spacing w:after="400"/>
      </w:pPr>
      <w:r>
        <w:rPr>
          <w:color w:val="595959"/>
          <w:sz w:val="32"/>
          <w:szCs w:val="32"/>
        </w:rPr>
        <w:t xml:space="preserve">La elaboración de un plan de ganancias para 2020</w:t>
      </w:r>
    </w:p>
    <w:p>
      <w:pPr>
        <w:pBdr>
          <w:bottom w:val="single" w:color="1F3864" w:sz="8" w:space="4"/>
        </w:pBdr>
      </w:pPr>
    </w:p>
    <w:p>
      <w:pPr>
        <w:spacing w:after="120" w:before="300"/>
      </w:pPr>
      <w:r>
        <w:rPr>
          <w:sz w:val="26"/>
          <w:szCs w:val="26"/>
        </w:rPr>
        <w:t xml:space="preserve">Informe de análisis financiero y estratégico</w:t>
      </w:r>
    </w:p>
    <w:p>
      <w:pPr>
        <w:spacing w:after="120" w:line="276"/>
        <w:jc w:val="left"/>
      </w:pPr>
      <w:r>
        <w:rPr>
          <w:color w:val="595959"/>
        </w:rPr>
        <w:t xml:space="preserve">Caso HBS 204-S18 (Simons y Dávila). Cifras en miles de euros salvo indicación. El modelo completo, con todas las fórmulas, está en el archivo Monte_Bianco_Analisis.xlsx.</w:t>
      </w:r>
    </w:p>
    <w:p>
      <w:r>
        <w:br w:type="page"/>
      </w:r>
    </w:p>
    <w:p>
      <w:pPr>
        <w:pStyle w:val="Heading1"/>
      </w:pPr>
      <w:r>
        <w:t xml:space="preserve">1. Resumen ejecutivo</w:t>
      </w:r>
    </w:p>
    <w:p>
      <w:pPr>
        <w:spacing w:after="120" w:line="276"/>
        <w:jc w:val="both"/>
      </w:pPr>
      <w:r>
        <w:t xml:space="preserve">La pregunta de Giacomo Salvetti es si conviene llenar la planta ampliada (6.000.000 kg/año) solo con marcas propias de supermercados. La respuesta del análisis es </w:t>
      </w:r>
      <w:r>
        <w:rPr>
          <w:b/>
          <w:bCs/>
        </w:rPr>
        <w:t xml:space="preserve">no</w:t>
      </w:r>
      <w:r>
        <w:t xml:space="preserve">: esa estrategia destruye utilidad y agota la caja. La mejor alternativa es una </w:t>
      </w:r>
      <w:r>
        <w:rPr>
          <w:b/>
          <w:bCs/>
        </w:rPr>
        <w:t xml:space="preserve">mezcla</w:t>
      </w:r>
      <w:r>
        <w:t xml:space="preserve"> de café de calidad </w:t>
      </w:r>
      <w:r>
        <w:rPr>
          <w:b/>
          <w:bCs/>
        </w:rPr>
        <w:t xml:space="preserve">A</w:t>
      </w:r>
      <w:r>
        <w:t xml:space="preserve"> con 7 % de gasto de marketing sobre ventas, que ocupa la capacidad restante con marca propia.</w:t>
      </w:r>
    </w:p>
    <w:p>
      <w:pPr>
        <w:pStyle w:val="ListParagraph"/>
        <w:numPr>
          <w:ilvl w:val="0"/>
          <w:numId w:val="2"/>
        </w:numPr>
        <w:spacing w:after="80" w:line="264"/>
      </w:pPr>
      <w:r>
        <w:rPr>
          <w:b/>
          <w:bCs/>
        </w:rPr>
        <w:t xml:space="preserve">2019 no fue “excelente”. </w:t>
      </w:r>
      <w:r>
        <w:t xml:space="preserve">La utilidad neta fue de 1.541 (margen neto de 3,5 %). Los intereses se llevaron el 54 % de la utilidad operativa, la línea de crédito de 20.000 está usada al 100 % y la razón corriente es 0,57x.</w:t>
      </w:r>
    </w:p>
    <w:p>
      <w:pPr>
        <w:pStyle w:val="ListParagraph"/>
        <w:numPr>
          <w:ilvl w:val="0"/>
          <w:numId w:val="2"/>
        </w:numPr>
        <w:spacing w:after="80" w:line="264"/>
      </w:pPr>
      <w:r>
        <w:rPr>
          <w:b/>
          <w:bCs/>
        </w:rPr>
        <w:t xml:space="preserve">El ROE de 21,6 % es engañoso. </w:t>
      </w:r>
      <w:r>
        <w:t xml:space="preserve">Se explica por el apalancamiento (activos/patrimonio de 4,98x). La rentabilidad operativa después de impuestos es de solo 9,6 %; unos 12 puntos del ROE provienen de la deuda.</w:t>
      </w:r>
    </w:p>
    <w:p>
      <w:pPr>
        <w:pStyle w:val="ListParagraph"/>
        <w:numPr>
          <w:ilvl w:val="0"/>
          <w:numId w:val="2"/>
        </w:numPr>
        <w:spacing w:after="80" w:line="264"/>
      </w:pPr>
      <w:r>
        <w:rPr>
          <w:b/>
          <w:bCs/>
        </w:rPr>
        <w:t xml:space="preserve">Solo marcas propias: </w:t>
      </w:r>
      <w:r>
        <w:t xml:space="preserve">ventas de 42.000, utilidad neta de 581 (–62 % frente a 2019), ROE de 7,5 % y cobertura de intereses de 1,32x. Las cuentas a cobrar se duplican (15.624) y faltan 4.858 de financiamiento, con la línea de crédito ya agotada.</w:t>
      </w:r>
    </w:p>
    <w:p>
      <w:pPr>
        <w:pStyle w:val="ListParagraph"/>
        <w:numPr>
          <w:ilvl w:val="0"/>
          <w:numId w:val="2"/>
        </w:numPr>
        <w:spacing w:after="80" w:line="264"/>
      </w:pPr>
      <w:r>
        <w:rPr>
          <w:b/>
          <w:bCs/>
        </w:rPr>
        <w:t xml:space="preserve">Solo AAA: </w:t>
      </w:r>
      <w:r>
        <w:t xml:space="preserve">el mercado absorbe como máximo 935.000 kg; la planta quedaría ociosa en un 84 % y, después de gastos de estructura e intereses, la empresa perdería 2.469.</w:t>
      </w:r>
    </w:p>
    <w:p>
      <w:pPr>
        <w:pStyle w:val="ListParagraph"/>
        <w:numPr>
          <w:ilvl w:val="0"/>
          <w:numId w:val="2"/>
        </w:numPr>
        <w:spacing w:after="80" w:line="264"/>
      </w:pPr>
      <w:r>
        <w:rPr>
          <w:b/>
          <w:bCs/>
        </w:rPr>
        <w:t xml:space="preserve">Mix óptimo (calidad A al 7 % + marca propia): </w:t>
      </w:r>
      <w:r>
        <w:t xml:space="preserve">1.792.000 kg de calidad A y 4.208.000 kg de marca propia. Resultado del mini estado de 25.409 frente a 7.859 con solo marca propia; utilidad neta proyectada de 7.676 y ROE de 51,9 % con mucho menos apalancamiento (2,94x).</w:t>
      </w:r>
    </w:p>
    <w:p>
      <w:pPr>
        <w:pStyle w:val="ListParagraph"/>
        <w:numPr>
          <w:ilvl w:val="0"/>
          <w:numId w:val="2"/>
        </w:numPr>
        <w:spacing w:after="80" w:line="264"/>
      </w:pPr>
      <w:r>
        <w:rPr>
          <w:b/>
          <w:bCs/>
        </w:rPr>
        <w:t xml:space="preserve">Recomendación: </w:t>
      </w:r>
      <w:r>
        <w:t xml:space="preserve">adoptar el mix, firmar contratos de marca propia en bloques de 500.000 kg para la capacidad restante, negociar plazos de cobro, vender el lote desocupado para reducir deuda y gestionar la liquidez con un presupuesto de caja mensual (sección 7).</w:t>
      </w:r>
    </w:p>
    <w:p>
      <w:pPr>
        <w:pStyle w:val="Heading1"/>
      </w:pPr>
      <w:r>
        <w:t xml:space="preserve">2. Diagnóstico de la situación actual (2019)</w:t>
      </w:r>
    </w:p>
    <w:p>
      <w:pPr>
        <w:pStyle w:val="Heading2"/>
      </w:pPr>
      <w:r>
        <w:t xml:space="preserve">2.1 ¿Fue 2019 un año “excelente”?</w:t>
      </w:r>
    </w:p>
    <w:p>
      <w:pPr>
        <w:spacing w:after="120" w:line="276"/>
        <w:jc w:val="both"/>
      </w:pPr>
      <w:r>
        <w:t xml:space="preserve">No. El estado de resultados muestra un negocio con buen margen bruto pero con poca utilidad final. De cada euro vendido quedan 12,6 céntimos de utilidad operativa y solo 3,5 céntimos de utilidad neta. La diferencia se va en intereses: 3.043, es decir, el 54 % del EBIT. Además, los estados son estimaciones al 15 de diciembre, no cifras auditadas.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500"/>
        <w:gridCol w:w="4460"/>
      </w:tblGrid>
      <w:tr>
        <w:trPr>
          <w:tblHeader/>
        </w:trPr>
        <w:tc>
          <w:tcPr>
            <w:tcW w:type="dxa" w:w="34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center"/>
            </w:pPr>
            <w:r>
              <w:rPr>
                <w:b/>
                <w:bCs/>
                <w:color w:val="FFFFFF"/>
                <w:sz w:val="17"/>
                <w:szCs w:val="17"/>
              </w:rPr>
              <w:t xml:space="preserve">Indicador 2019</w:t>
            </w:r>
          </w:p>
        </w:tc>
        <w:tc>
          <w:tcPr>
            <w:tcW w:type="dxa" w:w="15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center"/>
            </w:pPr>
            <w:r>
              <w:rPr>
                <w:b/>
                <w:bCs/>
                <w:color w:val="FFFFFF"/>
                <w:sz w:val="17"/>
                <w:szCs w:val="17"/>
              </w:rPr>
              <w:t xml:space="preserve">Valor</w:t>
            </w:r>
          </w:p>
        </w:tc>
        <w:tc>
          <w:tcPr>
            <w:tcW w:type="dxa" w:w="446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center"/>
            </w:pPr>
            <w:r>
              <w:rPr>
                <w:b/>
                <w:bCs/>
                <w:color w:val="FFFFFF"/>
                <w:sz w:val="17"/>
                <w:szCs w:val="17"/>
              </w:rPr>
              <w:t xml:space="preserve">Lectura</w:t>
            </w:r>
          </w:p>
        </w:tc>
      </w:tr>
      <w:tr>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7"/>
                <w:szCs w:val="17"/>
              </w:rPr>
              <w:t xml:space="preserve">Ventas</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44.608</w:t>
            </w:r>
          </w:p>
        </w:tc>
        <w:tc>
          <w:tcPr>
            <w:tcW w:type="dxa" w:w="44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7"/>
                <w:szCs w:val="17"/>
              </w:rPr>
              <w:t xml:space="preserve">Marca propia 17,7 %, calidad superior 82,3 %</w:t>
            </w:r>
          </w:p>
        </w:tc>
      </w:tr>
      <w:tr>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7"/>
                <w:szCs w:val="17"/>
              </w:rPr>
              <w:t xml:space="preserve">Margen bruto</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40,8 %</w:t>
            </w:r>
          </w:p>
        </w:tc>
        <w:tc>
          <w:tcPr>
            <w:tcW w:type="dxa" w:w="44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7"/>
                <w:szCs w:val="17"/>
              </w:rPr>
              <w:t xml:space="preserve">Sano gracias a la calidad superior</w:t>
            </w:r>
          </w:p>
        </w:tc>
      </w:tr>
      <w:tr>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7"/>
                <w:szCs w:val="17"/>
              </w:rPr>
              <w:t xml:space="preserve">Margen operativo (EBIT/ventas)</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12,6 %</w:t>
            </w:r>
          </w:p>
        </w:tc>
        <w:tc>
          <w:tcPr>
            <w:tcW w:type="dxa" w:w="44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7"/>
                <w:szCs w:val="17"/>
              </w:rPr>
              <w:t xml:space="preserve">Razonable</w:t>
            </w:r>
          </w:p>
        </w:tc>
      </w:tr>
      <w:tr>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7"/>
                <w:szCs w:val="17"/>
              </w:rPr>
              <w:t xml:space="preserve">Intereses / EBIT</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54,2 %</w:t>
            </w:r>
          </w:p>
        </w:tc>
        <w:tc>
          <w:tcPr>
            <w:tcW w:type="dxa" w:w="44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7"/>
                <w:szCs w:val="17"/>
              </w:rPr>
              <w:t xml:space="preserve">Más de la mitad del EBIT se va en intereses</w:t>
            </w:r>
          </w:p>
        </w:tc>
      </w:tr>
      <w:tr>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7"/>
                <w:szCs w:val="17"/>
              </w:rPr>
              <w:t xml:space="preserve">Cobertura de intereses</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1,84x</w:t>
            </w:r>
          </w:p>
        </w:tc>
        <w:tc>
          <w:tcPr>
            <w:tcW w:type="dxa" w:w="44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7"/>
                <w:szCs w:val="17"/>
              </w:rPr>
              <w:t xml:space="preserve">Menos de 2x: riesgo financiero alto</w:t>
            </w:r>
          </w:p>
        </w:tc>
      </w:tr>
      <w:tr>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7"/>
                <w:szCs w:val="17"/>
              </w:rPr>
              <w:t xml:space="preserve">Margen neto</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3,5 %</w:t>
            </w:r>
          </w:p>
        </w:tc>
        <w:tc>
          <w:tcPr>
            <w:tcW w:type="dxa" w:w="44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7"/>
                <w:szCs w:val="17"/>
              </w:rPr>
              <w:t xml:space="preserve">Muy bajo</w:t>
            </w:r>
          </w:p>
        </w:tc>
      </w:tr>
      <w:tr>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7"/>
                <w:szCs w:val="17"/>
              </w:rPr>
              <w:t xml:space="preserve">Deuda financiera / EBITDA</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3,64x</w:t>
            </w:r>
          </w:p>
        </w:tc>
        <w:tc>
          <w:tcPr>
            <w:tcW w:type="dxa" w:w="44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7"/>
                <w:szCs w:val="17"/>
              </w:rPr>
              <w:t xml:space="preserve">Endeudamiento elevado</w:t>
            </w:r>
          </w:p>
        </w:tc>
      </w:tr>
      <w:tr>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7"/>
                <w:szCs w:val="17"/>
              </w:rPr>
              <w:t xml:space="preserve">Razón corriente</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0,57x</w:t>
            </w:r>
          </w:p>
        </w:tc>
        <w:tc>
          <w:tcPr>
            <w:tcW w:type="dxa" w:w="44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7"/>
                <w:szCs w:val="17"/>
              </w:rPr>
              <w:t xml:space="preserve">Pasivo corriente mayor que activo corriente</w:t>
            </w:r>
          </w:p>
        </w:tc>
      </w:tr>
      <w:tr>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7"/>
                <w:szCs w:val="17"/>
              </w:rPr>
              <w:t xml:space="preserve">Línea de crédito disponible</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0</w:t>
            </w:r>
          </w:p>
        </w:tc>
        <w:tc>
          <w:tcPr>
            <w:tcW w:type="dxa" w:w="44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7"/>
                <w:szCs w:val="17"/>
              </w:rPr>
              <w:t xml:space="preserve">20.000 de 20.000 utilizados</w:t>
            </w:r>
          </w:p>
        </w:tc>
      </w:tr>
      <w:tr>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7"/>
                <w:szCs w:val="17"/>
              </w:rPr>
              <w:t xml:space="preserve">Lote desocupado / activos</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28 %</w:t>
            </w:r>
          </w:p>
        </w:tc>
        <w:tc>
          <w:tcPr>
            <w:tcW w:type="dxa" w:w="44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7"/>
                <w:szCs w:val="17"/>
              </w:rPr>
              <w:t xml:space="preserve">Activo improductivo de 10.000 financiado con deuda</w:t>
            </w:r>
          </w:p>
        </w:tc>
      </w:tr>
      <w:tr>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7"/>
                <w:szCs w:val="17"/>
              </w:rPr>
              <w:t xml:space="preserve">Uso de la capacidad (350.000 kg/mes)</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55,9 %</w:t>
            </w:r>
          </w:p>
        </w:tc>
        <w:tc>
          <w:tcPr>
            <w:tcW w:type="dxa" w:w="44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7"/>
                <w:szCs w:val="17"/>
              </w:rPr>
              <w:t xml:space="preserve">Con la ampliación bajaría a 39,1 %</w:t>
            </w:r>
          </w:p>
        </w:tc>
      </w:tr>
    </w:tbl>
    <w:p>
      <w:pPr>
        <w:spacing w:after="160" w:before="60"/>
      </w:pPr>
      <w:r>
        <w:rPr>
          <w:i/>
          <w:iCs/>
          <w:color w:val="595959"/>
          <w:sz w:val="16"/>
          <w:szCs w:val="16"/>
        </w:rPr>
        <w:t xml:space="preserve">Fuente: Anexo 1 y hoja Diagnostico_2019 del Excel. El total del activo es 35.515 (el PDF muestra 33.515 por error de tipeo; el patrimonio de 7.127 solo cuadra con 35.515).</w:t>
      </w:r>
    </w:p>
    <w:p>
      <w:pPr>
        <w:pStyle w:val="Heading2"/>
      </w:pPr>
      <w:r>
        <w:t xml:space="preserve">2.2 ¿Por qué el ROE es tan alto?</w:t>
      </w:r>
    </w:p>
    <w:p>
      <w:pPr>
        <w:spacing w:after="120" w:line="276"/>
        <w:jc w:val="both"/>
      </w:pPr>
      <w:r>
        <w:t xml:space="preserve">El ROE de 21,6 % no refleja un negocio muy rentable sino uno muy endeudado. La descomposición DuPont lo muestra: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rPr>
          <w:tblHeader/>
        </w:trPr>
        <w:tc>
          <w:tcPr>
            <w:tcW w:type="dxa" w:w="636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center"/>
            </w:pPr>
            <w:r>
              <w:rPr>
                <w:b/>
                <w:bCs/>
                <w:color w:val="FFFFFF"/>
                <w:sz w:val="17"/>
                <w:szCs w:val="17"/>
              </w:rPr>
              <w:t xml:space="preserve">Componente</w:t>
            </w:r>
          </w:p>
        </w:tc>
        <w:tc>
          <w:tcPr>
            <w:tcW w:type="dxa" w:w="30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center"/>
            </w:pPr>
            <w:r>
              <w:rPr>
                <w:b/>
                <w:bCs/>
                <w:color w:val="FFFFFF"/>
                <w:sz w:val="17"/>
                <w:szCs w:val="17"/>
              </w:rPr>
              <w:t xml:space="preserve">2019</w:t>
            </w:r>
          </w:p>
        </w:tc>
      </w:tr>
      <w:tr>
        <w:tc>
          <w:tcPr>
            <w:tcW w:type="dxa" w:w="63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7"/>
                <w:szCs w:val="17"/>
              </w:rPr>
              <w:t xml:space="preserve">Margen neto (utilidad neta / ventas)</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3,5 %</w:t>
            </w:r>
          </w:p>
        </w:tc>
      </w:tr>
      <w:tr>
        <w:tc>
          <w:tcPr>
            <w:tcW w:type="dxa" w:w="63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7"/>
                <w:szCs w:val="17"/>
              </w:rPr>
              <w:t xml:space="preserve">× Rotación de activos (ventas / activos)</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1,26x</w:t>
            </w:r>
          </w:p>
        </w:tc>
      </w:tr>
      <w:tr>
        <w:tc>
          <w:tcPr>
            <w:tcW w:type="dxa" w:w="63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7"/>
                <w:szCs w:val="17"/>
              </w:rPr>
              <w:t xml:space="preserve">× Multiplicador de capital (activos / patrimonio)</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4,98x</w:t>
            </w:r>
          </w:p>
        </w:tc>
      </w:tr>
      <w:tr>
        <w:tc>
          <w:tcPr>
            <w:tcW w:type="dxa" w:w="63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bCs/>
                <w:sz w:val="17"/>
                <w:szCs w:val="17"/>
              </w:rPr>
              <w:t xml:space="preserve">= ROE</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bCs/>
                <w:sz w:val="17"/>
                <w:szCs w:val="17"/>
              </w:rPr>
              <w:t xml:space="preserve">21,6 %</w:t>
            </w:r>
          </w:p>
        </w:tc>
      </w:tr>
    </w:tbl>
    <w:p>
      <w:pPr>
        <w:spacing w:after="60"/>
      </w:pPr>
    </w:p>
    <w:p>
      <w:pPr>
        <w:spacing w:after="120" w:line="276"/>
        <w:jc w:val="both"/>
      </w:pPr>
      <w:r>
        <w:t xml:space="preserve">Con 7.127 de patrimonio la empresa sostiene 35.515 de activos: por cada euro de los accionistas hay casi cuatro euros de deuda (D/E = 3,93x). La fórmula del apalancamiento financiero separa los dos efectos:</w:t>
      </w:r>
    </w:p>
    <w:p>
      <w:pPr>
        <w:spacing w:after="120" w:line="276"/>
        <w:jc w:val="center"/>
      </w:pPr>
      <w:r>
        <w:rPr>
          <w:i/>
          <w:iCs/>
        </w:rPr>
        <w:t xml:space="preserve">ROE = RONA + (RONA – kd·(1–t)) × D/E</w:t>
      </w:r>
      <w:r>
        <w:t xml:space="preserve"> = 9,6 % + (9,6 % – 6,5 %) × 3,93 = 21,6 %</w:t>
      </w:r>
    </w:p>
    <w:p>
      <w:pPr>
        <w:spacing w:after="120" w:line="276"/>
        <w:jc w:val="both"/>
      </w:pPr>
      <w:r>
        <w:t xml:space="preserve">Sin deuda, el ROE sería igual al RONA: 9,6 %. Unos 12 puntos del ROE se deben a que el negocio rinde un poco más que el costo de la deuda después de impuestos (6,5 %) y a que ese pequeño diferencial se multiplica por una deuda cuatro veces mayor que el patrimonio. Es un ROE frágil: si el rendimiento operativo cae por debajo del 6,5 %, el apalancamiento juega en contra y el ROE se desploma. Además, el denominador es pequeño porque el patrimonio fue erosionado por años de bajas utilidades.</w:t>
      </w:r>
    </w:p>
    <w:p>
      <w:pPr>
        <w:pStyle w:val="Heading2"/>
      </w:pPr>
      <w:r>
        <w:t xml:space="preserve">2.3 Necesidades de capital de trabajo</w:t>
      </w:r>
    </w:p>
    <w:p>
      <w:pPr>
        <w:spacing w:after="120" w:line="276"/>
        <w:jc w:val="both"/>
      </w:pPr>
      <w:r>
        <w:t xml:space="preserve">El ciclo de conversión de efectivo es de 104 días: la empresa cobra en 61 días en promedio, mantiene 35 días de materia prima y 14 días de producto terminado, pero paga a sus proveedores en apenas 6 días. El capital de trabajo operativo es de 10.287, el 23 % de las ventas: cada euro adicional de ventas exige unos 23 céntimos de financiamiento.</w:t>
      </w:r>
    </w:p>
    <w:p>
      <w:pPr>
        <w:spacing w:after="120" w:line="276"/>
        <w:jc w:val="both"/>
      </w:pPr>
      <w:r>
        <w:t xml:space="preserve">El problema es cómo se financia. La línea de crédito de corto plazo (20.000) financia tanto el capital de trabajo como parte de la planta y un lote desocupado de 10.000. La razón corriente es de 0,57x y la prueba ácida de 0,41x. Hay un descalce de plazos: activos de largo plazo con deuda de corto plazo y sin margen para crecer.</w:t>
      </w:r>
    </w:p>
    <w:p>
      <w:pPr>
        <w:spacing w:after="120" w:line="276"/>
        <w:jc w:val="both"/>
      </w:pPr>
      <w:r>
        <w:t xml:space="preserve">Las ventas son estacionales (Anexo 4): octubre a diciembre concentran el 37,2 % del año y el verano es muy flojo. Como los minoristas pagan a 90 días, la cuenta por cobrar de marca propia al cierre equivale a las ventas de octubre, noviembre y diciembre, no a 90/365 de las ventas anuales. La cuenta por cobrar estimada con esta regla (7.344) es muy parecida a la del balance (7.449), lo que valida el supuesto para las proyecciones.</w:t>
      </w:r>
    </w:p>
    <w:p>
      <w:pPr>
        <w:pStyle w:val="Heading1"/>
      </w:pPr>
      <w:r>
        <w:t xml:space="preserve">3. Escenario 2020: concentrarse solo en marcas propias</w:t>
      </w:r>
    </w:p>
    <w:p>
      <w:pPr>
        <w:pStyle w:val="Heading2"/>
      </w:pPr>
      <w:r>
        <w:t xml:space="preserve">3.1 Supuestos</w:t>
      </w:r>
    </w:p>
    <w:p>
      <w:pPr>
        <w:pStyle w:val="ListParagraph"/>
        <w:numPr>
          <w:ilvl w:val="0"/>
          <w:numId w:val="2"/>
        </w:numPr>
        <w:spacing w:after="80" w:line="264"/>
      </w:pPr>
      <w:r>
        <w:t xml:space="preserve">Ventas de 6.000.000 kg a 7,00 €/kg (capacidad plena de 500.000 kg/mes, Anexo 5); el inventario inicial de 174.000 kg se vende y el inventario final de producto terminado es cero.</w:t>
      </w:r>
    </w:p>
    <w:p>
      <w:pPr>
        <w:pStyle w:val="ListParagraph"/>
        <w:numPr>
          <w:ilvl w:val="0"/>
          <w:numId w:val="2"/>
        </w:numPr>
        <w:spacing w:after="80" w:line="264"/>
      </w:pPr>
      <w:r>
        <w:t xml:space="preserve">Costo variable de 5,25 €/kg y costos fijos de manufactura de 2.641 (Anexo 3). Se supone que esos costos fijos ya incluyen la depreciación base de 2.081, igual que el costo de ventas de 2019. Se suma la depreciación incremental de la ampliación: 4.500 / 15 = 300.</w:t>
      </w:r>
    </w:p>
    <w:p>
      <w:pPr>
        <w:pStyle w:val="ListParagraph"/>
        <w:numPr>
          <w:ilvl w:val="0"/>
          <w:numId w:val="2"/>
        </w:numPr>
        <w:spacing w:after="80" w:line="264"/>
      </w:pPr>
      <w:r>
        <w:t xml:space="preserve">Depreciación total de 2020: 2.081 + 300 = 2.381, que se suma a la depreciación acumulada (9.758 → 12.139). La ampliación de 4.500 ya está en los bienes de uso de 2019, así que no hay nuevas inversiones.</w:t>
      </w:r>
    </w:p>
    <w:p>
      <w:pPr>
        <w:pStyle w:val="ListParagraph"/>
        <w:numPr>
          <w:ilvl w:val="0"/>
          <w:numId w:val="2"/>
        </w:numPr>
        <w:spacing w:after="80" w:line="264"/>
      </w:pPr>
      <w:r>
        <w:t xml:space="preserve">Ahorros de Carla: marketing –100 %, ventas –65 %, I+D –75 % y administración –50 %.</w:t>
      </w:r>
    </w:p>
    <w:p>
      <w:pPr>
        <w:pStyle w:val="ListParagraph"/>
        <w:numPr>
          <w:ilvl w:val="0"/>
          <w:numId w:val="2"/>
        </w:numPr>
        <w:spacing w:after="80" w:line="264"/>
      </w:pPr>
      <w:r>
        <w:t xml:space="preserve">Cuentas a cobrar: ventas de octubre, noviembre y diciembre (pago a 90 días y estacionalidad del Anexo 4).</w:t>
      </w:r>
    </w:p>
    <w:p>
      <w:pPr>
        <w:pStyle w:val="ListParagraph"/>
        <w:numPr>
          <w:ilvl w:val="0"/>
          <w:numId w:val="2"/>
        </w:numPr>
        <w:spacing w:after="80" w:line="264"/>
      </w:pPr>
      <w:r>
        <w:t xml:space="preserve">Inventario de materia prima y cuentas a pagar: misma rotación de 2019 sobre el costo de ventas sin depreciación.</w:t>
      </w:r>
    </w:p>
    <w:p>
      <w:pPr>
        <w:pStyle w:val="ListParagraph"/>
        <w:numPr>
          <w:ilvl w:val="0"/>
          <w:numId w:val="2"/>
        </w:numPr>
        <w:spacing w:after="80" w:line="264"/>
      </w:pPr>
      <w:r>
        <w:t xml:space="preserve">Endeudamiento constante (20.000 de línea de crédito + 8.000 de largo plazo), con la misma tasa implícita de 2019 (10,9 %). La caja es la variable de cierre del balance y se compara con una caja mínima operativa (2 % de las ventas, como en 2019). Impuestos del 40 % y sin dividendos.</w:t>
      </w:r>
    </w:p>
    <w:p>
      <w:pPr>
        <w:pStyle w:val="Heading2"/>
      </w:pPr>
      <w:r>
        <w:t xml:space="preserve">3.2 Estado de resultados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960"/>
        <w:gridCol w:w="2200"/>
        <w:gridCol w:w="2200"/>
      </w:tblGrid>
      <w:tr>
        <w:trPr>
          <w:tblHeader/>
        </w:trPr>
        <w:tc>
          <w:tcPr>
            <w:tcW w:type="dxa" w:w="496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center"/>
            </w:pPr>
            <w:r>
              <w:rPr>
                <w:b/>
                <w:bCs/>
                <w:color w:val="FFFFFF"/>
                <w:sz w:val="17"/>
                <w:szCs w:val="17"/>
              </w:rPr>
              <w:t xml:space="preserve">Miles de €</w:t>
            </w:r>
          </w:p>
        </w:tc>
        <w:tc>
          <w:tcPr>
            <w:tcW w:type="dxa" w:w="22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center"/>
            </w:pPr>
            <w:r>
              <w:rPr>
                <w:b/>
                <w:bCs/>
                <w:color w:val="FFFFFF"/>
                <w:sz w:val="17"/>
                <w:szCs w:val="17"/>
              </w:rPr>
              <w:t xml:space="preserve">2019 real</w:t>
            </w:r>
          </w:p>
        </w:tc>
        <w:tc>
          <w:tcPr>
            <w:tcW w:type="dxa" w:w="22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center"/>
            </w:pPr>
            <w:r>
              <w:rPr>
                <w:b/>
                <w:bCs/>
                <w:color w:val="FFFFFF"/>
                <w:sz w:val="17"/>
                <w:szCs w:val="17"/>
              </w:rPr>
              <w:t xml:space="preserve">2020 solo marca propia</w:t>
            </w:r>
          </w:p>
        </w:tc>
      </w:tr>
      <w:tr>
        <w:tc>
          <w:tcPr>
            <w:tcW w:type="dxa" w:w="49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bCs/>
                <w:sz w:val="17"/>
                <w:szCs w:val="17"/>
              </w:rPr>
              <w:t xml:space="preserve">Ventas</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bCs/>
                <w:sz w:val="17"/>
                <w:szCs w:val="17"/>
              </w:rPr>
              <w:t xml:space="preserve">44.608</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bCs/>
                <w:sz w:val="17"/>
                <w:szCs w:val="17"/>
              </w:rPr>
              <w:t xml:space="preserve">42.000</w:t>
            </w:r>
          </w:p>
        </w:tc>
      </w:tr>
      <w:tr>
        <w:tc>
          <w:tcPr>
            <w:tcW w:type="dxa" w:w="49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7"/>
                <w:szCs w:val="17"/>
              </w:rPr>
              <w:t xml:space="preserve">Costo de mercadería vendida</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26.421</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34.441</w:t>
            </w:r>
          </w:p>
        </w:tc>
      </w:tr>
      <w:tr>
        <w:tc>
          <w:tcPr>
            <w:tcW w:type="dxa" w:w="49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bCs/>
                <w:sz w:val="17"/>
                <w:szCs w:val="17"/>
              </w:rPr>
              <w:t xml:space="preserve">Margen bruto</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bCs/>
                <w:sz w:val="17"/>
                <w:szCs w:val="17"/>
              </w:rPr>
              <w:t xml:space="preserve">18.187</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bCs/>
                <w:sz w:val="17"/>
                <w:szCs w:val="17"/>
              </w:rPr>
              <w:t xml:space="preserve">7.559</w:t>
            </w:r>
          </w:p>
        </w:tc>
      </w:tr>
      <w:tr>
        <w:tc>
          <w:tcPr>
            <w:tcW w:type="dxa" w:w="49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7"/>
                <w:szCs w:val="17"/>
              </w:rPr>
              <w:t xml:space="preserve">Marketing</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3.303</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w:t>
            </w:r>
          </w:p>
        </w:tc>
      </w:tr>
      <w:tr>
        <w:tc>
          <w:tcPr>
            <w:tcW w:type="dxa" w:w="49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7"/>
                <w:szCs w:val="17"/>
              </w:rPr>
              <w:t xml:space="preserve">I+D</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2.647</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662</w:t>
            </w:r>
          </w:p>
        </w:tc>
      </w:tr>
      <w:tr>
        <w:tc>
          <w:tcPr>
            <w:tcW w:type="dxa" w:w="49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7"/>
                <w:szCs w:val="17"/>
              </w:rPr>
              <w:t xml:space="preserve">Gastos de venta</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2.844</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995</w:t>
            </w:r>
          </w:p>
        </w:tc>
      </w:tr>
      <w:tr>
        <w:tc>
          <w:tcPr>
            <w:tcW w:type="dxa" w:w="49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7"/>
                <w:szCs w:val="17"/>
              </w:rPr>
              <w:t xml:space="preserve">Administración</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3.781</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1.891</w:t>
            </w:r>
          </w:p>
        </w:tc>
      </w:tr>
      <w:tr>
        <w:tc>
          <w:tcPr>
            <w:tcW w:type="dxa" w:w="49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bCs/>
                <w:sz w:val="17"/>
                <w:szCs w:val="17"/>
              </w:rPr>
              <w:t xml:space="preserve">Utilidad operativa (EBIT)</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bCs/>
                <w:sz w:val="17"/>
                <w:szCs w:val="17"/>
              </w:rPr>
              <w:t xml:space="preserve">5.612</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bCs/>
                <w:sz w:val="17"/>
                <w:szCs w:val="17"/>
              </w:rPr>
              <w:t xml:space="preserve">4.011</w:t>
            </w:r>
          </w:p>
        </w:tc>
      </w:tr>
      <w:tr>
        <w:tc>
          <w:tcPr>
            <w:tcW w:type="dxa" w:w="49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7"/>
                <w:szCs w:val="17"/>
              </w:rPr>
              <w:t xml:space="preserve">Intereses</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3.043</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3.043</w:t>
            </w:r>
          </w:p>
        </w:tc>
      </w:tr>
      <w:tr>
        <w:tc>
          <w:tcPr>
            <w:tcW w:type="dxa" w:w="49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7"/>
                <w:szCs w:val="17"/>
              </w:rPr>
              <w:t xml:space="preserve">Utilidad antes de impuestos</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2.569</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968</w:t>
            </w:r>
          </w:p>
        </w:tc>
      </w:tr>
      <w:tr>
        <w:tc>
          <w:tcPr>
            <w:tcW w:type="dxa" w:w="49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7"/>
                <w:szCs w:val="17"/>
              </w:rPr>
              <w:t xml:space="preserve">Impuestos (40 %)</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1.028</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387</w:t>
            </w:r>
          </w:p>
        </w:tc>
      </w:tr>
      <w:tr>
        <w:tc>
          <w:tcPr>
            <w:tcW w:type="dxa" w:w="49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bCs/>
                <w:sz w:val="17"/>
                <w:szCs w:val="17"/>
              </w:rPr>
              <w:t xml:space="preserve">Utilidad neta</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bCs/>
                <w:sz w:val="17"/>
                <w:szCs w:val="17"/>
              </w:rPr>
              <w:t xml:space="preserve">1.541</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bCs/>
                <w:sz w:val="17"/>
                <w:szCs w:val="17"/>
              </w:rPr>
              <w:t xml:space="preserve">581</w:t>
            </w:r>
          </w:p>
        </w:tc>
      </w:tr>
      <w:tr>
        <w:tc>
          <w:tcPr>
            <w:tcW w:type="dxa" w:w="49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7"/>
                <w:szCs w:val="17"/>
              </w:rPr>
              <w:t xml:space="preserve">Margen bruto %</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40,8 %</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18,0 %</w:t>
            </w:r>
          </w:p>
        </w:tc>
      </w:tr>
      <w:tr>
        <w:tc>
          <w:tcPr>
            <w:tcW w:type="dxa" w:w="49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7"/>
                <w:szCs w:val="17"/>
              </w:rPr>
              <w:t xml:space="preserve">Margen neto %</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3,5 %</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1,4 %</w:t>
            </w:r>
          </w:p>
        </w:tc>
      </w:tr>
    </w:tbl>
    <w:p>
      <w:pPr>
        <w:spacing w:after="160" w:before="60"/>
      </w:pPr>
      <w:r>
        <w:rPr>
          <w:i/>
          <w:iCs/>
          <w:color w:val="595959"/>
          <w:sz w:val="16"/>
          <w:szCs w:val="16"/>
        </w:rPr>
        <w:t xml:space="preserve">Costo de ventas 2020 = 6.000.000 × 5,25 + 2.641 + 300 = 34.441.</w:t>
      </w:r>
    </w:p>
    <w:p>
      <w:pPr>
        <w:pStyle w:val="Heading2"/>
      </w:pPr>
      <w:r>
        <w:t xml:space="preserve">3.3 Balance general al 31 de diciembre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960"/>
        <w:gridCol w:w="2200"/>
        <w:gridCol w:w="2200"/>
      </w:tblGrid>
      <w:tr>
        <w:trPr>
          <w:tblHeader/>
        </w:trPr>
        <w:tc>
          <w:tcPr>
            <w:tcW w:type="dxa" w:w="496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center"/>
            </w:pPr>
            <w:r>
              <w:rPr>
                <w:b/>
                <w:bCs/>
                <w:color w:val="FFFFFF"/>
                <w:sz w:val="17"/>
                <w:szCs w:val="17"/>
              </w:rPr>
              <w:t xml:space="preserve">Miles de €</w:t>
            </w:r>
          </w:p>
        </w:tc>
        <w:tc>
          <w:tcPr>
            <w:tcW w:type="dxa" w:w="22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center"/>
            </w:pPr>
            <w:r>
              <w:rPr>
                <w:b/>
                <w:bCs/>
                <w:color w:val="FFFFFF"/>
                <w:sz w:val="17"/>
                <w:szCs w:val="17"/>
              </w:rPr>
              <w:t xml:space="preserve">2019 real</w:t>
            </w:r>
          </w:p>
        </w:tc>
        <w:tc>
          <w:tcPr>
            <w:tcW w:type="dxa" w:w="22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center"/>
            </w:pPr>
            <w:r>
              <w:rPr>
                <w:b/>
                <w:bCs/>
                <w:color w:val="FFFFFF"/>
                <w:sz w:val="17"/>
                <w:szCs w:val="17"/>
              </w:rPr>
              <w:t xml:space="preserve">2020 solo marca propia</w:t>
            </w:r>
          </w:p>
        </w:tc>
      </w:tr>
      <w:tr>
        <w:tc>
          <w:tcPr>
            <w:tcW w:type="dxa" w:w="49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7"/>
                <w:szCs w:val="17"/>
              </w:rPr>
              <w:t xml:space="preserve">Caja</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892</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(4.019)</w:t>
            </w:r>
          </w:p>
        </w:tc>
      </w:tr>
      <w:tr>
        <w:tc>
          <w:tcPr>
            <w:tcW w:type="dxa" w:w="49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7"/>
                <w:szCs w:val="17"/>
              </w:rPr>
              <w:t xml:space="preserve">Inventario de materia prima</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2.313</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3.047</w:t>
            </w:r>
          </w:p>
        </w:tc>
      </w:tr>
      <w:tr>
        <w:tc>
          <w:tcPr>
            <w:tcW w:type="dxa" w:w="49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7"/>
                <w:szCs w:val="17"/>
              </w:rPr>
              <w:t xml:space="preserve">Bienes terminados</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913</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w:t>
            </w:r>
          </w:p>
        </w:tc>
      </w:tr>
      <w:tr>
        <w:tc>
          <w:tcPr>
            <w:tcW w:type="dxa" w:w="49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7"/>
                <w:szCs w:val="17"/>
              </w:rPr>
              <w:t xml:space="preserve">Cuentas a cobrar</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7.449</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15.624</w:t>
            </w:r>
          </w:p>
        </w:tc>
      </w:tr>
      <w:tr>
        <w:tc>
          <w:tcPr>
            <w:tcW w:type="dxa" w:w="49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bCs/>
                <w:sz w:val="17"/>
                <w:szCs w:val="17"/>
              </w:rPr>
              <w:t xml:space="preserve">Activo corriente</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bCs/>
                <w:sz w:val="17"/>
                <w:szCs w:val="17"/>
              </w:rPr>
              <w:t xml:space="preserve">11.567</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bCs/>
                <w:sz w:val="17"/>
                <w:szCs w:val="17"/>
              </w:rPr>
              <w:t xml:space="preserve">14.652</w:t>
            </w:r>
          </w:p>
        </w:tc>
      </w:tr>
      <w:tr>
        <w:tc>
          <w:tcPr>
            <w:tcW w:type="dxa" w:w="49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7"/>
                <w:szCs w:val="17"/>
              </w:rPr>
              <w:t xml:space="preserve">Bienes de uso (bruto)</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33.706</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33.706</w:t>
            </w:r>
          </w:p>
        </w:tc>
      </w:tr>
      <w:tr>
        <w:tc>
          <w:tcPr>
            <w:tcW w:type="dxa" w:w="49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7"/>
                <w:szCs w:val="17"/>
              </w:rPr>
              <w:t xml:space="preserve">Depreciación acumulada</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(9.758)</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(12.139)</w:t>
            </w:r>
          </w:p>
        </w:tc>
      </w:tr>
      <w:tr>
        <w:tc>
          <w:tcPr>
            <w:tcW w:type="dxa" w:w="49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7"/>
                <w:szCs w:val="17"/>
              </w:rPr>
              <w:t xml:space="preserve">Bienes de uso netos</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23.948</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21.567</w:t>
            </w:r>
          </w:p>
        </w:tc>
      </w:tr>
      <w:tr>
        <w:tc>
          <w:tcPr>
            <w:tcW w:type="dxa" w:w="49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bCs/>
                <w:sz w:val="17"/>
                <w:szCs w:val="17"/>
              </w:rPr>
              <w:t xml:space="preserve">Total activos</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bCs/>
                <w:sz w:val="17"/>
                <w:szCs w:val="17"/>
              </w:rPr>
              <w:t xml:space="preserve">35.515</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bCs/>
                <w:sz w:val="17"/>
                <w:szCs w:val="17"/>
              </w:rPr>
              <w:t xml:space="preserve">36.219</w:t>
            </w:r>
          </w:p>
        </w:tc>
      </w:tr>
      <w:tr>
        <w:tc>
          <w:tcPr>
            <w:tcW w:type="dxa" w:w="49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7"/>
                <w:szCs w:val="17"/>
              </w:rPr>
              <w:t xml:space="preserve">Cuentas a pagar</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388</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511</w:t>
            </w:r>
          </w:p>
        </w:tc>
      </w:tr>
      <w:tr>
        <w:tc>
          <w:tcPr>
            <w:tcW w:type="dxa" w:w="49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7"/>
                <w:szCs w:val="17"/>
              </w:rPr>
              <w:t xml:space="preserve">Línea de crédito</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20.000</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20.000</w:t>
            </w:r>
          </w:p>
        </w:tc>
      </w:tr>
      <w:tr>
        <w:tc>
          <w:tcPr>
            <w:tcW w:type="dxa" w:w="49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7"/>
                <w:szCs w:val="17"/>
              </w:rPr>
              <w:t xml:space="preserve">Deuda a largo plazo</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8.000</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8.000</w:t>
            </w:r>
          </w:p>
        </w:tc>
      </w:tr>
      <w:tr>
        <w:tc>
          <w:tcPr>
            <w:tcW w:type="dxa" w:w="49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bCs/>
                <w:sz w:val="17"/>
                <w:szCs w:val="17"/>
              </w:rPr>
              <w:t xml:space="preserve">Total pasivos</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bCs/>
                <w:sz w:val="17"/>
                <w:szCs w:val="17"/>
              </w:rPr>
              <w:t xml:space="preserve">28.388</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bCs/>
                <w:sz w:val="17"/>
                <w:szCs w:val="17"/>
              </w:rPr>
              <w:t xml:space="preserve">28.511</w:t>
            </w:r>
          </w:p>
        </w:tc>
      </w:tr>
      <w:tr>
        <w:tc>
          <w:tcPr>
            <w:tcW w:type="dxa" w:w="49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bCs/>
                <w:sz w:val="17"/>
                <w:szCs w:val="17"/>
              </w:rPr>
              <w:t xml:space="preserve">Patrimonio neto</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bCs/>
                <w:sz w:val="17"/>
                <w:szCs w:val="17"/>
              </w:rPr>
              <w:t xml:space="preserve">7.127</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bCs/>
                <w:sz w:val="17"/>
                <w:szCs w:val="17"/>
              </w:rPr>
              <w:t xml:space="preserve">7.708</w:t>
            </w:r>
          </w:p>
        </w:tc>
      </w:tr>
      <w:tr>
        <w:tc>
          <w:tcPr>
            <w:tcW w:type="dxa" w:w="49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bCs/>
                <w:sz w:val="17"/>
                <w:szCs w:val="17"/>
              </w:rPr>
              <w:t xml:space="preserve">Total pasivos y patrimonio</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bCs/>
                <w:sz w:val="17"/>
                <w:szCs w:val="17"/>
              </w:rPr>
              <w:t xml:space="preserve">35.515</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bCs/>
                <w:sz w:val="17"/>
                <w:szCs w:val="17"/>
              </w:rPr>
              <w:t xml:space="preserve">36.219</w:t>
            </w:r>
          </w:p>
        </w:tc>
      </w:tr>
      <w:tr>
        <w:tc>
          <w:tcPr>
            <w:tcW w:type="dxa" w:w="49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7"/>
                <w:szCs w:val="17"/>
              </w:rPr>
              <w:t xml:space="preserve">Caja mínima operativa</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892</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840</w:t>
            </w:r>
          </w:p>
        </w:tc>
      </w:tr>
      <w:tr>
        <w:tc>
          <w:tcPr>
            <w:tcW w:type="dxa" w:w="4960"/>
            <w:tcBorders>
              <w:top w:val="single" w:color="BFBFBF" w:sz="4"/>
              <w:left w:val="single" w:color="BFBFBF" w:sz="4"/>
              <w:bottom w:val="single" w:color="BFBFBF" w:sz="4"/>
              <w:right w:val="single" w:color="BFBFBF" w:sz="4"/>
            </w:tcBorders>
            <w:shd w:fill="FBE5D6" w:color="auto" w:val="clear"/>
            <w:tcMar>
              <w:top w:type="dxa" w:w="50"/>
              <w:left w:type="dxa" w:w="90"/>
              <w:bottom w:type="dxa" w:w="50"/>
              <w:right w:type="dxa" w:w="90"/>
            </w:tcMar>
          </w:tcPr>
          <w:p>
            <w:pPr>
              <w:jc w:val="left"/>
            </w:pPr>
            <w:r>
              <w:rPr>
                <w:b/>
                <w:bCs/>
                <w:sz w:val="17"/>
                <w:szCs w:val="17"/>
              </w:rPr>
              <w:t xml:space="preserve">Excedente / (necesidad) de financiamiento</w:t>
            </w:r>
          </w:p>
        </w:tc>
        <w:tc>
          <w:tcPr>
            <w:tcW w:type="dxa" w:w="2200"/>
            <w:tcBorders>
              <w:top w:val="single" w:color="BFBFBF" w:sz="4"/>
              <w:left w:val="single" w:color="BFBFBF" w:sz="4"/>
              <w:bottom w:val="single" w:color="BFBFBF" w:sz="4"/>
              <w:right w:val="single" w:color="BFBFBF" w:sz="4"/>
            </w:tcBorders>
            <w:shd w:fill="FBE5D6" w:color="auto" w:val="clear"/>
            <w:tcMar>
              <w:top w:type="dxa" w:w="50"/>
              <w:left w:type="dxa" w:w="90"/>
              <w:bottom w:type="dxa" w:w="50"/>
              <w:right w:type="dxa" w:w="90"/>
            </w:tcMar>
          </w:tcPr>
          <w:p>
            <w:pPr>
              <w:jc w:val="right"/>
            </w:pPr>
            <w:r>
              <w:rPr>
                <w:b/>
                <w:bCs/>
                <w:sz w:val="17"/>
                <w:szCs w:val="17"/>
              </w:rPr>
              <w:t xml:space="preserve">–</w:t>
            </w:r>
          </w:p>
        </w:tc>
        <w:tc>
          <w:tcPr>
            <w:tcW w:type="dxa" w:w="2200"/>
            <w:tcBorders>
              <w:top w:val="single" w:color="BFBFBF" w:sz="4"/>
              <w:left w:val="single" w:color="BFBFBF" w:sz="4"/>
              <w:bottom w:val="single" w:color="BFBFBF" w:sz="4"/>
              <w:right w:val="single" w:color="BFBFBF" w:sz="4"/>
            </w:tcBorders>
            <w:shd w:fill="FBE5D6" w:color="auto" w:val="clear"/>
            <w:tcMar>
              <w:top w:type="dxa" w:w="50"/>
              <w:left w:type="dxa" w:w="90"/>
              <w:bottom w:type="dxa" w:w="50"/>
              <w:right w:type="dxa" w:w="90"/>
            </w:tcMar>
          </w:tcPr>
          <w:p>
            <w:pPr>
              <w:jc w:val="right"/>
            </w:pPr>
            <w:r>
              <w:rPr>
                <w:b/>
                <w:bCs/>
                <w:sz w:val="17"/>
                <w:szCs w:val="17"/>
              </w:rPr>
              <w:t xml:space="preserve">(4.858)</w:t>
            </w:r>
          </w:p>
        </w:tc>
      </w:tr>
    </w:tbl>
    <w:p>
      <w:pPr>
        <w:spacing w:after="160" w:before="60"/>
      </w:pPr>
      <w:r>
        <w:rPr>
          <w:i/>
          <w:iCs/>
          <w:color w:val="595959"/>
          <w:sz w:val="16"/>
          <w:szCs w:val="16"/>
        </w:rPr>
        <w:t xml:space="preserve">Con la deuda congelada, la caja resulta negativa: es el monto que habría que conseguir para cerrar el balance.</w:t>
      </w:r>
    </w:p>
    <w:p>
      <w:pPr>
        <w:pStyle w:val="Heading2"/>
      </w:pPr>
      <w:r>
        <w:t xml:space="preserve">3.4 Estado de flujo de efectivo 2020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rPr>
          <w:tblHeader/>
        </w:trPr>
        <w:tc>
          <w:tcPr>
            <w:tcW w:type="dxa" w:w="636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center"/>
            </w:pPr>
            <w:r>
              <w:rPr>
                <w:b/>
                <w:bCs/>
                <w:color w:val="FFFFFF"/>
                <w:sz w:val="17"/>
                <w:szCs w:val="17"/>
              </w:rPr>
              <w:t xml:space="preserve">Miles de €</w:t>
            </w:r>
          </w:p>
        </w:tc>
        <w:tc>
          <w:tcPr>
            <w:tcW w:type="dxa" w:w="30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center"/>
            </w:pPr>
            <w:r>
              <w:rPr>
                <w:b/>
                <w:bCs/>
                <w:color w:val="FFFFFF"/>
                <w:sz w:val="17"/>
                <w:szCs w:val="17"/>
              </w:rPr>
              <w:t xml:space="preserve">2020 solo marca propia</w:t>
            </w:r>
          </w:p>
        </w:tc>
      </w:tr>
      <w:tr>
        <w:tc>
          <w:tcPr>
            <w:tcW w:type="dxa" w:w="63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7"/>
                <w:szCs w:val="17"/>
              </w:rPr>
              <w:t xml:space="preserve">Utilidad neta</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581</w:t>
            </w:r>
          </w:p>
        </w:tc>
      </w:tr>
      <w:tr>
        <w:tc>
          <w:tcPr>
            <w:tcW w:type="dxa" w:w="63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7"/>
                <w:szCs w:val="17"/>
              </w:rPr>
              <w:t xml:space="preserve">(+) Depreciación</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2.381</w:t>
            </w:r>
          </w:p>
        </w:tc>
      </w:tr>
      <w:tr>
        <w:tc>
          <w:tcPr>
            <w:tcW w:type="dxa" w:w="63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7"/>
                <w:szCs w:val="17"/>
              </w:rPr>
              <w:t xml:space="preserve">(–) Aumento de cuentas a cobrar</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(8.175)</w:t>
            </w:r>
          </w:p>
        </w:tc>
      </w:tr>
      <w:tr>
        <w:tc>
          <w:tcPr>
            <w:tcW w:type="dxa" w:w="63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7"/>
                <w:szCs w:val="17"/>
              </w:rPr>
              <w:t xml:space="preserve">(–) Aumento de inventario de materia prima</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(734)</w:t>
            </w:r>
          </w:p>
        </w:tc>
      </w:tr>
      <w:tr>
        <w:tc>
          <w:tcPr>
            <w:tcW w:type="dxa" w:w="63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7"/>
                <w:szCs w:val="17"/>
              </w:rPr>
              <w:t xml:space="preserve">(+) Disminución de bienes terminados</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913</w:t>
            </w:r>
          </w:p>
        </w:tc>
      </w:tr>
      <w:tr>
        <w:tc>
          <w:tcPr>
            <w:tcW w:type="dxa" w:w="63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7"/>
                <w:szCs w:val="17"/>
              </w:rPr>
              <w:t xml:space="preserve">(+) Aumento de cuentas a pagar</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123</w:t>
            </w:r>
          </w:p>
        </w:tc>
      </w:tr>
      <w:tr>
        <w:tc>
          <w:tcPr>
            <w:tcW w:type="dxa" w:w="63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bCs/>
                <w:sz w:val="17"/>
                <w:szCs w:val="17"/>
              </w:rPr>
              <w:t xml:space="preserve">Flujo de caja operativo</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bCs/>
                <w:sz w:val="17"/>
                <w:szCs w:val="17"/>
              </w:rPr>
              <w:t xml:space="preserve">(4.911)</w:t>
            </w:r>
          </w:p>
        </w:tc>
      </w:tr>
      <w:tr>
        <w:tc>
          <w:tcPr>
            <w:tcW w:type="dxa" w:w="63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7"/>
                <w:szCs w:val="17"/>
              </w:rPr>
              <w:t xml:space="preserve">Flujo de caja de inversión</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w:t>
            </w:r>
          </w:p>
        </w:tc>
      </w:tr>
      <w:tr>
        <w:tc>
          <w:tcPr>
            <w:tcW w:type="dxa" w:w="63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7"/>
                <w:szCs w:val="17"/>
              </w:rPr>
              <w:t xml:space="preserve">Flujo de caja de financiamiento (deuda constante, sin dividendos)</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w:t>
            </w:r>
          </w:p>
        </w:tc>
      </w:tr>
      <w:tr>
        <w:tc>
          <w:tcPr>
            <w:tcW w:type="dxa" w:w="63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bCs/>
                <w:sz w:val="17"/>
                <w:szCs w:val="17"/>
              </w:rPr>
              <w:t xml:space="preserve">Variación neta de caja</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bCs/>
                <w:sz w:val="17"/>
                <w:szCs w:val="17"/>
              </w:rPr>
              <w:t xml:space="preserve">(4.911)</w:t>
            </w:r>
          </w:p>
        </w:tc>
      </w:tr>
      <w:tr>
        <w:tc>
          <w:tcPr>
            <w:tcW w:type="dxa" w:w="63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7"/>
                <w:szCs w:val="17"/>
              </w:rPr>
              <w:t xml:space="preserve">Caja inicial</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892</w:t>
            </w:r>
          </w:p>
        </w:tc>
      </w:tr>
      <w:tr>
        <w:tc>
          <w:tcPr>
            <w:tcW w:type="dxa" w:w="6360"/>
            <w:tcBorders>
              <w:top w:val="single" w:color="BFBFBF" w:sz="4"/>
              <w:left w:val="single" w:color="BFBFBF" w:sz="4"/>
              <w:bottom w:val="single" w:color="BFBFBF" w:sz="4"/>
              <w:right w:val="single" w:color="BFBFBF" w:sz="4"/>
            </w:tcBorders>
            <w:shd w:fill="FBE5D6" w:color="auto" w:val="clear"/>
            <w:tcMar>
              <w:top w:type="dxa" w:w="50"/>
              <w:left w:type="dxa" w:w="90"/>
              <w:bottom w:type="dxa" w:w="50"/>
              <w:right w:type="dxa" w:w="90"/>
            </w:tcMar>
          </w:tcPr>
          <w:p>
            <w:pPr>
              <w:jc w:val="left"/>
            </w:pPr>
            <w:r>
              <w:rPr>
                <w:b/>
                <w:bCs/>
                <w:sz w:val="17"/>
                <w:szCs w:val="17"/>
              </w:rPr>
              <w:t xml:space="preserve">Caja final</w:t>
            </w:r>
          </w:p>
        </w:tc>
        <w:tc>
          <w:tcPr>
            <w:tcW w:type="dxa" w:w="3000"/>
            <w:tcBorders>
              <w:top w:val="single" w:color="BFBFBF" w:sz="4"/>
              <w:left w:val="single" w:color="BFBFBF" w:sz="4"/>
              <w:bottom w:val="single" w:color="BFBFBF" w:sz="4"/>
              <w:right w:val="single" w:color="BFBFBF" w:sz="4"/>
            </w:tcBorders>
            <w:shd w:fill="FBE5D6" w:color="auto" w:val="clear"/>
            <w:tcMar>
              <w:top w:type="dxa" w:w="50"/>
              <w:left w:type="dxa" w:w="90"/>
              <w:bottom w:type="dxa" w:w="50"/>
              <w:right w:type="dxa" w:w="90"/>
            </w:tcMar>
          </w:tcPr>
          <w:p>
            <w:pPr>
              <w:jc w:val="right"/>
            </w:pPr>
            <w:r>
              <w:rPr>
                <w:b/>
                <w:bCs/>
                <w:sz w:val="17"/>
                <w:szCs w:val="17"/>
              </w:rPr>
              <w:t xml:space="preserve">(4.019)</w:t>
            </w:r>
          </w:p>
        </w:tc>
      </w:tr>
    </w:tbl>
    <w:p>
      <w:pPr>
        <w:pStyle w:val="Heading2"/>
      </w:pPr>
      <w:r>
        <w:t xml:space="preserve">3.5 ¿Qué nos dicen estos estados financieros?</w:t>
      </w:r>
    </w:p>
    <w:p>
      <w:pPr>
        <w:spacing w:after="120" w:line="276"/>
        <w:jc w:val="both"/>
      </w:pPr>
      <w:r>
        <w:rPr>
          <w:b/>
          <w:bCs/>
        </w:rPr>
        <w:t xml:space="preserve">Rueda de ganancias. </w:t>
      </w:r>
      <w:r>
        <w:t xml:space="preserve">Las ventas caen a 42.000 aunque se venden 2,6 veces más kilos, porque el precio promedio baja de unos 19 €/kg a 7 €/kg. El margen bruto cae de 41 % a 18 % y el EBIT por kilo de 2,39 € a 0,67 €. Los ahorros de Carla (9.027) no compensan la pérdida de margen bruto (10.628). La utilidad neta cae a 581.</w:t>
      </w:r>
    </w:p>
    <w:p>
      <w:pPr>
        <w:spacing w:after="120" w:line="276"/>
        <w:jc w:val="both"/>
      </w:pPr>
      <w:r>
        <w:rPr>
          <w:b/>
          <w:bCs/>
        </w:rPr>
        <w:t xml:space="preserve">Rueda de caja. </w:t>
      </w:r>
      <w:r>
        <w:t xml:space="preserve">Es la parte más grave. Las cuentas a cobrar pasan de 7.449 a 15.624 (136 días de ventas) porque todo se cobra a 90 días y el último trimestre es el más fuerte del año. El flujo operativo es negativo (–4.911) y la caja termina en –4.019. Faltan 4.858 para tener una caja mínima operativa, con la línea de crédito ya agotada. Si ese faltante se financiara con deuda al 10,9 %, los intereses adicionales (528) dejarían la utilidad neta en 264.</w:t>
      </w:r>
    </w:p>
    <w:p>
      <w:pPr>
        <w:spacing w:after="120" w:line="276"/>
        <w:jc w:val="both"/>
      </w:pPr>
      <w:r>
        <w:rPr>
          <w:b/>
          <w:bCs/>
        </w:rPr>
        <w:t xml:space="preserve">Rueda del ROE. </w:t>
      </w:r>
      <w:r>
        <w:t xml:space="preserve">El ROE cae a 7,5 % (1,4 % × 1,16x × 4,70x). La cobertura de intereses baja a 1,32x y la deuda/EBITDA sube a 4,38x. Las ventas de equilibrio (incluyendo intereses) son de 38.127: el margen de seguridad es de solo 9,2 %. Bastaría una baja de 0,16 €/kg en el precio que negocian los supermercados para eliminar toda la utilidad antes de impuestos.</w:t>
      </w:r>
    </w:p>
    <w:p>
      <w:pPr>
        <w:pStyle w:val="Heading2"/>
      </w:pPr>
      <w:r>
        <w:t xml:space="preserve">3.6 ¿Se pueden mejorar los indicadores?</w:t>
      </w:r>
    </w:p>
    <w:p>
      <w:pPr>
        <w:spacing w:after="120" w:line="276"/>
        <w:jc w:val="both"/>
      </w:pPr>
      <w:r>
        <w:t xml:space="preserve">Sí, pero no lo suficiente. La hoja Mejoras_MP mide cada palanca por separado: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60"/>
        <w:gridCol w:w="1150"/>
        <w:gridCol w:w="1150"/>
        <w:gridCol w:w="1250"/>
        <w:gridCol w:w="1500"/>
        <w:gridCol w:w="1150"/>
      </w:tblGrid>
      <w:tr>
        <w:trPr>
          <w:tblHeader/>
        </w:trPr>
        <w:tc>
          <w:tcPr>
            <w:tcW w:type="dxa" w:w="316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center"/>
            </w:pPr>
            <w:r>
              <w:rPr>
                <w:b/>
                <w:bCs/>
                <w:color w:val="FFFFFF"/>
                <w:sz w:val="17"/>
                <w:szCs w:val="17"/>
              </w:rPr>
              <w:t xml:space="preserve">Palanca</w:t>
            </w:r>
          </w:p>
        </w:tc>
        <w:tc>
          <w:tcPr>
            <w:tcW w:type="dxa" w:w="115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center"/>
            </w:pPr>
            <w:r>
              <w:rPr>
                <w:b/>
                <w:bCs/>
                <w:color w:val="FFFFFF"/>
                <w:sz w:val="17"/>
                <w:szCs w:val="17"/>
              </w:rPr>
              <w:t xml:space="preserve">Δ utilidad neta</w:t>
            </w:r>
          </w:p>
        </w:tc>
        <w:tc>
          <w:tcPr>
            <w:tcW w:type="dxa" w:w="115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center"/>
            </w:pPr>
            <w:r>
              <w:rPr>
                <w:b/>
                <w:bCs/>
                <w:color w:val="FFFFFF"/>
                <w:sz w:val="17"/>
                <w:szCs w:val="17"/>
              </w:rPr>
              <w:t xml:space="preserve">Δ caja</w:t>
            </w:r>
          </w:p>
        </w:tc>
        <w:tc>
          <w:tcPr>
            <w:tcW w:type="dxa" w:w="125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center"/>
            </w:pPr>
            <w:r>
              <w:rPr>
                <w:b/>
                <w:bCs/>
                <w:color w:val="FFFFFF"/>
                <w:sz w:val="17"/>
                <w:szCs w:val="17"/>
              </w:rPr>
              <w:t xml:space="preserve">Utilidad neta</w:t>
            </w:r>
          </w:p>
        </w:tc>
        <w:tc>
          <w:tcPr>
            <w:tcW w:type="dxa" w:w="15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center"/>
            </w:pPr>
            <w:r>
              <w:rPr>
                <w:b/>
                <w:bCs/>
                <w:color w:val="FFFFFF"/>
                <w:sz w:val="17"/>
                <w:szCs w:val="17"/>
              </w:rPr>
              <w:t xml:space="preserve">Excedente / (necesidad)</w:t>
            </w:r>
          </w:p>
        </w:tc>
        <w:tc>
          <w:tcPr>
            <w:tcW w:type="dxa" w:w="115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center"/>
            </w:pPr>
            <w:r>
              <w:rPr>
                <w:b/>
                <w:bCs/>
                <w:color w:val="FFFFFF"/>
                <w:sz w:val="17"/>
                <w:szCs w:val="17"/>
              </w:rPr>
              <w:t xml:space="preserve">ROE</w:t>
            </w:r>
          </w:p>
        </w:tc>
      </w:tr>
      <w:tr>
        <w:tc>
          <w:tcPr>
            <w:tcW w:type="dxa" w:w="31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7"/>
                <w:szCs w:val="17"/>
              </w:rPr>
              <w:t xml:space="preserve">Cobro en 2 meses en lugar de 3</w:t>
            </w:r>
          </w:p>
        </w:tc>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w:t>
            </w:r>
          </w:p>
        </w:tc>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5.502</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581</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644</w:t>
            </w:r>
          </w:p>
        </w:tc>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7,5 %</w:t>
            </w:r>
          </w:p>
        </w:tc>
      </w:tr>
      <w:tr>
        <w:tc>
          <w:tcPr>
            <w:tcW w:type="dxa" w:w="31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7"/>
                <w:szCs w:val="17"/>
              </w:rPr>
              <w:t xml:space="preserve">Precio +0.25 €/kg</w:t>
            </w:r>
          </w:p>
        </w:tc>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900</w:t>
            </w:r>
          </w:p>
        </w:tc>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342</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1.481</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(4.516)</w:t>
            </w:r>
          </w:p>
        </w:tc>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17,2 %</w:t>
            </w:r>
          </w:p>
        </w:tc>
      </w:tr>
      <w:tr>
        <w:tc>
          <w:tcPr>
            <w:tcW w:type="dxa" w:w="31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7"/>
                <w:szCs w:val="17"/>
              </w:rPr>
              <w:t xml:space="preserve">Venta del lote y reducción de deuda</w:t>
            </w:r>
          </w:p>
        </w:tc>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652</w:t>
            </w:r>
          </w:p>
        </w:tc>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652</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1.233</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(4.206)</w:t>
            </w:r>
          </w:p>
        </w:tc>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14,7 %</w:t>
            </w:r>
          </w:p>
        </w:tc>
      </w:tr>
      <w:tr>
        <w:tc>
          <w:tcPr>
            <w:tcW w:type="dxa" w:w="31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7"/>
                <w:szCs w:val="17"/>
              </w:rPr>
              <w:t xml:space="preserve">Alargar el pago a proveedores</w:t>
            </w:r>
          </w:p>
        </w:tc>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w:t>
            </w:r>
          </w:p>
        </w:tc>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2.124</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581</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(2.734)</w:t>
            </w:r>
          </w:p>
        </w:tc>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7,5 %</w:t>
            </w:r>
          </w:p>
        </w:tc>
      </w:tr>
      <w:tr>
        <w:tc>
          <w:tcPr>
            <w:tcW w:type="dxa" w:w="31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7"/>
                <w:szCs w:val="17"/>
              </w:rPr>
              <w:t xml:space="preserve">Reducir inventario de materia prima</w:t>
            </w:r>
          </w:p>
        </w:tc>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w:t>
            </w:r>
          </w:p>
        </w:tc>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914</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581</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(3.944)</w:t>
            </w:r>
          </w:p>
        </w:tc>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7,5 %</w:t>
            </w:r>
          </w:p>
        </w:tc>
      </w:tr>
      <w:tr>
        <w:tc>
          <w:tcPr>
            <w:tcW w:type="dxa" w:w="316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pPr>
              <w:jc w:val="left"/>
            </w:pPr>
            <w:r>
              <w:rPr>
                <w:b/>
                <w:bCs/>
                <w:sz w:val="17"/>
                <w:szCs w:val="17"/>
              </w:rPr>
              <w:t xml:space="preserve">Todas las palancas juntas</w:t>
            </w:r>
          </w:p>
        </w:tc>
        <w:tc>
          <w:tcPr>
            <w:tcW w:type="dxa" w:w="115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pPr>
              <w:jc w:val="right"/>
            </w:pPr>
            <w:r>
              <w:rPr>
                <w:b/>
                <w:bCs/>
                <w:sz w:val="17"/>
                <w:szCs w:val="17"/>
              </w:rPr>
              <w:t xml:space="preserve">1.552</w:t>
            </w:r>
          </w:p>
        </w:tc>
        <w:tc>
          <w:tcPr>
            <w:tcW w:type="dxa" w:w="115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pPr>
              <w:jc w:val="right"/>
            </w:pPr>
            <w:r>
              <w:rPr>
                <w:b/>
                <w:bCs/>
                <w:sz w:val="17"/>
                <w:szCs w:val="17"/>
              </w:rPr>
              <w:t xml:space="preserve">9.534</w:t>
            </w:r>
          </w:p>
        </w:tc>
        <w:tc>
          <w:tcPr>
            <w:tcW w:type="dxa" w:w="125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pPr>
              <w:jc w:val="right"/>
            </w:pPr>
            <w:r>
              <w:rPr>
                <w:b/>
                <w:bCs/>
                <w:sz w:val="17"/>
                <w:szCs w:val="17"/>
              </w:rPr>
              <w:t xml:space="preserve">2.133</w:t>
            </w:r>
          </w:p>
        </w:tc>
        <w:tc>
          <w:tcPr>
            <w:tcW w:type="dxa" w:w="150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pPr>
              <w:jc w:val="right"/>
            </w:pPr>
            <w:r>
              <w:rPr>
                <w:b/>
                <w:bCs/>
                <w:sz w:val="17"/>
                <w:szCs w:val="17"/>
              </w:rPr>
              <w:t xml:space="preserve">4.676</w:t>
            </w:r>
          </w:p>
        </w:tc>
        <w:tc>
          <w:tcPr>
            <w:tcW w:type="dxa" w:w="115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pPr>
              <w:jc w:val="right"/>
            </w:pPr>
            <w:r>
              <w:rPr>
                <w:b/>
                <w:bCs/>
                <w:sz w:val="17"/>
                <w:szCs w:val="17"/>
              </w:rPr>
              <w:t xml:space="preserve">23,0 %</w:t>
            </w:r>
          </w:p>
        </w:tc>
      </w:tr>
    </w:tbl>
    <w:p>
      <w:pPr>
        <w:spacing w:after="160" w:before="60"/>
      </w:pPr>
      <w:r>
        <w:rPr>
          <w:i/>
          <w:iCs/>
          <w:color w:val="595959"/>
          <w:sz w:val="16"/>
          <w:szCs w:val="16"/>
        </w:rPr>
        <w:t xml:space="preserve">Palancas: cobro a 60 días; precio +0,25 €/kg; venta del lote de 10.000 a valor libro para reducir la línea de crédito; pago a proveedores a 30 días; inventario de materia prima –30 %.</w:t>
      </w:r>
    </w:p>
    <w:p>
      <w:pPr>
        <w:spacing w:after="120" w:line="276"/>
        <w:jc w:val="both"/>
      </w:pPr>
      <w:r>
        <w:t xml:space="preserve">Con todas las palancas juntas la empresa cerraría el faltante de caja y el ROE subiría a 23,0 %, pero la utilidad neta (2.133) seguiría por debajo de la del mix óptimo (7.676). Además, las palancas dependen de negociar con clientes que, según el caso, “negocian mucho los precios” y cambian de proveedor ante cualquier falla, y la mayoría (vender el lote, alargar pagos, reducir inventarios) también se puede aplicar al mix.</w:t>
      </w:r>
    </w:p>
    <w:p>
      <w:pPr>
        <w:pStyle w:val="Heading2"/>
      </w:pPr>
      <w:r>
        <w:t xml:space="preserve">3.7 ¿Es una buena decisión estratégica?</w:t>
      </w:r>
    </w:p>
    <w:p>
      <w:pPr>
        <w:spacing w:after="120" w:line="276"/>
        <w:jc w:val="both"/>
      </w:pPr>
      <w:r>
        <w:t xml:space="preserve">No. Concentrarse solo en marcas propias reduce la utilidad un 62 %, convierte un problema de liquidez en una crisis de caja, deja a la empresa con un margen de seguridad de 9 % frente a pocos clientes con mucho poder de negociación y exige un compromiso de largo plazo difícil de revertir. También abandona la marca, el conocimiento técnico y las relaciones con productores que dan a Monte Bianco su ventaja. La estabilidad del volumen no compensa el bajo margen unitario: 1,75 €/kg de contribución frente a 13,85 €/kg de la calidad A.</w:t>
      </w:r>
    </w:p>
    <w:p>
      <w:pPr>
        <w:pStyle w:val="Heading1"/>
      </w:pPr>
      <w:r>
        <w:t xml:space="preserve">4. ¿Se puede vender solo calidad Premium AAA?</w:t>
      </w:r>
    </w:p>
    <w:p>
      <w:pPr>
        <w:spacing w:after="120" w:line="276"/>
        <w:jc w:val="both"/>
      </w:pPr>
      <w:r>
        <w:t xml:space="preserve">Técnicamente sí, pero sería un error. Según el Anexo 2, aun con el gasto máximo de marketing (10 % de las ventas) el mercado solo compra 935.000 kg de AAA al año. Con una planta de 6.000.000 kg, la capacidad ociosa sería del 84,4 %.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60"/>
        <w:gridCol w:w="1575"/>
        <w:gridCol w:w="1575"/>
        <w:gridCol w:w="1575"/>
        <w:gridCol w:w="1575"/>
      </w:tblGrid>
      <w:tr>
        <w:trPr>
          <w:tblHeader/>
        </w:trPr>
        <w:tc>
          <w:tcPr>
            <w:tcW w:type="dxa" w:w="306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center"/>
            </w:pPr>
            <w:r>
              <w:rPr>
                <w:b/>
                <w:bCs/>
                <w:color w:val="FFFFFF"/>
                <w:sz w:val="17"/>
                <w:szCs w:val="17"/>
              </w:rPr>
              <w:t xml:space="preserve">Miles de €</w:t>
            </w:r>
          </w:p>
        </w:tc>
        <w:tc>
          <w:tcPr>
            <w:tcW w:type="dxa" w:w="1575"/>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center"/>
            </w:pPr>
            <w:r>
              <w:rPr>
                <w:b/>
                <w:bCs/>
                <w:color w:val="FFFFFF"/>
                <w:sz w:val="17"/>
                <w:szCs w:val="17"/>
              </w:rPr>
              <w:t xml:space="preserve">Solo marca propia</w:t>
            </w:r>
          </w:p>
        </w:tc>
        <w:tc>
          <w:tcPr>
            <w:tcW w:type="dxa" w:w="1575"/>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center"/>
            </w:pPr>
            <w:r>
              <w:rPr>
                <w:b/>
                <w:bCs/>
                <w:color w:val="FFFFFF"/>
                <w:sz w:val="17"/>
                <w:szCs w:val="17"/>
              </w:rPr>
              <w:t xml:space="preserve">Solo AAA (10 % mkt)</w:t>
            </w:r>
          </w:p>
        </w:tc>
        <w:tc>
          <w:tcPr>
            <w:tcW w:type="dxa" w:w="1575"/>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center"/>
            </w:pPr>
            <w:r>
              <w:rPr>
                <w:b/>
                <w:bCs/>
                <w:color w:val="FFFFFF"/>
                <w:sz w:val="17"/>
                <w:szCs w:val="17"/>
              </w:rPr>
              <w:t xml:space="preserve">Solo calidad A</w:t>
            </w:r>
          </w:p>
        </w:tc>
        <w:tc>
          <w:tcPr>
            <w:tcW w:type="dxa" w:w="1575"/>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center"/>
            </w:pPr>
            <w:r>
              <w:rPr>
                <w:b/>
                <w:bCs/>
                <w:color w:val="FFFFFF"/>
                <w:sz w:val="17"/>
                <w:szCs w:val="17"/>
              </w:rPr>
              <w:t xml:space="preserve">Mix óptimo</w:t>
            </w:r>
          </w:p>
        </w:tc>
      </w:tr>
      <w:tr>
        <w:tc>
          <w:tcPr>
            <w:tcW w:type="dxa" w:w="30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7"/>
                <w:szCs w:val="17"/>
              </w:rPr>
              <w:t xml:space="preserve">Kilos vendidos</w:t>
            </w:r>
          </w:p>
        </w:tc>
        <w:tc>
          <w:tcPr>
            <w:tcW w:type="dxa" w:w="157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6.000.000</w:t>
            </w:r>
          </w:p>
        </w:tc>
        <w:tc>
          <w:tcPr>
            <w:tcW w:type="dxa" w:w="157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935.000</w:t>
            </w:r>
          </w:p>
        </w:tc>
        <w:tc>
          <w:tcPr>
            <w:tcW w:type="dxa" w:w="157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1.792.000</w:t>
            </w:r>
          </w:p>
        </w:tc>
        <w:tc>
          <w:tcPr>
            <w:tcW w:type="dxa" w:w="157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6.000.000</w:t>
            </w:r>
          </w:p>
        </w:tc>
      </w:tr>
      <w:tr>
        <w:tc>
          <w:tcPr>
            <w:tcW w:type="dxa" w:w="30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7"/>
                <w:szCs w:val="17"/>
              </w:rPr>
              <w:t xml:space="preserve">Capacidad utilizada</w:t>
            </w:r>
          </w:p>
        </w:tc>
        <w:tc>
          <w:tcPr>
            <w:tcW w:type="dxa" w:w="157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100 %</w:t>
            </w:r>
          </w:p>
        </w:tc>
        <w:tc>
          <w:tcPr>
            <w:tcW w:type="dxa" w:w="157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16 %</w:t>
            </w:r>
          </w:p>
        </w:tc>
        <w:tc>
          <w:tcPr>
            <w:tcW w:type="dxa" w:w="157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30 %</w:t>
            </w:r>
          </w:p>
        </w:tc>
        <w:tc>
          <w:tcPr>
            <w:tcW w:type="dxa" w:w="157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100 %</w:t>
            </w:r>
          </w:p>
        </w:tc>
      </w:tr>
      <w:tr>
        <w:tc>
          <w:tcPr>
            <w:tcW w:type="dxa" w:w="30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7"/>
                <w:szCs w:val="17"/>
              </w:rPr>
              <w:t xml:space="preserve">Ventas</w:t>
            </w:r>
          </w:p>
        </w:tc>
        <w:tc>
          <w:tcPr>
            <w:tcW w:type="dxa" w:w="157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42.000</w:t>
            </w:r>
          </w:p>
        </w:tc>
        <w:tc>
          <w:tcPr>
            <w:tcW w:type="dxa" w:w="157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31.790</w:t>
            </w:r>
          </w:p>
        </w:tc>
        <w:tc>
          <w:tcPr>
            <w:tcW w:type="dxa" w:w="157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50.176</w:t>
            </w:r>
          </w:p>
        </w:tc>
        <w:tc>
          <w:tcPr>
            <w:tcW w:type="dxa" w:w="157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79.632</w:t>
            </w:r>
          </w:p>
        </w:tc>
      </w:tr>
      <w:tr>
        <w:tc>
          <w:tcPr>
            <w:tcW w:type="dxa" w:w="30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7"/>
                <w:szCs w:val="17"/>
              </w:rPr>
              <w:t xml:space="preserve">Margen de contribución (p – cv)·q</w:t>
            </w:r>
          </w:p>
        </w:tc>
        <w:tc>
          <w:tcPr>
            <w:tcW w:type="dxa" w:w="157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10.500</w:t>
            </w:r>
          </w:p>
        </w:tc>
        <w:tc>
          <w:tcPr>
            <w:tcW w:type="dxa" w:w="157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16.587</w:t>
            </w:r>
          </w:p>
        </w:tc>
        <w:tc>
          <w:tcPr>
            <w:tcW w:type="dxa" w:w="157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24.819</w:t>
            </w:r>
          </w:p>
        </w:tc>
        <w:tc>
          <w:tcPr>
            <w:tcW w:type="dxa" w:w="157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32.183</w:t>
            </w:r>
          </w:p>
        </w:tc>
      </w:tr>
      <w:tr>
        <w:tc>
          <w:tcPr>
            <w:tcW w:type="dxa" w:w="30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7"/>
                <w:szCs w:val="17"/>
              </w:rPr>
              <w:t xml:space="preserve">Costos fijos de manufactura</w:t>
            </w:r>
          </w:p>
        </w:tc>
        <w:tc>
          <w:tcPr>
            <w:tcW w:type="dxa" w:w="157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2.641</w:t>
            </w:r>
          </w:p>
        </w:tc>
        <w:tc>
          <w:tcPr>
            <w:tcW w:type="dxa" w:w="157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3.262</w:t>
            </w:r>
          </w:p>
        </w:tc>
        <w:tc>
          <w:tcPr>
            <w:tcW w:type="dxa" w:w="157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3.262</w:t>
            </w:r>
          </w:p>
        </w:tc>
        <w:tc>
          <w:tcPr>
            <w:tcW w:type="dxa" w:w="157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3.262</w:t>
            </w:r>
          </w:p>
        </w:tc>
      </w:tr>
      <w:tr>
        <w:tc>
          <w:tcPr>
            <w:tcW w:type="dxa" w:w="30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7"/>
                <w:szCs w:val="17"/>
              </w:rPr>
              <w:t xml:space="preserve">Publicidad y ventas (%M·p·q)</w:t>
            </w:r>
          </w:p>
        </w:tc>
        <w:tc>
          <w:tcPr>
            <w:tcW w:type="dxa" w:w="157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w:t>
            </w:r>
          </w:p>
        </w:tc>
        <w:tc>
          <w:tcPr>
            <w:tcW w:type="dxa" w:w="157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3.179</w:t>
            </w:r>
          </w:p>
        </w:tc>
        <w:tc>
          <w:tcPr>
            <w:tcW w:type="dxa" w:w="157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3.512</w:t>
            </w:r>
          </w:p>
        </w:tc>
        <w:tc>
          <w:tcPr>
            <w:tcW w:type="dxa" w:w="157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3.512</w:t>
            </w:r>
          </w:p>
        </w:tc>
      </w:tr>
      <w:tr>
        <w:tc>
          <w:tcPr>
            <w:tcW w:type="dxa" w:w="30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bCs/>
                <w:sz w:val="17"/>
                <w:szCs w:val="17"/>
              </w:rPr>
              <w:t xml:space="preserve">Resultado (p – cv)·q – CF – %M·p·q</w:t>
            </w:r>
          </w:p>
        </w:tc>
        <w:tc>
          <w:tcPr>
            <w:tcW w:type="dxa" w:w="157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bCs/>
                <w:sz w:val="17"/>
                <w:szCs w:val="17"/>
              </w:rPr>
              <w:t xml:space="preserve">7.859</w:t>
            </w:r>
          </w:p>
        </w:tc>
        <w:tc>
          <w:tcPr>
            <w:tcW w:type="dxa" w:w="157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bCs/>
                <w:sz w:val="17"/>
                <w:szCs w:val="17"/>
              </w:rPr>
              <w:t xml:space="preserve">10.146</w:t>
            </w:r>
          </w:p>
        </w:tc>
        <w:tc>
          <w:tcPr>
            <w:tcW w:type="dxa" w:w="157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bCs/>
                <w:sz w:val="17"/>
                <w:szCs w:val="17"/>
              </w:rPr>
              <w:t xml:space="preserve">18.045</w:t>
            </w:r>
          </w:p>
        </w:tc>
        <w:tc>
          <w:tcPr>
            <w:tcW w:type="dxa" w:w="157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bCs/>
                <w:sz w:val="17"/>
                <w:szCs w:val="17"/>
              </w:rPr>
              <w:t xml:space="preserve">25.409</w:t>
            </w:r>
          </w:p>
        </w:tc>
      </w:tr>
      <w:tr>
        <w:tc>
          <w:tcPr>
            <w:tcW w:type="dxa" w:w="30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7"/>
                <w:szCs w:val="17"/>
              </w:rPr>
              <w:t xml:space="preserve">Depreciación incremental</w:t>
            </w:r>
          </w:p>
        </w:tc>
        <w:tc>
          <w:tcPr>
            <w:tcW w:type="dxa" w:w="157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300</w:t>
            </w:r>
          </w:p>
        </w:tc>
        <w:tc>
          <w:tcPr>
            <w:tcW w:type="dxa" w:w="157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300</w:t>
            </w:r>
          </w:p>
        </w:tc>
        <w:tc>
          <w:tcPr>
            <w:tcW w:type="dxa" w:w="157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300</w:t>
            </w:r>
          </w:p>
        </w:tc>
        <w:tc>
          <w:tcPr>
            <w:tcW w:type="dxa" w:w="157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300</w:t>
            </w:r>
          </w:p>
        </w:tc>
      </w:tr>
      <w:tr>
        <w:tc>
          <w:tcPr>
            <w:tcW w:type="dxa" w:w="30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7"/>
                <w:szCs w:val="17"/>
              </w:rPr>
              <w:t xml:space="preserve">I+D, ventas y administración</w:t>
            </w:r>
          </w:p>
        </w:tc>
        <w:tc>
          <w:tcPr>
            <w:tcW w:type="dxa" w:w="157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3.548</w:t>
            </w:r>
          </w:p>
        </w:tc>
        <w:tc>
          <w:tcPr>
            <w:tcW w:type="dxa" w:w="157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9.272</w:t>
            </w:r>
          </w:p>
        </w:tc>
        <w:tc>
          <w:tcPr>
            <w:tcW w:type="dxa" w:w="157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9.272</w:t>
            </w:r>
          </w:p>
        </w:tc>
        <w:tc>
          <w:tcPr>
            <w:tcW w:type="dxa" w:w="157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9.272</w:t>
            </w:r>
          </w:p>
        </w:tc>
      </w:tr>
      <w:tr>
        <w:tc>
          <w:tcPr>
            <w:tcW w:type="dxa" w:w="30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7"/>
                <w:szCs w:val="17"/>
              </w:rPr>
              <w:t xml:space="preserve">Intereses</w:t>
            </w:r>
          </w:p>
        </w:tc>
        <w:tc>
          <w:tcPr>
            <w:tcW w:type="dxa" w:w="157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3.043</w:t>
            </w:r>
          </w:p>
        </w:tc>
        <w:tc>
          <w:tcPr>
            <w:tcW w:type="dxa" w:w="157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3.043</w:t>
            </w:r>
          </w:p>
        </w:tc>
        <w:tc>
          <w:tcPr>
            <w:tcW w:type="dxa" w:w="157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3.043</w:t>
            </w:r>
          </w:p>
        </w:tc>
        <w:tc>
          <w:tcPr>
            <w:tcW w:type="dxa" w:w="157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3.043</w:t>
            </w:r>
          </w:p>
        </w:tc>
      </w:tr>
      <w:tr>
        <w:tc>
          <w:tcPr>
            <w:tcW w:type="dxa" w:w="306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pPr>
              <w:jc w:val="left"/>
            </w:pPr>
            <w:r>
              <w:rPr>
                <w:b/>
                <w:bCs/>
                <w:sz w:val="17"/>
                <w:szCs w:val="17"/>
              </w:rPr>
              <w:t xml:space="preserve">Utilidad neta</w:t>
            </w:r>
          </w:p>
        </w:tc>
        <w:tc>
          <w:tcPr>
            <w:tcW w:type="dxa" w:w="1575"/>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pPr>
              <w:jc w:val="right"/>
            </w:pPr>
            <w:r>
              <w:rPr>
                <w:b/>
                <w:bCs/>
                <w:sz w:val="17"/>
                <w:szCs w:val="17"/>
              </w:rPr>
              <w:t xml:space="preserve">581</w:t>
            </w:r>
          </w:p>
        </w:tc>
        <w:tc>
          <w:tcPr>
            <w:tcW w:type="dxa" w:w="1575"/>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pPr>
              <w:jc w:val="right"/>
            </w:pPr>
            <w:r>
              <w:rPr>
                <w:b/>
                <w:bCs/>
                <w:sz w:val="17"/>
                <w:szCs w:val="17"/>
              </w:rPr>
              <w:t xml:space="preserve">(2.469)</w:t>
            </w:r>
          </w:p>
        </w:tc>
        <w:tc>
          <w:tcPr>
            <w:tcW w:type="dxa" w:w="1575"/>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pPr>
              <w:jc w:val="right"/>
            </w:pPr>
            <w:r>
              <w:rPr>
                <w:b/>
                <w:bCs/>
                <w:sz w:val="17"/>
                <w:szCs w:val="17"/>
              </w:rPr>
              <w:t xml:space="preserve">3.258</w:t>
            </w:r>
          </w:p>
        </w:tc>
        <w:tc>
          <w:tcPr>
            <w:tcW w:type="dxa" w:w="1575"/>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pPr>
              <w:jc w:val="right"/>
            </w:pPr>
            <w:r>
              <w:rPr>
                <w:b/>
                <w:bCs/>
                <w:sz w:val="17"/>
                <w:szCs w:val="17"/>
              </w:rPr>
              <w:t xml:space="preserve">7.676</w:t>
            </w:r>
          </w:p>
        </w:tc>
      </w:tr>
    </w:tbl>
    <w:p>
      <w:pPr>
        <w:spacing w:after="160" w:before="60"/>
      </w:pPr>
      <w:r>
        <w:rPr>
          <w:i/>
          <w:iCs/>
          <w:color w:val="595959"/>
          <w:sz w:val="16"/>
          <w:szCs w:val="16"/>
        </w:rPr>
        <w:t xml:space="preserve">Solo marca propia aplica los ahorros de Carla; las demás columnas mantienen la estructura de gastos de 2019 porque siguen vendiendo calidad superior.</w:t>
      </w:r>
    </w:p>
    <w:p>
      <w:pPr>
        <w:spacing w:after="120" w:line="276"/>
        <w:jc w:val="both"/>
      </w:pPr>
      <w:r>
        <w:t xml:space="preserve">El café AAA tiene el mejor margen por kilo, pero el mercado es muy pequeño y muy sensible al marketing. Los costos fijos, la estructura de I+D, ventas y administración y los intereses no se diluyen: la empresa perdería 2.469. La capacidad ociosa es justamente la razón por la que Monte Bianco empezó a fabricar marcas propias.</w:t>
      </w:r>
    </w:p>
    <w:p>
      <w:pPr>
        <w:spacing w:after="60" w:before="120"/>
        <w:jc w:val="center"/>
      </w:pPr>
      <w:r>
        <w:drawing>
          <wp:inline distT="0" distB="0" distL="0" distR="0">
            <wp:extent cx="5715000" cy="2590800"/>
            <wp:effectExtent t="0" r="0" b="0" l="0"/>
            <wp:docPr id="1" name="grafico_utilidad.png" descr="Gráfico 1. Utilidad neta 2020 por alternativa (hoja Mix_Produccion y EEFF_2020)." title="Gráfico 1. Utilidad neta 2020 por alternativa (hoja Mix_Produccion y EEFF_2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590800"/>
                    </a:xfrm>
                    <a:prstGeom prst="rect">
                      <a:avLst/>
                    </a:prstGeom>
                  </pic:spPr>
                </pic:pic>
              </a:graphicData>
            </a:graphic>
          </wp:inline>
        </w:drawing>
      </w:r>
    </w:p>
    <w:p>
      <w:pPr>
        <w:spacing w:after="160" w:before="60"/>
      </w:pPr>
      <w:r>
        <w:rPr>
          <w:i/>
          <w:iCs/>
          <w:color w:val="595959"/>
          <w:sz w:val="16"/>
          <w:szCs w:val="16"/>
        </w:rPr>
        <w:t xml:space="preserve">Gráfico 1. Utilidad neta 2020 por alternativa (hoja Mix_Produccion y EEFF_2020).</w:t>
      </w:r>
    </w:p>
    <w:p>
      <w:pPr>
        <w:pStyle w:val="Heading1"/>
      </w:pPr>
      <w:r>
        <w:t xml:space="preserve">5. El mix óptimo entre calidad superior y marcas propias</w:t>
      </w:r>
    </w:p>
    <w:p>
      <w:pPr>
        <w:pStyle w:val="Heading2"/>
      </w:pPr>
      <w:r>
        <w:t xml:space="preserve">5.1 Método</w:t>
      </w:r>
    </w:p>
    <w:p>
      <w:pPr>
        <w:spacing w:after="120" w:line="276"/>
        <w:jc w:val="both"/>
      </w:pPr>
      <w:r>
        <w:t xml:space="preserve">Para cada calidad (C, B, BB, A, AA, AAA) y cada nivel de gasto de marketing (0 % a 10 % de las ventas), el Anexo 2 da el volumen que absorbe el mercado. La capacidad restante (6.000.000 kg – q) se llena con marca propia a 7 €/kg. Para cada una de las 66 combinaciones se calcula el mini estado de resultados:</w:t>
      </w:r>
    </w:p>
    <w:p>
      <w:pPr>
        <w:spacing w:after="120" w:line="276"/>
        <w:jc w:val="center"/>
      </w:pPr>
      <w:r>
        <w:rPr>
          <w:i/>
          <w:iCs/>
        </w:rPr>
        <w:t xml:space="preserve">Resultado = (p – cv)·q  +  (7,00 – 5,25)·(6.000.000 – q)  –  3.262  –  %M·p·q</w:t>
      </w:r>
    </w:p>
    <w:p>
      <w:pPr>
        <w:spacing w:after="120" w:line="276"/>
        <w:jc w:val="both"/>
      </w:pPr>
      <w:r>
        <w:t xml:space="preserve">Se usan los costos unitarios variables y los costos fijos del Anexo 3 (3.262, que ya incluyen los 2.641 de marca propia). Siguiendo la simplificación del enunciado, el mix es la marca propia más una sola calidad de alta gama. La tabla completa está en la hoja Mix_Produccion (Tablas A, B y C).</w:t>
      </w:r>
    </w:p>
    <w:p>
      <w:pPr>
        <w:spacing w:after="60" w:before="120"/>
        <w:jc w:val="center"/>
      </w:pPr>
      <w:r>
        <w:drawing>
          <wp:inline distT="0" distB="0" distL="0" distR="0">
            <wp:extent cx="5715000" cy="2857500"/>
            <wp:effectExtent t="0" r="0" b="0" l="0"/>
            <wp:docPr id="1" name="grafico_mix.png" descr="Gráfico 2. Mejor resultado por calidad, con el % de marketing óptimo de cada una. La línea punteada es la alternativa de solo marca propia." title="Gráfico 2. Mejor resultado por calidad, con el % de marketing óptimo de cada una. La línea punteada es la alternativa de solo marca prop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857500"/>
                    </a:xfrm>
                    <a:prstGeom prst="rect">
                      <a:avLst/>
                    </a:prstGeom>
                  </pic:spPr>
                </pic:pic>
              </a:graphicData>
            </a:graphic>
          </wp:inline>
        </w:drawing>
      </w:r>
    </w:p>
    <w:p>
      <w:pPr>
        <w:spacing w:after="160" w:before="60"/>
      </w:pPr>
      <w:r>
        <w:rPr>
          <w:i/>
          <w:iCs/>
          <w:color w:val="595959"/>
          <w:sz w:val="16"/>
          <w:szCs w:val="16"/>
        </w:rPr>
        <w:t xml:space="preserve">Gráfico 2. Mejor resultado por calidad, con el % de marketing óptimo de cada una. La línea punteada es la alternativa de solo marca propia.</w:t>
      </w:r>
    </w:p>
    <w:p>
      <w:pPr>
        <w:pStyle w:val="Heading2"/>
      </w:pPr>
      <w:r>
        <w:t xml:space="preserve">5.2 Resultados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160"/>
        <w:gridCol w:w="1100"/>
        <w:gridCol w:w="1500"/>
        <w:gridCol w:w="1500"/>
        <w:gridCol w:w="1550"/>
        <w:gridCol w:w="1550"/>
      </w:tblGrid>
      <w:tr>
        <w:trPr>
          <w:tblHeader/>
        </w:trPr>
        <w:tc>
          <w:tcPr>
            <w:tcW w:type="dxa" w:w="10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center"/>
            </w:pPr>
            <w:r>
              <w:rPr>
                <w:b/>
                <w:bCs/>
                <w:color w:val="FFFFFF"/>
                <w:sz w:val="17"/>
                <w:szCs w:val="17"/>
              </w:rPr>
              <w:t xml:space="preserve">Calidad</w:t>
            </w:r>
          </w:p>
        </w:tc>
        <w:tc>
          <w:tcPr>
            <w:tcW w:type="dxa" w:w="116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center"/>
            </w:pPr>
            <w:r>
              <w:rPr>
                <w:b/>
                <w:bCs/>
                <w:color w:val="FFFFFF"/>
                <w:sz w:val="17"/>
                <w:szCs w:val="17"/>
              </w:rPr>
              <w:t xml:space="preserve">Precio €/kg</w:t>
            </w:r>
          </w:p>
        </w:tc>
        <w:tc>
          <w:tcPr>
            <w:tcW w:type="dxa" w:w="11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center"/>
            </w:pPr>
            <w:r>
              <w:rPr>
                <w:b/>
                <w:bCs/>
                <w:color w:val="FFFFFF"/>
                <w:sz w:val="17"/>
                <w:szCs w:val="17"/>
              </w:rPr>
              <w:t xml:space="preserve">%M óptimo</w:t>
            </w:r>
          </w:p>
        </w:tc>
        <w:tc>
          <w:tcPr>
            <w:tcW w:type="dxa" w:w="15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center"/>
            </w:pPr>
            <w:r>
              <w:rPr>
                <w:b/>
                <w:bCs/>
                <w:color w:val="FFFFFF"/>
                <w:sz w:val="17"/>
                <w:szCs w:val="17"/>
              </w:rPr>
              <w:t xml:space="preserve">Kg calidad sup.</w:t>
            </w:r>
          </w:p>
        </w:tc>
        <w:tc>
          <w:tcPr>
            <w:tcW w:type="dxa" w:w="15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center"/>
            </w:pPr>
            <w:r>
              <w:rPr>
                <w:b/>
                <w:bCs/>
                <w:color w:val="FFFFFF"/>
                <w:sz w:val="17"/>
                <w:szCs w:val="17"/>
              </w:rPr>
              <w:t xml:space="preserve">Kg marca propia</w:t>
            </w:r>
          </w:p>
        </w:tc>
        <w:tc>
          <w:tcPr>
            <w:tcW w:type="dxa" w:w="155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center"/>
            </w:pPr>
            <w:r>
              <w:rPr>
                <w:b/>
                <w:bCs/>
                <w:color w:val="FFFFFF"/>
                <w:sz w:val="17"/>
                <w:szCs w:val="17"/>
              </w:rPr>
              <w:t xml:space="preserve">Resultado mix</w:t>
            </w:r>
          </w:p>
        </w:tc>
        <w:tc>
          <w:tcPr>
            <w:tcW w:type="dxa" w:w="155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center"/>
            </w:pPr>
            <w:r>
              <w:rPr>
                <w:b/>
                <w:bCs/>
                <w:color w:val="FFFFFF"/>
                <w:sz w:val="17"/>
                <w:szCs w:val="17"/>
              </w:rPr>
              <w:t xml:space="preserve">Solo calidad sup.</w:t>
            </w:r>
          </w:p>
        </w:tc>
      </w:tr>
      <w:tr>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7"/>
                <w:szCs w:val="17"/>
              </w:rPr>
              <w:t xml:space="preserve">C</w:t>
            </w:r>
          </w:p>
        </w:tc>
        <w:tc>
          <w:tcPr>
            <w:tcW w:type="dxa" w:w="11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15,50</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0 %</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2.395.000</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3.605.000</w:t>
            </w:r>
          </w:p>
        </w:tc>
        <w:tc>
          <w:tcPr>
            <w:tcW w:type="dxa" w:w="15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16.387</w:t>
            </w:r>
          </w:p>
        </w:tc>
        <w:tc>
          <w:tcPr>
            <w:tcW w:type="dxa" w:w="15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11.261</w:t>
            </w:r>
          </w:p>
        </w:tc>
      </w:tr>
      <w:tr>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7"/>
                <w:szCs w:val="17"/>
              </w:rPr>
              <w:t xml:space="preserve">B</w:t>
            </w:r>
          </w:p>
        </w:tc>
        <w:tc>
          <w:tcPr>
            <w:tcW w:type="dxa" w:w="11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21,00</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6 %</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2.367.000</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3.633.000</w:t>
            </w:r>
          </w:p>
        </w:tc>
        <w:tc>
          <w:tcPr>
            <w:tcW w:type="dxa" w:w="15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22.931</w:t>
            </w:r>
          </w:p>
        </w:tc>
        <w:tc>
          <w:tcPr>
            <w:tcW w:type="dxa" w:w="15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16.573</w:t>
            </w:r>
          </w:p>
        </w:tc>
      </w:tr>
      <w:tr>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7"/>
                <w:szCs w:val="17"/>
              </w:rPr>
              <w:t xml:space="preserve">BB</w:t>
            </w:r>
          </w:p>
        </w:tc>
        <w:tc>
          <w:tcPr>
            <w:tcW w:type="dxa" w:w="11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24,00</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6 %</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2.157.000</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3.843.000</w:t>
            </w:r>
          </w:p>
        </w:tc>
        <w:tc>
          <w:tcPr>
            <w:tcW w:type="dxa" w:w="15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24.170</w:t>
            </w:r>
          </w:p>
        </w:tc>
        <w:tc>
          <w:tcPr>
            <w:tcW w:type="dxa" w:w="15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17.445</w:t>
            </w:r>
          </w:p>
        </w:tc>
      </w:tr>
      <w:tr>
        <w:tc>
          <w:tcPr>
            <w:tcW w:type="dxa" w:w="100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pPr>
              <w:jc w:val="left"/>
            </w:pPr>
            <w:r>
              <w:rPr>
                <w:b/>
                <w:bCs/>
                <w:sz w:val="17"/>
                <w:szCs w:val="17"/>
              </w:rPr>
              <w:t xml:space="preserve">A</w:t>
            </w:r>
          </w:p>
        </w:tc>
        <w:tc>
          <w:tcPr>
            <w:tcW w:type="dxa" w:w="116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pPr>
              <w:jc w:val="right"/>
            </w:pPr>
            <w:r>
              <w:rPr>
                <w:b/>
                <w:bCs/>
                <w:sz w:val="17"/>
                <w:szCs w:val="17"/>
              </w:rPr>
              <w:t xml:space="preserve">28,00</w:t>
            </w:r>
          </w:p>
        </w:tc>
        <w:tc>
          <w:tcPr>
            <w:tcW w:type="dxa" w:w="110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pPr>
              <w:jc w:val="right"/>
            </w:pPr>
            <w:r>
              <w:rPr>
                <w:b/>
                <w:bCs/>
                <w:sz w:val="17"/>
                <w:szCs w:val="17"/>
              </w:rPr>
              <w:t xml:space="preserve">7 %</w:t>
            </w:r>
          </w:p>
        </w:tc>
        <w:tc>
          <w:tcPr>
            <w:tcW w:type="dxa" w:w="150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pPr>
              <w:jc w:val="right"/>
            </w:pPr>
            <w:r>
              <w:rPr>
                <w:b/>
                <w:bCs/>
                <w:sz w:val="17"/>
                <w:szCs w:val="17"/>
              </w:rPr>
              <w:t xml:space="preserve">1.792.000</w:t>
            </w:r>
          </w:p>
        </w:tc>
        <w:tc>
          <w:tcPr>
            <w:tcW w:type="dxa" w:w="150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pPr>
              <w:jc w:val="right"/>
            </w:pPr>
            <w:r>
              <w:rPr>
                <w:b/>
                <w:bCs/>
                <w:sz w:val="17"/>
                <w:szCs w:val="17"/>
              </w:rPr>
              <w:t xml:space="preserve">4.208.000</w:t>
            </w:r>
          </w:p>
        </w:tc>
        <w:tc>
          <w:tcPr>
            <w:tcW w:type="dxa" w:w="155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pPr>
              <w:jc w:val="right"/>
            </w:pPr>
            <w:r>
              <w:rPr>
                <w:b/>
                <w:bCs/>
                <w:sz w:val="17"/>
                <w:szCs w:val="17"/>
              </w:rPr>
              <w:t xml:space="preserve">25.409</w:t>
            </w:r>
          </w:p>
        </w:tc>
        <w:tc>
          <w:tcPr>
            <w:tcW w:type="dxa" w:w="155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pPr>
              <w:jc w:val="right"/>
            </w:pPr>
            <w:r>
              <w:rPr>
                <w:b/>
                <w:bCs/>
                <w:sz w:val="17"/>
                <w:szCs w:val="17"/>
              </w:rPr>
              <w:t xml:space="preserve">18.045</w:t>
            </w:r>
          </w:p>
        </w:tc>
      </w:tr>
      <w:tr>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7"/>
                <w:szCs w:val="17"/>
              </w:rPr>
              <w:t xml:space="preserve">AA</w:t>
            </w:r>
          </w:p>
        </w:tc>
        <w:tc>
          <w:tcPr>
            <w:tcW w:type="dxa" w:w="11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31,00</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9 %</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1.495.000</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4.505.000</w:t>
            </w:r>
          </w:p>
        </w:tc>
        <w:tc>
          <w:tcPr>
            <w:tcW w:type="dxa" w:w="15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23.997</w:t>
            </w:r>
          </w:p>
        </w:tc>
        <w:tc>
          <w:tcPr>
            <w:tcW w:type="dxa" w:w="15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16.113</w:t>
            </w:r>
          </w:p>
        </w:tc>
      </w:tr>
      <w:tr>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7"/>
                <w:szCs w:val="17"/>
              </w:rPr>
              <w:t xml:space="preserve">AAA</w:t>
            </w:r>
          </w:p>
        </w:tc>
        <w:tc>
          <w:tcPr>
            <w:tcW w:type="dxa" w:w="11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34,00</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10 %</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935.000</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5.065.000</w:t>
            </w:r>
          </w:p>
        </w:tc>
        <w:tc>
          <w:tcPr>
            <w:tcW w:type="dxa" w:w="15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19.010</w:t>
            </w:r>
          </w:p>
        </w:tc>
        <w:tc>
          <w:tcPr>
            <w:tcW w:type="dxa" w:w="15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10.146</w:t>
            </w:r>
          </w:p>
        </w:tc>
      </w:tr>
    </w:tbl>
    <w:p>
      <w:pPr>
        <w:spacing w:after="60"/>
      </w:pPr>
    </w:p>
    <w:p>
      <w:pPr>
        <w:spacing w:after="120" w:line="276"/>
        <w:jc w:val="both"/>
      </w:pPr>
      <w:r>
        <w:t xml:space="preserve">La mejor combinación es </w:t>
      </w:r>
      <w:r>
        <w:rPr>
          <w:b/>
          <w:bCs/>
        </w:rPr>
        <w:t xml:space="preserve">calidad A a 28 €/kg con 7 % de marketing</w:t>
      </w:r>
      <w:r>
        <w:t xml:space="preserve">: 1.792.000 kg de calidad superior (30 % del volumen) y 4.208.000 kg de marca propia. Su resultado es de 25.409, 17.550 más que la alternativa de solo marca propia.</w:t>
      </w:r>
    </w:p>
    <w:p>
      <w:pPr>
        <w:spacing w:after="120" w:line="276"/>
        <w:jc w:val="both"/>
      </w:pPr>
      <w:r>
        <w:t xml:space="preserve">¿Por qué gana la calidad A y no la AAA? Porque el negocio de alta gama aporta margen, pero la marca propia aporta volumen para cubrir costos fijos, y el costo de oportunidad de cada kilo de alta gama es de solo 1,75 € (lo que dejaría la marca propia). La calidad A combina un margen alto (28 – 14,15 = 13,85 €/kg) con un volumen grande (1,8 millones de kg). Las calidades AA y AAA tienen mejor margen unitario pero su mercado es demasiado pequeño, y la C y la B venden mucho volumen con márgenes bajos. Sobre el marketing: pasar de 7 % a 8 % en la calidad A sube el volumen solo 31.000 kg y no paga el gasto extra; el óptimo está donde el último punto de marketing todavía genera más contribución de la que cuesta.</w:t>
      </w:r>
    </w:p>
    <w:p>
      <w:pPr>
        <w:spacing w:after="120" w:line="276"/>
        <w:jc w:val="both"/>
      </w:pPr>
      <w:r>
        <w:t xml:space="preserve">Comprobación de capacidad mensual (hoja Plan_Mensual): la calidad superior no se puede almacenar, pero su venta máxima (marzo, unos 211.000 kg) cabe en los 500.000 kg mensuales. La marca propia sí se almacena y se produce con la capacidad libre siguiendo la lógica del Anexo 5, sin faltantes en ningún mes.</w:t>
      </w:r>
    </w:p>
    <w:p>
      <w:pPr>
        <w:pStyle w:val="Heading1"/>
      </w:pPr>
      <w:r>
        <w:t xml:space="preserve">6. Estados financieros comparados: 2019, solo marca propia y mix óptimo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1800"/>
        <w:gridCol w:w="1800"/>
        <w:gridCol w:w="1800"/>
      </w:tblGrid>
      <w:tr>
        <w:trPr>
          <w:tblHeader/>
        </w:trPr>
        <w:tc>
          <w:tcPr>
            <w:tcW w:type="dxa" w:w="396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center"/>
            </w:pPr>
            <w:r>
              <w:rPr>
                <w:b/>
                <w:bCs/>
                <w:color w:val="FFFFFF"/>
                <w:sz w:val="17"/>
                <w:szCs w:val="17"/>
              </w:rPr>
              <w:t xml:space="preserve">Miles de €</w:t>
            </w:r>
          </w:p>
        </w:tc>
        <w:tc>
          <w:tcPr>
            <w:tcW w:type="dxa" w:w="18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center"/>
            </w:pPr>
            <w:r>
              <w:rPr>
                <w:b/>
                <w:bCs/>
                <w:color w:val="FFFFFF"/>
                <w:sz w:val="17"/>
                <w:szCs w:val="17"/>
              </w:rPr>
              <w:t xml:space="preserve">2019 real</w:t>
            </w:r>
          </w:p>
        </w:tc>
        <w:tc>
          <w:tcPr>
            <w:tcW w:type="dxa" w:w="18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center"/>
            </w:pPr>
            <w:r>
              <w:rPr>
                <w:b/>
                <w:bCs/>
                <w:color w:val="FFFFFF"/>
                <w:sz w:val="17"/>
                <w:szCs w:val="17"/>
              </w:rPr>
              <w:t xml:space="preserve">2020 solo marca propia</w:t>
            </w:r>
          </w:p>
        </w:tc>
        <w:tc>
          <w:tcPr>
            <w:tcW w:type="dxa" w:w="18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center"/>
            </w:pPr>
            <w:r>
              <w:rPr>
                <w:b/>
                <w:bCs/>
                <w:color w:val="FFFFFF"/>
                <w:sz w:val="17"/>
                <w:szCs w:val="17"/>
              </w:rPr>
              <w:t xml:space="preserve">2020 mix óptimo (A + MP)</w:t>
            </w:r>
          </w:p>
        </w:tc>
      </w:tr>
      <w:tr>
        <w:tc>
          <w:tcPr>
            <w:tcW w:type="dxa" w:w="9360"/>
            <w:gridSpan w:val="4"/>
            <w:tcBorders>
              <w:top w:val="single" w:color="BFBFBF" w:sz="4"/>
              <w:left w:val="single" w:color="BFBFBF" w:sz="4"/>
              <w:bottom w:val="single" w:color="BFBFBF" w:sz="4"/>
              <w:right w:val="single" w:color="BFBFBF" w:sz="4"/>
            </w:tcBorders>
            <w:shd w:fill="D9E1F2" w:color="auto" w:val="clear"/>
            <w:tcMar>
              <w:top w:type="dxa" w:w="40"/>
              <w:left w:type="dxa" w:w="90"/>
              <w:bottom w:type="dxa" w:w="40"/>
              <w:right w:type="dxa" w:w="90"/>
            </w:tcMar>
          </w:tcPr>
          <w:p>
            <w:r>
              <w:rPr>
                <w:b/>
                <w:bCs/>
                <w:sz w:val="17"/>
                <w:szCs w:val="17"/>
              </w:rPr>
              <w:t xml:space="preserve">Estado de resultados</w:t>
            </w:r>
          </w:p>
        </w:tc>
      </w:tr>
      <w:tr>
        <w:tc>
          <w:tcPr>
            <w:tcW w:type="dxa" w:w="39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bCs/>
                <w:sz w:val="17"/>
                <w:szCs w:val="17"/>
              </w:rPr>
              <w:t xml:space="preserve">Ventas</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bCs/>
                <w:sz w:val="17"/>
                <w:szCs w:val="17"/>
              </w:rPr>
              <w:t xml:space="preserve">44.608</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bCs/>
                <w:sz w:val="17"/>
                <w:szCs w:val="17"/>
              </w:rPr>
              <w:t xml:space="preserve">42.000</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bCs/>
                <w:sz w:val="17"/>
                <w:szCs w:val="17"/>
              </w:rPr>
              <w:t xml:space="preserve">79.632</w:t>
            </w:r>
          </w:p>
        </w:tc>
      </w:tr>
      <w:tr>
        <w:tc>
          <w:tcPr>
            <w:tcW w:type="dxa" w:w="39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7"/>
                <w:szCs w:val="17"/>
              </w:rPr>
              <w:t xml:space="preserve">  Marca propia</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7.903</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42.000</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29.456</w:t>
            </w:r>
          </w:p>
        </w:tc>
      </w:tr>
      <w:tr>
        <w:tc>
          <w:tcPr>
            <w:tcW w:type="dxa" w:w="39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7"/>
                <w:szCs w:val="17"/>
              </w:rPr>
              <w:t xml:space="preserve">  Calidad superior</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36.705</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50.176</w:t>
            </w:r>
          </w:p>
        </w:tc>
      </w:tr>
      <w:tr>
        <w:tc>
          <w:tcPr>
            <w:tcW w:type="dxa" w:w="39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7"/>
                <w:szCs w:val="17"/>
              </w:rPr>
              <w:t xml:space="preserve">Costo de mercadería vendida</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26.421</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34.441</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51.011</w:t>
            </w:r>
          </w:p>
        </w:tc>
      </w:tr>
      <w:tr>
        <w:tc>
          <w:tcPr>
            <w:tcW w:type="dxa" w:w="39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bCs/>
                <w:sz w:val="17"/>
                <w:szCs w:val="17"/>
              </w:rPr>
              <w:t xml:space="preserve">Margen bruto</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bCs/>
                <w:sz w:val="17"/>
                <w:szCs w:val="17"/>
              </w:rPr>
              <w:t xml:space="preserve">18.187</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bCs/>
                <w:sz w:val="17"/>
                <w:szCs w:val="17"/>
              </w:rPr>
              <w:t xml:space="preserve">7.559</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bCs/>
                <w:sz w:val="17"/>
                <w:szCs w:val="17"/>
              </w:rPr>
              <w:t xml:space="preserve">28.621</w:t>
            </w:r>
          </w:p>
        </w:tc>
      </w:tr>
      <w:tr>
        <w:tc>
          <w:tcPr>
            <w:tcW w:type="dxa" w:w="39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7"/>
                <w:szCs w:val="17"/>
              </w:rPr>
              <w:t xml:space="preserve">Marketing</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3.303</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3.512</w:t>
            </w:r>
          </w:p>
        </w:tc>
      </w:tr>
      <w:tr>
        <w:tc>
          <w:tcPr>
            <w:tcW w:type="dxa" w:w="39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7"/>
                <w:szCs w:val="17"/>
              </w:rPr>
              <w:t xml:space="preserve">I+D</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2.647</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662</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2.647</w:t>
            </w:r>
          </w:p>
        </w:tc>
      </w:tr>
      <w:tr>
        <w:tc>
          <w:tcPr>
            <w:tcW w:type="dxa" w:w="39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7"/>
                <w:szCs w:val="17"/>
              </w:rPr>
              <w:t xml:space="preserve">Gastos de venta</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2.844</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995</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2.844</w:t>
            </w:r>
          </w:p>
        </w:tc>
      </w:tr>
      <w:tr>
        <w:tc>
          <w:tcPr>
            <w:tcW w:type="dxa" w:w="39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7"/>
                <w:szCs w:val="17"/>
              </w:rPr>
              <w:t xml:space="preserve">Administración</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3.781</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1.891</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3.781</w:t>
            </w:r>
          </w:p>
        </w:tc>
      </w:tr>
      <w:tr>
        <w:tc>
          <w:tcPr>
            <w:tcW w:type="dxa" w:w="39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bCs/>
                <w:sz w:val="17"/>
                <w:szCs w:val="17"/>
              </w:rPr>
              <w:t xml:space="preserve">EBIT</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bCs/>
                <w:sz w:val="17"/>
                <w:szCs w:val="17"/>
              </w:rPr>
              <w:t xml:space="preserve">5.612</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bCs/>
                <w:sz w:val="17"/>
                <w:szCs w:val="17"/>
              </w:rPr>
              <w:t xml:space="preserve">4.011</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bCs/>
                <w:sz w:val="17"/>
                <w:szCs w:val="17"/>
              </w:rPr>
              <w:t xml:space="preserve">15.837</w:t>
            </w:r>
          </w:p>
        </w:tc>
      </w:tr>
      <w:tr>
        <w:tc>
          <w:tcPr>
            <w:tcW w:type="dxa" w:w="39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7"/>
                <w:szCs w:val="17"/>
              </w:rPr>
              <w:t xml:space="preserve">Intereses</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3.043</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3.043</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3.043</w:t>
            </w:r>
          </w:p>
        </w:tc>
      </w:tr>
      <w:tr>
        <w:tc>
          <w:tcPr>
            <w:tcW w:type="dxa" w:w="39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7"/>
                <w:szCs w:val="17"/>
              </w:rPr>
              <w:t xml:space="preserve">Impuestos</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1.028</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387</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5.118</w:t>
            </w:r>
          </w:p>
        </w:tc>
      </w:tr>
      <w:tr>
        <w:tc>
          <w:tcPr>
            <w:tcW w:type="dxa" w:w="396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pPr>
              <w:jc w:val="left"/>
            </w:pPr>
            <w:r>
              <w:rPr>
                <w:b/>
                <w:bCs/>
                <w:sz w:val="17"/>
                <w:szCs w:val="17"/>
              </w:rPr>
              <w:t xml:space="preserve">Utilidad neta</w:t>
            </w:r>
          </w:p>
        </w:tc>
        <w:tc>
          <w:tcPr>
            <w:tcW w:type="dxa" w:w="180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pPr>
              <w:jc w:val="right"/>
            </w:pPr>
            <w:r>
              <w:rPr>
                <w:b/>
                <w:bCs/>
                <w:sz w:val="17"/>
                <w:szCs w:val="17"/>
              </w:rPr>
              <w:t xml:space="preserve">1.541</w:t>
            </w:r>
          </w:p>
        </w:tc>
        <w:tc>
          <w:tcPr>
            <w:tcW w:type="dxa" w:w="180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pPr>
              <w:jc w:val="right"/>
            </w:pPr>
            <w:r>
              <w:rPr>
                <w:b/>
                <w:bCs/>
                <w:sz w:val="17"/>
                <w:szCs w:val="17"/>
              </w:rPr>
              <w:t xml:space="preserve">581</w:t>
            </w:r>
          </w:p>
        </w:tc>
        <w:tc>
          <w:tcPr>
            <w:tcW w:type="dxa" w:w="180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pPr>
              <w:jc w:val="right"/>
            </w:pPr>
            <w:r>
              <w:rPr>
                <w:b/>
                <w:bCs/>
                <w:sz w:val="17"/>
                <w:szCs w:val="17"/>
              </w:rPr>
              <w:t xml:space="preserve">7.676</w:t>
            </w:r>
          </w:p>
        </w:tc>
      </w:tr>
      <w:tr>
        <w:tc>
          <w:tcPr>
            <w:tcW w:type="dxa" w:w="9360"/>
            <w:gridSpan w:val="4"/>
            <w:tcBorders>
              <w:top w:val="single" w:color="BFBFBF" w:sz="4"/>
              <w:left w:val="single" w:color="BFBFBF" w:sz="4"/>
              <w:bottom w:val="single" w:color="BFBFBF" w:sz="4"/>
              <w:right w:val="single" w:color="BFBFBF" w:sz="4"/>
            </w:tcBorders>
            <w:shd w:fill="D9E1F2" w:color="auto" w:val="clear"/>
            <w:tcMar>
              <w:top w:type="dxa" w:w="40"/>
              <w:left w:type="dxa" w:w="90"/>
              <w:bottom w:type="dxa" w:w="40"/>
              <w:right w:type="dxa" w:w="90"/>
            </w:tcMar>
          </w:tcPr>
          <w:p>
            <w:r>
              <w:rPr>
                <w:b/>
                <w:bCs/>
                <w:sz w:val="17"/>
                <w:szCs w:val="17"/>
              </w:rPr>
              <w:t xml:space="preserve">Balance general</w:t>
            </w:r>
          </w:p>
        </w:tc>
      </w:tr>
      <w:tr>
        <w:tc>
          <w:tcPr>
            <w:tcW w:type="dxa" w:w="39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7"/>
                <w:szCs w:val="17"/>
              </w:rPr>
              <w:t xml:space="preserve">Caja</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892</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(4.019)</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411</w:t>
            </w:r>
          </w:p>
        </w:tc>
      </w:tr>
      <w:tr>
        <w:tc>
          <w:tcPr>
            <w:tcW w:type="dxa" w:w="39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7"/>
                <w:szCs w:val="17"/>
              </w:rPr>
              <w:t xml:space="preserve">Inventario de materia prima</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2.313</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3.047</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4.621</w:t>
            </w:r>
          </w:p>
        </w:tc>
      </w:tr>
      <w:tr>
        <w:tc>
          <w:tcPr>
            <w:tcW w:type="dxa" w:w="39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7"/>
                <w:szCs w:val="17"/>
              </w:rPr>
              <w:t xml:space="preserve">Bienes terminados</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913</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w:t>
            </w:r>
          </w:p>
        </w:tc>
      </w:tr>
      <w:tr>
        <w:tc>
          <w:tcPr>
            <w:tcW w:type="dxa" w:w="39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7"/>
                <w:szCs w:val="17"/>
              </w:rPr>
              <w:t xml:space="preserve">Cuentas a cobrar</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7.449</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15.624</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16.979</w:t>
            </w:r>
          </w:p>
        </w:tc>
      </w:tr>
      <w:tr>
        <w:tc>
          <w:tcPr>
            <w:tcW w:type="dxa" w:w="39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7"/>
                <w:szCs w:val="17"/>
              </w:rPr>
              <w:t xml:space="preserve">Bienes de uso netos</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23.948</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21.567</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21.567</w:t>
            </w:r>
          </w:p>
        </w:tc>
      </w:tr>
      <w:tr>
        <w:tc>
          <w:tcPr>
            <w:tcW w:type="dxa" w:w="39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bCs/>
                <w:sz w:val="17"/>
                <w:szCs w:val="17"/>
              </w:rPr>
              <w:t xml:space="preserve">Total activos</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bCs/>
                <w:sz w:val="17"/>
                <w:szCs w:val="17"/>
              </w:rPr>
              <w:t xml:space="preserve">35.515</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bCs/>
                <w:sz w:val="17"/>
                <w:szCs w:val="17"/>
              </w:rPr>
              <w:t xml:space="preserve">36.219</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bCs/>
                <w:sz w:val="17"/>
                <w:szCs w:val="17"/>
              </w:rPr>
              <w:t xml:space="preserve">43.578</w:t>
            </w:r>
          </w:p>
        </w:tc>
      </w:tr>
      <w:tr>
        <w:tc>
          <w:tcPr>
            <w:tcW w:type="dxa" w:w="39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7"/>
                <w:szCs w:val="17"/>
              </w:rPr>
              <w:t xml:space="preserve">Cuentas a pagar</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388</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511</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775</w:t>
            </w:r>
          </w:p>
        </w:tc>
      </w:tr>
      <w:tr>
        <w:tc>
          <w:tcPr>
            <w:tcW w:type="dxa" w:w="39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7"/>
                <w:szCs w:val="17"/>
              </w:rPr>
              <w:t xml:space="preserve">Deuda financiera (línea de crédito + largo plazo)</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28.000</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28.000</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28.000</w:t>
            </w:r>
          </w:p>
        </w:tc>
      </w:tr>
      <w:tr>
        <w:tc>
          <w:tcPr>
            <w:tcW w:type="dxa" w:w="39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bCs/>
                <w:sz w:val="17"/>
                <w:szCs w:val="17"/>
              </w:rPr>
              <w:t xml:space="preserve">Patrimonio neto</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bCs/>
                <w:sz w:val="17"/>
                <w:szCs w:val="17"/>
              </w:rPr>
              <w:t xml:space="preserve">7.127</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bCs/>
                <w:sz w:val="17"/>
                <w:szCs w:val="17"/>
              </w:rPr>
              <w:t xml:space="preserve">7.708</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bCs/>
                <w:sz w:val="17"/>
                <w:szCs w:val="17"/>
              </w:rPr>
              <w:t xml:space="preserve">14.803</w:t>
            </w:r>
          </w:p>
        </w:tc>
      </w:tr>
      <w:tr>
        <w:tc>
          <w:tcPr>
            <w:tcW w:type="dxa" w:w="9360"/>
            <w:gridSpan w:val="4"/>
            <w:tcBorders>
              <w:top w:val="single" w:color="BFBFBF" w:sz="4"/>
              <w:left w:val="single" w:color="BFBFBF" w:sz="4"/>
              <w:bottom w:val="single" w:color="BFBFBF" w:sz="4"/>
              <w:right w:val="single" w:color="BFBFBF" w:sz="4"/>
            </w:tcBorders>
            <w:shd w:fill="D9E1F2" w:color="auto" w:val="clear"/>
            <w:tcMar>
              <w:top w:type="dxa" w:w="40"/>
              <w:left w:type="dxa" w:w="90"/>
              <w:bottom w:type="dxa" w:w="40"/>
              <w:right w:type="dxa" w:w="90"/>
            </w:tcMar>
          </w:tcPr>
          <w:p>
            <w:r>
              <w:rPr>
                <w:b/>
                <w:bCs/>
                <w:sz w:val="17"/>
                <w:szCs w:val="17"/>
              </w:rPr>
              <w:t xml:space="preserve">Flujo de efectivo 2020</w:t>
            </w:r>
          </w:p>
        </w:tc>
      </w:tr>
      <w:tr>
        <w:tc>
          <w:tcPr>
            <w:tcW w:type="dxa" w:w="39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7"/>
                <w:szCs w:val="17"/>
              </w:rPr>
              <w:t xml:space="preserve">Flujo de caja operativo</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(4.911)</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(481)</w:t>
            </w:r>
          </w:p>
        </w:tc>
      </w:tr>
      <w:tr>
        <w:tc>
          <w:tcPr>
            <w:tcW w:type="dxa" w:w="39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7"/>
                <w:szCs w:val="17"/>
              </w:rPr>
              <w:t xml:space="preserve">Variación neta de caja</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(4.911)</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(481)</w:t>
            </w:r>
          </w:p>
        </w:tc>
      </w:tr>
      <w:tr>
        <w:tc>
          <w:tcPr>
            <w:tcW w:type="dxa" w:w="39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bCs/>
                <w:sz w:val="17"/>
                <w:szCs w:val="17"/>
              </w:rPr>
              <w:t xml:space="preserve">Caja final</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bCs/>
                <w:sz w:val="17"/>
                <w:szCs w:val="17"/>
              </w:rPr>
              <w:t xml:space="preserve"/>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bCs/>
                <w:sz w:val="17"/>
                <w:szCs w:val="17"/>
              </w:rPr>
              <w:t xml:space="preserve">(4.019)</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bCs/>
                <w:sz w:val="17"/>
                <w:szCs w:val="17"/>
              </w:rPr>
              <w:t xml:space="preserve">411</w:t>
            </w:r>
          </w:p>
        </w:tc>
      </w:tr>
      <w:tr>
        <w:tc>
          <w:tcPr>
            <w:tcW w:type="dxa" w:w="3960"/>
            <w:tcBorders>
              <w:top w:val="single" w:color="BFBFBF" w:sz="4"/>
              <w:left w:val="single" w:color="BFBFBF" w:sz="4"/>
              <w:bottom w:val="single" w:color="BFBFBF" w:sz="4"/>
              <w:right w:val="single" w:color="BFBFBF" w:sz="4"/>
            </w:tcBorders>
            <w:shd w:fill="FBE5D6" w:color="auto" w:val="clear"/>
            <w:tcMar>
              <w:top w:type="dxa" w:w="50"/>
              <w:left w:type="dxa" w:w="90"/>
              <w:bottom w:type="dxa" w:w="50"/>
              <w:right w:type="dxa" w:w="90"/>
            </w:tcMar>
          </w:tcPr>
          <w:p>
            <w:pPr>
              <w:jc w:val="left"/>
            </w:pPr>
            <w:r>
              <w:rPr>
                <w:b/>
                <w:bCs/>
                <w:sz w:val="17"/>
                <w:szCs w:val="17"/>
              </w:rPr>
              <w:t xml:space="preserve">Excedente / (necesidad) de financiamiento</w:t>
            </w:r>
          </w:p>
        </w:tc>
        <w:tc>
          <w:tcPr>
            <w:tcW w:type="dxa" w:w="1800"/>
            <w:tcBorders>
              <w:top w:val="single" w:color="BFBFBF" w:sz="4"/>
              <w:left w:val="single" w:color="BFBFBF" w:sz="4"/>
              <w:bottom w:val="single" w:color="BFBFBF" w:sz="4"/>
              <w:right w:val="single" w:color="BFBFBF" w:sz="4"/>
            </w:tcBorders>
            <w:shd w:fill="FBE5D6" w:color="auto" w:val="clear"/>
            <w:tcMar>
              <w:top w:type="dxa" w:w="50"/>
              <w:left w:type="dxa" w:w="90"/>
              <w:bottom w:type="dxa" w:w="50"/>
              <w:right w:type="dxa" w:w="90"/>
            </w:tcMar>
          </w:tcPr>
          <w:p>
            <w:pPr>
              <w:jc w:val="right"/>
            </w:pPr>
            <w:r>
              <w:rPr>
                <w:b/>
                <w:bCs/>
                <w:sz w:val="17"/>
                <w:szCs w:val="17"/>
              </w:rPr>
              <w:t xml:space="preserve">–</w:t>
            </w:r>
          </w:p>
        </w:tc>
        <w:tc>
          <w:tcPr>
            <w:tcW w:type="dxa" w:w="1800"/>
            <w:tcBorders>
              <w:top w:val="single" w:color="BFBFBF" w:sz="4"/>
              <w:left w:val="single" w:color="BFBFBF" w:sz="4"/>
              <w:bottom w:val="single" w:color="BFBFBF" w:sz="4"/>
              <w:right w:val="single" w:color="BFBFBF" w:sz="4"/>
            </w:tcBorders>
            <w:shd w:fill="FBE5D6" w:color="auto" w:val="clear"/>
            <w:tcMar>
              <w:top w:type="dxa" w:w="50"/>
              <w:left w:type="dxa" w:w="90"/>
              <w:bottom w:type="dxa" w:w="50"/>
              <w:right w:type="dxa" w:w="90"/>
            </w:tcMar>
          </w:tcPr>
          <w:p>
            <w:pPr>
              <w:jc w:val="right"/>
            </w:pPr>
            <w:r>
              <w:rPr>
                <w:b/>
                <w:bCs/>
                <w:sz w:val="17"/>
                <w:szCs w:val="17"/>
              </w:rPr>
              <w:t xml:space="preserve">(4.858)</w:t>
            </w:r>
          </w:p>
        </w:tc>
        <w:tc>
          <w:tcPr>
            <w:tcW w:type="dxa" w:w="1800"/>
            <w:tcBorders>
              <w:top w:val="single" w:color="BFBFBF" w:sz="4"/>
              <w:left w:val="single" w:color="BFBFBF" w:sz="4"/>
              <w:bottom w:val="single" w:color="BFBFBF" w:sz="4"/>
              <w:right w:val="single" w:color="BFBFBF" w:sz="4"/>
            </w:tcBorders>
            <w:shd w:fill="FBE5D6" w:color="auto" w:val="clear"/>
            <w:tcMar>
              <w:top w:type="dxa" w:w="50"/>
              <w:left w:type="dxa" w:w="90"/>
              <w:bottom w:type="dxa" w:w="50"/>
              <w:right w:type="dxa" w:w="90"/>
            </w:tcMar>
          </w:tcPr>
          <w:p>
            <w:pPr>
              <w:jc w:val="right"/>
            </w:pPr>
            <w:r>
              <w:rPr>
                <w:b/>
                <w:bCs/>
                <w:sz w:val="17"/>
                <w:szCs w:val="17"/>
              </w:rPr>
              <w:t xml:space="preserve">(1.181)</w:t>
            </w:r>
          </w:p>
        </w:tc>
      </w:tr>
    </w:tbl>
    <w:p>
      <w:pPr>
        <w:spacing w:after="160" w:before="60"/>
      </w:pPr>
      <w:r>
        <w:rPr>
          <w:i/>
          <w:iCs/>
          <w:color w:val="595959"/>
          <w:sz w:val="16"/>
          <w:szCs w:val="16"/>
        </w:rPr>
        <w:t xml:space="preserve">Deuda constante en 2020 por supuesto; la caja es la variable de cierre del balance.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1800"/>
        <w:gridCol w:w="1800"/>
        <w:gridCol w:w="1800"/>
      </w:tblGrid>
      <w:tr>
        <w:trPr>
          <w:tblHeader/>
        </w:trPr>
        <w:tc>
          <w:tcPr>
            <w:tcW w:type="dxa" w:w="396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center"/>
            </w:pPr>
            <w:r>
              <w:rPr>
                <w:b/>
                <w:bCs/>
                <w:color w:val="FFFFFF"/>
                <w:sz w:val="17"/>
                <w:szCs w:val="17"/>
              </w:rPr>
              <w:t xml:space="preserve">Indicador</w:t>
            </w:r>
          </w:p>
        </w:tc>
        <w:tc>
          <w:tcPr>
            <w:tcW w:type="dxa" w:w="18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center"/>
            </w:pPr>
            <w:r>
              <w:rPr>
                <w:b/>
                <w:bCs/>
                <w:color w:val="FFFFFF"/>
                <w:sz w:val="17"/>
                <w:szCs w:val="17"/>
              </w:rPr>
              <w:t xml:space="preserve">2019 real</w:t>
            </w:r>
          </w:p>
        </w:tc>
        <w:tc>
          <w:tcPr>
            <w:tcW w:type="dxa" w:w="18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center"/>
            </w:pPr>
            <w:r>
              <w:rPr>
                <w:b/>
                <w:bCs/>
                <w:color w:val="FFFFFF"/>
                <w:sz w:val="17"/>
                <w:szCs w:val="17"/>
              </w:rPr>
              <w:t xml:space="preserve">Solo marca propia</w:t>
            </w:r>
          </w:p>
        </w:tc>
        <w:tc>
          <w:tcPr>
            <w:tcW w:type="dxa" w:w="18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jc w:val="center"/>
            </w:pPr>
            <w:r>
              <w:rPr>
                <w:b/>
                <w:bCs/>
                <w:color w:val="FFFFFF"/>
                <w:sz w:val="17"/>
                <w:szCs w:val="17"/>
              </w:rPr>
              <w:t xml:space="preserve">Mix óptimo</w:t>
            </w:r>
          </w:p>
        </w:tc>
      </w:tr>
      <w:tr>
        <w:tc>
          <w:tcPr>
            <w:tcW w:type="dxa" w:w="39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7"/>
                <w:szCs w:val="17"/>
              </w:rPr>
              <w:t xml:space="preserve">Margen bruto</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40,8 %</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18,0 %</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35,9 %</w:t>
            </w:r>
          </w:p>
        </w:tc>
      </w:tr>
      <w:tr>
        <w:tc>
          <w:tcPr>
            <w:tcW w:type="dxa" w:w="39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7"/>
                <w:szCs w:val="17"/>
              </w:rPr>
              <w:t xml:space="preserve">Margen operativo</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12,6 %</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9,6 %</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19,9 %</w:t>
            </w:r>
          </w:p>
        </w:tc>
      </w:tr>
      <w:tr>
        <w:tc>
          <w:tcPr>
            <w:tcW w:type="dxa" w:w="39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7"/>
                <w:szCs w:val="17"/>
              </w:rPr>
              <w:t xml:space="preserve">Margen neto</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3,5 %</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1,4 %</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9,6 %</w:t>
            </w:r>
          </w:p>
        </w:tc>
      </w:tr>
      <w:tr>
        <w:tc>
          <w:tcPr>
            <w:tcW w:type="dxa" w:w="39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7"/>
                <w:szCs w:val="17"/>
              </w:rPr>
              <w:t xml:space="preserve">Rotación de activos</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1,26x</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1,16x</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1,83x</w:t>
            </w:r>
          </w:p>
        </w:tc>
      </w:tr>
      <w:tr>
        <w:tc>
          <w:tcPr>
            <w:tcW w:type="dxa" w:w="39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7"/>
                <w:szCs w:val="17"/>
              </w:rPr>
              <w:t xml:space="preserve">Multiplicador de capital</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4,98x</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4,70x</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2,94x</w:t>
            </w:r>
          </w:p>
        </w:tc>
      </w:tr>
      <w:tr>
        <w:tc>
          <w:tcPr>
            <w:tcW w:type="dxa" w:w="39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bCs/>
                <w:sz w:val="17"/>
                <w:szCs w:val="17"/>
              </w:rPr>
              <w:t xml:space="preserve">ROE (patrimonio final)</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bCs/>
                <w:sz w:val="17"/>
                <w:szCs w:val="17"/>
              </w:rPr>
              <w:t xml:space="preserve">21,6 %</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bCs/>
                <w:sz w:val="17"/>
                <w:szCs w:val="17"/>
              </w:rPr>
              <w:t xml:space="preserve">7,5 %</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bCs/>
                <w:sz w:val="17"/>
                <w:szCs w:val="17"/>
              </w:rPr>
              <w:t xml:space="preserve">51,9 %</w:t>
            </w:r>
          </w:p>
        </w:tc>
      </w:tr>
      <w:tr>
        <w:tc>
          <w:tcPr>
            <w:tcW w:type="dxa" w:w="39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7"/>
                <w:szCs w:val="17"/>
              </w:rPr>
              <w:t xml:space="preserve">ROA</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4,3 %</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1,6 %</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17,6 %</w:t>
            </w:r>
          </w:p>
        </w:tc>
      </w:tr>
      <w:tr>
        <w:tc>
          <w:tcPr>
            <w:tcW w:type="dxa" w:w="39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7"/>
                <w:szCs w:val="17"/>
              </w:rPr>
              <w:t xml:space="preserve">Cobertura de intereses</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1,84x</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1,32x</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5,20x</w:t>
            </w:r>
          </w:p>
        </w:tc>
      </w:tr>
      <w:tr>
        <w:tc>
          <w:tcPr>
            <w:tcW w:type="dxa" w:w="39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7"/>
                <w:szCs w:val="17"/>
              </w:rPr>
              <w:t xml:space="preserve">Deuda financiera / patrimonio</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3,93x</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3,63x</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1,89x</w:t>
            </w:r>
          </w:p>
        </w:tc>
      </w:tr>
      <w:tr>
        <w:tc>
          <w:tcPr>
            <w:tcW w:type="dxa" w:w="39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7"/>
                <w:szCs w:val="17"/>
              </w:rPr>
              <w:t xml:space="preserve">Deuda financiera / EBITDA</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3,64x</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4,38x</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1,54x</w:t>
            </w:r>
          </w:p>
        </w:tc>
      </w:tr>
      <w:tr>
        <w:tc>
          <w:tcPr>
            <w:tcW w:type="dxa" w:w="39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7"/>
                <w:szCs w:val="17"/>
              </w:rPr>
              <w:t xml:space="preserve">Días de cobro</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61</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136</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78</w:t>
            </w:r>
          </w:p>
        </w:tc>
      </w:tr>
      <w:tr>
        <w:tc>
          <w:tcPr>
            <w:tcW w:type="dxa" w:w="39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7"/>
                <w:szCs w:val="17"/>
              </w:rPr>
              <w:t xml:space="preserve">Capital de trabajo operativo / ventas</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23,1 %</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43,2 %</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26,2 %</w:t>
            </w:r>
          </w:p>
        </w:tc>
      </w:tr>
      <w:tr>
        <w:tc>
          <w:tcPr>
            <w:tcW w:type="dxa" w:w="39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7"/>
                <w:szCs w:val="17"/>
              </w:rPr>
              <w:t xml:space="preserve">Razón corriente</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0,57x</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0,71x</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1,06x</w:t>
            </w:r>
          </w:p>
        </w:tc>
      </w:tr>
      <w:tr>
        <w:tc>
          <w:tcPr>
            <w:tcW w:type="dxa" w:w="39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7"/>
                <w:szCs w:val="17"/>
              </w:rPr>
              <w:t xml:space="preserve">Margen de seguridad (con intereses)</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9,2 %</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7"/>
                <w:szCs w:val="17"/>
              </w:rPr>
              <w:t xml:space="preserve">44,6 %</w:t>
            </w:r>
          </w:p>
        </w:tc>
      </w:tr>
    </w:tbl>
    <w:p>
      <w:pPr>
        <w:spacing w:after="60"/>
      </w:pPr>
    </w:p>
    <w:p>
      <w:pPr>
        <w:spacing w:after="120" w:line="276"/>
        <w:jc w:val="both"/>
      </w:pPr>
      <w:r>
        <w:t xml:space="preserve">El mix óptimo mejora todas las ruedas a la vez. La utilidad neta sube a 7.676, cinco veces la de 2019. El ROE llega a 51,9 %, y esta vez se apoya en el margen (9,6 %) y en la rotación (1,83x), no en el apalancamiento, que baja de 4,98x a 2,94x. La cobertura de intereses pasa a 5,20x y el margen de seguridad a 45 %.</w:t>
      </w:r>
    </w:p>
    <w:p>
      <w:pPr>
        <w:spacing w:after="120" w:line="276"/>
        <w:jc w:val="both"/>
      </w:pPr>
      <w:r>
        <w:t xml:space="preserve">Un punto de atención: crecer de 44.608 a 79.632 en ventas consume capital de trabajo. Las cuentas a cobrar suben a 16.979 y el flujo operativo del primer año es levemente negativo (–481). La caja cierra en 411, positiva pero 1.181 por debajo de la caja mínima operativa. Es una necesidad pequeña y transitoria que se cubre con cualquiera de las palancas de la sección 3.6 (por ejemplo, la venta del lote).</w:t>
      </w:r>
    </w:p>
    <w:p>
      <w:pPr>
        <w:pStyle w:val="Heading1"/>
      </w:pPr>
      <w:r>
        <w:t xml:space="preserve">7. Recomendaciones para Giacomo Salvetti</w:t>
      </w:r>
    </w:p>
    <w:p>
      <w:pPr>
        <w:pStyle w:val="ListParagraph"/>
        <w:numPr>
          <w:ilvl w:val="0"/>
          <w:numId w:val="3"/>
        </w:numPr>
        <w:spacing w:after="100" w:line="264"/>
      </w:pPr>
      <w:r>
        <w:rPr>
          <w:b/>
          <w:bCs/>
        </w:rPr>
        <w:t xml:space="preserve">No pasar al 100 % de marcas propias. </w:t>
      </w:r>
      <w:r>
        <w:t xml:space="preserve">Reduce la utilidad a 581, deja el ROE en 7,5 % y genera un faltante de caja de 4.858 que la empresa no puede financiar con la línea de crédito agotada.</w:t>
      </w:r>
    </w:p>
    <w:p>
      <w:pPr>
        <w:pStyle w:val="ListParagraph"/>
        <w:numPr>
          <w:ilvl w:val="0"/>
          <w:numId w:val="3"/>
        </w:numPr>
        <w:spacing w:after="100" w:line="264"/>
      </w:pPr>
      <w:r>
        <w:rPr>
          <w:b/>
          <w:bCs/>
        </w:rPr>
        <w:t xml:space="preserve">No concentrarse solo en AAA. </w:t>
      </w:r>
      <w:r>
        <w:t xml:space="preserve">Dejaría el 84 % de la planta ociosa y generaría pérdidas.</w:t>
      </w:r>
    </w:p>
    <w:p>
      <w:pPr>
        <w:pStyle w:val="ListParagraph"/>
        <w:numPr>
          <w:ilvl w:val="0"/>
          <w:numId w:val="3"/>
        </w:numPr>
        <w:spacing w:after="100" w:line="264"/>
      </w:pPr>
      <w:r>
        <w:rPr>
          <w:b/>
          <w:bCs/>
        </w:rPr>
        <w:t xml:space="preserve">Adoptar el mix: calidad A con 7 % de marketing y marca propia en la capacidad restante. </w:t>
      </w:r>
      <w:r>
        <w:t xml:space="preserve">Es la combinación que más dinero genera (25.409 en el mini estado y 7.676 de utilidad neta). La marca propia sigue cumpliendo su papel: cubrir costos fijos y estabilizar la carga de la planta.</w:t>
      </w:r>
    </w:p>
    <w:p>
      <w:pPr>
        <w:pStyle w:val="ListParagraph"/>
        <w:numPr>
          <w:ilvl w:val="0"/>
          <w:numId w:val="3"/>
        </w:numPr>
        <w:spacing w:after="100" w:line="264"/>
      </w:pPr>
      <w:r>
        <w:rPr>
          <w:b/>
          <w:bCs/>
        </w:rPr>
        <w:t xml:space="preserve">Contratar la marca propia en bloques. </w:t>
      </w:r>
      <w:r>
        <w:t xml:space="preserve">Los 4.208.000 kg de marca propia equivalen a unos ocho bloques de 500.000 kg. Conviene firmar contratos con los minoristas que pagan antes y no comprometer toda la capacidad, para poder reasignarla si el mercado de alta gama cambia.</w:t>
      </w:r>
    </w:p>
    <w:p>
      <w:pPr>
        <w:pStyle w:val="ListParagraph"/>
        <w:numPr>
          <w:ilvl w:val="0"/>
          <w:numId w:val="3"/>
        </w:numPr>
        <w:spacing w:after="100" w:line="264"/>
      </w:pPr>
      <w:r>
        <w:rPr>
          <w:b/>
          <w:bCs/>
        </w:rPr>
        <w:t xml:space="preserve">Gestionar el capital de trabajo. </w:t>
      </w:r>
      <w:r>
        <w:t xml:space="preserve">Negociar cobros a 60 días, pagar a proveedores en plazos de mercado (hoy se paga en 6 días) y producir marca propia para inventario en verano según el plan mensual.</w:t>
      </w:r>
    </w:p>
    <w:p>
      <w:pPr>
        <w:pStyle w:val="ListParagraph"/>
        <w:numPr>
          <w:ilvl w:val="0"/>
          <w:numId w:val="3"/>
        </w:numPr>
        <w:spacing w:after="100" w:line="264"/>
      </w:pPr>
      <w:r>
        <w:rPr>
          <w:b/>
          <w:bCs/>
        </w:rPr>
        <w:t xml:space="preserve">Desapalancar y ordenar el financiamiento. </w:t>
      </w:r>
      <w:r>
        <w:t xml:space="preserve">Vender el lote desocupado (10.000) para reducir la línea de crédito y refinanciar a largo plazo la parte de la deuda que financia la planta. El ROE debe venir del negocio y no de la deuda.</w:t>
      </w:r>
    </w:p>
    <w:p>
      <w:pPr>
        <w:pStyle w:val="ListParagraph"/>
        <w:numPr>
          <w:ilvl w:val="0"/>
          <w:numId w:val="3"/>
        </w:numPr>
        <w:spacing w:after="100" w:line="264"/>
      </w:pPr>
      <w:r>
        <w:rPr>
          <w:b/>
          <w:bCs/>
        </w:rPr>
        <w:t xml:space="preserve">Controlar con presupuesto de caja mensual. </w:t>
      </w:r>
      <w:r>
        <w:t xml:space="preserve">La estacionalidad (octubre a diciembre = 37 % de las ventas) obliga a planificar la caja mes a mes, no solo al cierre del año.</w:t>
      </w:r>
    </w:p>
    <w:p>
      <w:pPr>
        <w:pStyle w:val="Heading1"/>
      </w:pPr>
      <w:r>
        <w:t xml:space="preserve">8. Supuestos y limitaciones</w:t>
      </w:r>
    </w:p>
    <w:p>
      <w:pPr>
        <w:pStyle w:val="ListParagraph"/>
        <w:numPr>
          <w:ilvl w:val="0"/>
          <w:numId w:val="2"/>
        </w:numPr>
        <w:spacing w:after="80" w:line="264"/>
      </w:pPr>
      <w:r>
        <w:t xml:space="preserve">Los volúmenes del Anexo 2 son estimaciones de marketing para un mercado que el propio caso califica de muy volátil. Una recesión como la de 2017 afectaría sobre todo al componente de alta gama del mix.</w:t>
      </w:r>
    </w:p>
    <w:p>
      <w:pPr>
        <w:pStyle w:val="ListParagraph"/>
        <w:numPr>
          <w:ilvl w:val="0"/>
          <w:numId w:val="2"/>
        </w:numPr>
        <w:spacing w:after="80" w:line="264"/>
      </w:pPr>
      <w:r>
        <w:t xml:space="preserve">Se supone que los costos fijos del Anexo 3 ya incluyen la depreciación base de 2.081 (como el costo de ventas de 2019). Si no fuera así, habría que restar 2.081 adicionales en cada escenario; el Excel tiene un interruptor para ese caso (hoja Supuestos). El orden de las alternativas no cambia.</w:t>
      </w:r>
    </w:p>
    <w:p>
      <w:pPr>
        <w:pStyle w:val="ListParagraph"/>
        <w:numPr>
          <w:ilvl w:val="0"/>
          <w:numId w:val="2"/>
        </w:numPr>
        <w:spacing w:after="80" w:line="264"/>
      </w:pPr>
      <w:r>
        <w:t xml:space="preserve">En el mix se mantienen los gastos de I+D, ventas y administración de 2019, y el marketing es el %M de las ventas de alta gama. Es un supuesto conservador.</w:t>
      </w:r>
    </w:p>
    <w:p>
      <w:pPr>
        <w:pStyle w:val="ListParagraph"/>
        <w:numPr>
          <w:ilvl w:val="0"/>
          <w:numId w:val="2"/>
        </w:numPr>
        <w:spacing w:after="80" w:line="264"/>
      </w:pPr>
      <w:r>
        <w:t xml:space="preserve">Se usan costos variables constantes por kilo; no se usa la matriz de costo por volumen del Anexo 3, como pide el enunciado.</w:t>
      </w:r>
    </w:p>
    <w:p>
      <w:pPr>
        <w:pStyle w:val="ListParagraph"/>
        <w:numPr>
          <w:ilvl w:val="0"/>
          <w:numId w:val="2"/>
        </w:numPr>
        <w:spacing w:after="80" w:line="264"/>
      </w:pPr>
      <w:r>
        <w:t xml:space="preserve">Deuda constante y tasa implícita de 2019; impuestos del 40 % y sin dividendos. Las palancas de mejora se miden por separado y su suma es aproximada.</w:t>
      </w:r>
    </w:p>
    <w:p>
      <w:pPr>
        <w:pStyle w:val="ListParagraph"/>
        <w:numPr>
          <w:ilvl w:val="0"/>
          <w:numId w:val="2"/>
        </w:numPr>
        <w:spacing w:after="80" w:line="264"/>
      </w:pPr>
      <w:r>
        <w:t xml:space="preserve">El mix con una sola calidad de alta gama es una simplificación del enunciado. Combinar varias calidades podría mejorar algo el resultado, pero exige más complejidad comercial.</w:t>
      </w:r>
    </w:p>
    <w:p>
      <w:pPr>
        <w:pStyle w:val="Heading1"/>
      </w:pPr>
      <w:r>
        <w:t xml:space="preserve">Anexo. Resultado del mix por calidad y nivel de marketing</w:t>
      </w:r>
    </w:p>
    <w:p>
      <w:pPr>
        <w:spacing w:after="120" w:line="276"/>
        <w:jc w:val="both"/>
      </w:pPr>
      <w:r>
        <w:t xml:space="preserve">Resultado = (p – cv)·q + 1,75·(6.000.000 – q) – 3.262 – %M·p·q, en miles de euros. En verde, el máximo.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300"/>
        <w:gridCol w:w="1300"/>
        <w:gridCol w:w="1300"/>
        <w:gridCol w:w="1300"/>
        <w:gridCol w:w="1300"/>
        <w:gridCol w:w="1300"/>
      </w:tblGrid>
      <w:tr>
        <w:trPr>
          <w:tblHeader/>
        </w:trPr>
        <w:tc>
          <w:tcPr>
            <w:tcW w:type="dxa" w:w="156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pPr>
              <w:jc w:val="center"/>
            </w:pPr>
            <w:r>
              <w:rPr>
                <w:b/>
                <w:bCs/>
                <w:color w:val="FFFFFF"/>
                <w:sz w:val="17"/>
                <w:szCs w:val="17"/>
              </w:rPr>
              <w:t xml:space="preserve">%M</w:t>
            </w:r>
          </w:p>
        </w:tc>
        <w:tc>
          <w:tcPr>
            <w:tcW w:type="dxa" w:w="130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pPr>
              <w:jc w:val="center"/>
            </w:pPr>
            <w:r>
              <w:rPr>
                <w:b/>
                <w:bCs/>
                <w:color w:val="FFFFFF"/>
                <w:sz w:val="17"/>
                <w:szCs w:val="17"/>
              </w:rPr>
              <w:t xml:space="preserve">C</w:t>
            </w:r>
          </w:p>
        </w:tc>
        <w:tc>
          <w:tcPr>
            <w:tcW w:type="dxa" w:w="130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pPr>
              <w:jc w:val="center"/>
            </w:pPr>
            <w:r>
              <w:rPr>
                <w:b/>
                <w:bCs/>
                <w:color w:val="FFFFFF"/>
                <w:sz w:val="17"/>
                <w:szCs w:val="17"/>
              </w:rPr>
              <w:t xml:space="preserve">B</w:t>
            </w:r>
          </w:p>
        </w:tc>
        <w:tc>
          <w:tcPr>
            <w:tcW w:type="dxa" w:w="130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pPr>
              <w:jc w:val="center"/>
            </w:pPr>
            <w:r>
              <w:rPr>
                <w:b/>
                <w:bCs/>
                <w:color w:val="FFFFFF"/>
                <w:sz w:val="17"/>
                <w:szCs w:val="17"/>
              </w:rPr>
              <w:t xml:space="preserve">BB</w:t>
            </w:r>
          </w:p>
        </w:tc>
        <w:tc>
          <w:tcPr>
            <w:tcW w:type="dxa" w:w="130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pPr>
              <w:jc w:val="center"/>
            </w:pPr>
            <w:r>
              <w:rPr>
                <w:b/>
                <w:bCs/>
                <w:color w:val="FFFFFF"/>
                <w:sz w:val="17"/>
                <w:szCs w:val="17"/>
              </w:rPr>
              <w:t xml:space="preserve">A</w:t>
            </w:r>
          </w:p>
        </w:tc>
        <w:tc>
          <w:tcPr>
            <w:tcW w:type="dxa" w:w="130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pPr>
              <w:jc w:val="center"/>
            </w:pPr>
            <w:r>
              <w:rPr>
                <w:b/>
                <w:bCs/>
                <w:color w:val="FFFFFF"/>
                <w:sz w:val="17"/>
                <w:szCs w:val="17"/>
              </w:rPr>
              <w:t xml:space="preserve">AA</w:t>
            </w:r>
          </w:p>
        </w:tc>
        <w:tc>
          <w:tcPr>
            <w:tcW w:type="dxa" w:w="130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pPr>
              <w:jc w:val="center"/>
            </w:pPr>
            <w:r>
              <w:rPr>
                <w:b/>
                <w:bCs/>
                <w:color w:val="FFFFFF"/>
                <w:sz w:val="17"/>
                <w:szCs w:val="17"/>
              </w:rPr>
              <w:t xml:space="preserve">AAA</w:t>
            </w:r>
          </w:p>
        </w:tc>
      </w:tr>
      <w:tr>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0 %</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16.387</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20.217</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21.442</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20.584</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16.576</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9.269</w:t>
            </w:r>
          </w:p>
        </w:tc>
      </w:tr>
      <w:tr>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1 %</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16.236</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20.263</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21.410</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20.772</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17.054</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9.695</w:t>
            </w:r>
          </w:p>
        </w:tc>
      </w:tr>
      <w:tr>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2 %</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16.171</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20.092</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21.766</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21.386</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17.929</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10.744</w:t>
            </w:r>
          </w:p>
        </w:tc>
      </w:tr>
      <w:tr>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3 %</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16.179</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21.003</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22.321</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22.259</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19.132</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12.103</w:t>
            </w:r>
          </w:p>
        </w:tc>
      </w:tr>
      <w:tr>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4 %</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16.198</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21.507</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22.932</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23.225</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20.432</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13.573</w:t>
            </w:r>
          </w:p>
        </w:tc>
      </w:tr>
      <w:tr>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5 %</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16.221</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22.053</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23.596</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24.262</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21.829</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15.140</w:t>
            </w:r>
          </w:p>
        </w:tc>
      </w:tr>
      <w:tr>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6 %</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16.284</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22.931</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24.170</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25.192</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23.105</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16.543</w:t>
            </w:r>
          </w:p>
        </w:tc>
      </w:tr>
      <w:tr>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7 %</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15.979</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22.755</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23.942</w:t>
            </w:r>
          </w:p>
        </w:tc>
        <w:tc>
          <w:tcPr>
            <w:tcW w:type="dxa" w:w="1300"/>
            <w:tcBorders>
              <w:top w:val="single" w:color="BFBFBF" w:sz="4"/>
              <w:left w:val="single" w:color="BFBFBF" w:sz="4"/>
              <w:bottom w:val="single" w:color="BFBFBF" w:sz="4"/>
              <w:right w:val="single" w:color="BFBFBF" w:sz="4"/>
            </w:tcBorders>
            <w:shd w:fill="C6E0B4" w:color="auto" w:val="clear"/>
            <w:tcMar>
              <w:top w:type="dxa" w:w="40"/>
              <w:left w:type="dxa" w:w="80"/>
              <w:bottom w:type="dxa" w:w="40"/>
              <w:right w:type="dxa" w:w="80"/>
            </w:tcMar>
          </w:tcPr>
          <w:p>
            <w:pPr>
              <w:jc w:val="right"/>
            </w:pPr>
            <w:r>
              <w:rPr>
                <w:b/>
                <w:bCs/>
                <w:sz w:val="17"/>
                <w:szCs w:val="17"/>
              </w:rPr>
              <w:t xml:space="preserve">25.409</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23.149</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16.683</w:t>
            </w:r>
          </w:p>
        </w:tc>
      </w:tr>
      <w:tr>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8 %</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15.669</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22.428</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23.680</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25.213</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22.974</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17.217</w:t>
            </w:r>
          </w:p>
        </w:tc>
      </w:tr>
      <w:tr>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9 %</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15.265</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22.028</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23.338</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24.836</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23.997</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18.552</w:t>
            </w:r>
          </w:p>
        </w:tc>
      </w:tr>
      <w:tr>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10 %</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14.820</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21.678</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22.989</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24.378</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23.839</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val="false"/>
                <w:bCs w:val="false"/>
                <w:sz w:val="17"/>
                <w:szCs w:val="17"/>
              </w:rPr>
              <w:t xml:space="preserve">19.010</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Página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Cafés Monte Bianco – Plan de ganancias 2020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1f6d7a193f202ee67ab4b572777bd55ed3e34e3.png"/><Relationship Id="rId10" Type="http://schemas.openxmlformats.org/officeDocument/2006/relationships/image" Target="media/f72b967e8e41c5c785f25f53c15e528c038b0336.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Cafés Monte Bianco – Plan de ganancias 2020</dc:title>
  <dc:creator>Análisis de caso</dc:creator>
  <cp:lastModifiedBy>Un-named</cp:lastModifiedBy>
  <cp:revision>1</cp:revision>
  <dcterms:created xsi:type="dcterms:W3CDTF">2026-10-11T01:02:52.853Z</dcterms:created>
  <dcterms:modified xsi:type="dcterms:W3CDTF">2026-10-11T01:02:52.853Z</dcterms:modified>
</cp:coreProperties>
</file>

<file path=docProps/custom.xml><?xml version="1.0" encoding="utf-8"?>
<Properties xmlns="http://schemas.openxmlformats.org/officeDocument/2006/custom-properties" xmlns:vt="http://schemas.openxmlformats.org/officeDocument/2006/docPropsVTypes"/>
</file>