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5D" w:rsidRPr="00C30130" w:rsidRDefault="00083F5D" w:rsidP="00083F5D">
      <w:pPr>
        <w:pStyle w:val="Title"/>
        <w:jc w:val="center"/>
        <w:rPr>
          <w:highlight w:val="yellow"/>
        </w:rPr>
      </w:pPr>
      <w:r w:rsidRPr="00C30130">
        <w:rPr>
          <w:highlight w:val="yellow"/>
        </w:rPr>
        <w:t xml:space="preserve">Civil </w:t>
      </w:r>
    </w:p>
    <w:p w:rsidR="00941C88" w:rsidRPr="00C30130" w:rsidRDefault="00EE1F8F">
      <w:pPr>
        <w:rPr>
          <w:i/>
          <w:highlight w:val="yellow"/>
        </w:rPr>
      </w:pPr>
      <w:r w:rsidRPr="00C30130">
        <w:rPr>
          <w:i/>
          <w:highlight w:val="yellow"/>
        </w:rPr>
        <w:t>Quienes pueden accionar en justiciar</w:t>
      </w:r>
    </w:p>
    <w:p w:rsidR="00F43A47" w:rsidRPr="00C30130" w:rsidRDefault="001E3367">
      <w:pPr>
        <w:rPr>
          <w:rFonts w:ascii="Arial" w:hAnsi="Arial" w:cs="Arial"/>
          <w:i/>
          <w:color w:val="000000"/>
          <w:sz w:val="18"/>
          <w:szCs w:val="18"/>
          <w:highlight w:val="yellow"/>
        </w:rPr>
      </w:pPr>
      <w:r w:rsidRPr="00C30130">
        <w:rPr>
          <w:rFonts w:ascii="Arial" w:hAnsi="Arial" w:cs="Arial"/>
          <w:i/>
          <w:color w:val="000000"/>
          <w:sz w:val="18"/>
          <w:szCs w:val="18"/>
          <w:highlight w:val="yellow"/>
          <w:shd w:val="clear" w:color="auto" w:fill="FFFFFF"/>
        </w:rPr>
        <w:t xml:space="preserve">La </w:t>
      </w:r>
      <w:r w:rsidR="009A4DE1" w:rsidRPr="00C30130">
        <w:rPr>
          <w:rFonts w:ascii="Arial" w:hAnsi="Arial" w:cs="Arial"/>
          <w:i/>
          <w:color w:val="000000"/>
          <w:sz w:val="18"/>
          <w:szCs w:val="18"/>
          <w:highlight w:val="yellow"/>
          <w:shd w:val="clear" w:color="auto" w:fill="FFFFFF"/>
        </w:rPr>
        <w:t>acción es el poder jurídico que tiene todo sujeto de derecho, de acudir a los órganos jurisdiccionales para reclamarles la satisfacción de una pretensión; ya no es el derecho material del actor ni su pretensión a que ese derecho sea tutelado por la jurisdicción, sino el poder jurídico de acudir a los órganos jurisdiccionales.</w:t>
      </w:r>
      <w:r w:rsidR="009A4DE1" w:rsidRPr="00C30130">
        <w:rPr>
          <w:rFonts w:ascii="Arial" w:hAnsi="Arial" w:cs="Arial"/>
          <w:i/>
          <w:color w:val="000000"/>
          <w:sz w:val="18"/>
          <w:szCs w:val="18"/>
          <w:highlight w:val="yellow"/>
        </w:rPr>
        <w:br/>
      </w:r>
      <w:r w:rsidR="009A4DE1" w:rsidRPr="00C30130">
        <w:rPr>
          <w:rFonts w:ascii="Arial" w:hAnsi="Arial" w:cs="Arial"/>
          <w:i/>
          <w:color w:val="000000"/>
          <w:sz w:val="18"/>
          <w:szCs w:val="18"/>
          <w:highlight w:val="yellow"/>
        </w:rPr>
        <w:br/>
      </w:r>
      <w:r w:rsidR="00F43A47" w:rsidRPr="00C30130">
        <w:rPr>
          <w:rFonts w:ascii="Arial" w:hAnsi="Arial" w:cs="Arial"/>
          <w:i/>
          <w:color w:val="000000"/>
          <w:sz w:val="18"/>
          <w:szCs w:val="18"/>
          <w:highlight w:val="yellow"/>
        </w:rPr>
        <w:t>Demanda</w:t>
      </w:r>
    </w:p>
    <w:p w:rsidR="00F43A47" w:rsidRPr="00F43A47" w:rsidRDefault="0002758B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C30130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E</w:t>
      </w:r>
      <w:r w:rsidR="00F43A47"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l</w:t>
      </w:r>
      <w:r w:rsidRPr="00C30130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 xml:space="preserve"> </w:t>
      </w:r>
      <w:r w:rsidR="00F43A47"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 xml:space="preserve">acto </w:t>
      </w:r>
      <w:proofErr w:type="spellStart"/>
      <w:r w:rsidR="00F43A47"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iniciatorio</w:t>
      </w:r>
      <w:proofErr w:type="spellEnd"/>
      <w:r w:rsidR="00F43A47"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 xml:space="preserve"> o introductorio del proceso, acto exclusivo de parte (actora), sin el cual no puede iniciarse el mismo.</w:t>
      </w: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De esta manera, el artículo 339 del </w:t>
      </w:r>
      <w:hyperlink r:id="rId4" w:history="1">
        <w:r w:rsidRPr="00C30130">
          <w:rPr>
            <w:rFonts w:ascii="Arial" w:eastAsia="Times New Roman" w:hAnsi="Arial" w:cs="Arial"/>
            <w:i/>
            <w:color w:val="008040"/>
            <w:sz w:val="18"/>
            <w:szCs w:val="18"/>
            <w:highlight w:val="yellow"/>
            <w:u w:val="single"/>
            <w:lang w:eastAsia="es-DO"/>
          </w:rPr>
          <w:t>Código</w:t>
        </w:r>
      </w:hyperlink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 de </w:t>
      </w:r>
      <w:hyperlink r:id="rId5" w:history="1">
        <w:r w:rsidRPr="00C30130">
          <w:rPr>
            <w:rFonts w:ascii="Arial" w:eastAsia="Times New Roman" w:hAnsi="Arial" w:cs="Arial"/>
            <w:i/>
            <w:color w:val="008040"/>
            <w:sz w:val="18"/>
            <w:szCs w:val="18"/>
            <w:highlight w:val="yellow"/>
            <w:u w:val="single"/>
            <w:lang w:eastAsia="es-DO"/>
          </w:rPr>
          <w:t>Procedimiento</w:t>
        </w:r>
      </w:hyperlink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 Civil, dispone: El procedimiento ordinario comienza por la demanda que se propondrá por escrito, en cualquier día y hora ante el Secretario del Tribunal o ante el Juez.</w:t>
      </w: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 xml:space="preserve">El procedimiento ordinario comienza por la demanda que se propondrá por escrito, en cualquier día y hora ante el </w:t>
      </w:r>
      <w:proofErr w:type="gramStart"/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Secretario</w:t>
      </w:r>
      <w:proofErr w:type="gramEnd"/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 xml:space="preserve"> del Tribunal o ante el Juez.</w:t>
      </w: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Con la demanda se ejerce la acción y se deduce la pretensión, es decir, que la demanda contiene la, acción que despierta la actividad jurisdiccional, para darle paso al proceso, y contiene a su vez la pretensión o reclamación del solicitante de la tutela por parte del Estado.</w:t>
      </w:r>
    </w:p>
    <w:p w:rsidR="00F43A47" w:rsidRPr="00C30130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De esta manera, la acción es un derecho o potestad; la pretensión, una declaración de voluntad, y la demanda un acto procesal.</w:t>
      </w:r>
    </w:p>
    <w:p w:rsidR="00F43A47" w:rsidRPr="00C30130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b/>
          <w:bCs/>
          <w:i/>
          <w:color w:val="000000"/>
          <w:sz w:val="18"/>
          <w:szCs w:val="18"/>
          <w:highlight w:val="yellow"/>
          <w:lang w:eastAsia="es-DO"/>
        </w:rPr>
        <w:t>defensa</w:t>
      </w: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Es aquella que puede formular el demandado a la pretensión del accionante, mediante la cual le solicita al juez desestime o declare la improcedencia de la reclamación del accionante; es el derecho de contradicción en específico.</w:t>
      </w: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No puede confundirse el derecho de contradicción (la causa) con la defensa o excepción (el efecto), ya que aquel existe siempre aun cuando éste no se formule. La excepción es la pretensión en negativo.</w:t>
      </w:r>
    </w:p>
    <w:p w:rsidR="00F43A47" w:rsidRPr="00F43A47" w:rsidRDefault="00F43A47" w:rsidP="00F43A47">
      <w:pPr>
        <w:spacing w:after="0" w:line="240" w:lineRule="auto"/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</w:pPr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 xml:space="preserve">La excepción, señala </w:t>
      </w:r>
      <w:proofErr w:type="spellStart"/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CARNElUTTI</w:t>
      </w:r>
      <w:proofErr w:type="spellEnd"/>
      <w:r w:rsidRPr="00F43A47">
        <w:rPr>
          <w:rFonts w:ascii="Arial" w:eastAsia="Times New Roman" w:hAnsi="Arial" w:cs="Arial"/>
          <w:i/>
          <w:color w:val="000000"/>
          <w:sz w:val="18"/>
          <w:szCs w:val="18"/>
          <w:highlight w:val="yellow"/>
          <w:lang w:eastAsia="es-DO"/>
        </w:rPr>
        <w:t>, citado por AZULA CAMACHO, es la propia razón del demandado que la opone a la invocada por el demandante; es una especie de contraprestación por constituir argumentos propios, basados en hechos diferentes que tienden a dejar sin fundamento la pretensión del demandante.</w:t>
      </w:r>
    </w:p>
    <w:p w:rsidR="00F43A47" w:rsidRPr="00C30130" w:rsidRDefault="00F43A47" w:rsidP="00F43A47">
      <w:pPr>
        <w:spacing w:after="0" w:line="240" w:lineRule="auto"/>
        <w:rPr>
          <w:rFonts w:ascii="Arial" w:hAnsi="Arial" w:cs="Arial"/>
          <w:i/>
          <w:color w:val="000000"/>
          <w:sz w:val="18"/>
          <w:szCs w:val="18"/>
          <w:highlight w:val="yellow"/>
        </w:rPr>
      </w:pPr>
      <w:r w:rsidRPr="00C30130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s-DO"/>
        </w:rPr>
        <w:br/>
      </w:r>
      <w:r w:rsidRPr="00C30130">
        <w:rPr>
          <w:rFonts w:ascii="Arial" w:eastAsia="Times New Roman" w:hAnsi="Arial" w:cs="Arial"/>
          <w:color w:val="000000"/>
          <w:sz w:val="18"/>
          <w:szCs w:val="18"/>
          <w:highlight w:val="yellow"/>
          <w:lang w:eastAsia="es-DO"/>
        </w:rPr>
        <w:br/>
      </w:r>
    </w:p>
    <w:p w:rsidR="00EE1F8F" w:rsidRPr="00C30130" w:rsidRDefault="00EE1F8F">
      <w:pPr>
        <w:rPr>
          <w:i/>
          <w:highlight w:val="yellow"/>
        </w:rPr>
      </w:pPr>
      <w:r w:rsidRPr="00C30130">
        <w:rPr>
          <w:i/>
          <w:highlight w:val="yellow"/>
        </w:rPr>
        <w:t>Que es el contrato</w:t>
      </w:r>
    </w:p>
    <w:p w:rsidR="00D951E1" w:rsidRPr="00C30130" w:rsidRDefault="00D951E1">
      <w:pPr>
        <w:rPr>
          <w:rFonts w:ascii="Verdana" w:hAnsi="Verdana"/>
          <w:i/>
          <w:color w:val="000000"/>
          <w:sz w:val="23"/>
          <w:szCs w:val="23"/>
          <w:highlight w:val="yellow"/>
          <w:shd w:val="clear" w:color="auto" w:fill="FFFFFF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  <w:shd w:val="clear" w:color="auto" w:fill="FFFFFF"/>
        </w:rPr>
        <w:t>Un contrato es un pacto legal que se concreta entre dos o más partes, cuyo cumplimiento es de carácter obligatorio. En este documento se declara un acuerdo de voluntades entre los actores involucrados.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Los contratos pueden implicar acuerdos sobre derechos familiares o patrimoniales, como por ejemplo los contratos de compraventa, o los contratos por relaciones laborales.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La legislación de cada país establece una serie de requisitos que validan el contenido de los contratos. Sin embargo, a grosso modo los elementos de validez de un contrato son muy similares.</w:t>
      </w:r>
    </w:p>
    <w:p w:rsidR="00D951E1" w:rsidRPr="00C30130" w:rsidRDefault="00D951E1">
      <w:pPr>
        <w:rPr>
          <w:highlight w:val="yellow"/>
        </w:rPr>
      </w:pPr>
    </w:p>
    <w:p w:rsidR="00EE1F8F" w:rsidRPr="00C30130" w:rsidRDefault="00EE1F8F">
      <w:pPr>
        <w:rPr>
          <w:highlight w:val="yellow"/>
        </w:rPr>
      </w:pPr>
      <w:r w:rsidRPr="00C30130">
        <w:rPr>
          <w:highlight w:val="yellow"/>
        </w:rPr>
        <w:t>Condiciones para validez de los contratos</w:t>
      </w:r>
    </w:p>
    <w:p w:rsidR="00D951E1" w:rsidRPr="00C30130" w:rsidRDefault="00D951E1">
      <w:pPr>
        <w:rPr>
          <w:rFonts w:ascii="Verdana" w:hAnsi="Verdana"/>
          <w:i/>
          <w:color w:val="000000"/>
          <w:sz w:val="23"/>
          <w:szCs w:val="23"/>
          <w:highlight w:val="yellow"/>
          <w:shd w:val="clear" w:color="auto" w:fill="FFFFFF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  <w:shd w:val="clear" w:color="auto" w:fill="FFFFFF"/>
        </w:rPr>
        <w:lastRenderedPageBreak/>
        <w:t>Los </w:t>
      </w:r>
      <w:r w:rsidRPr="00C30130">
        <w:rPr>
          <w:rStyle w:val="Strong"/>
          <w:rFonts w:ascii="Verdana" w:hAnsi="Verdana"/>
          <w:i/>
          <w:color w:val="000000"/>
          <w:sz w:val="23"/>
          <w:szCs w:val="23"/>
          <w:highlight w:val="yellow"/>
          <w:shd w:val="clear" w:color="auto" w:fill="FFFFFF"/>
        </w:rPr>
        <w:t>elementos de validez del contrato</w:t>
      </w:r>
      <w:r w:rsidRPr="00C30130">
        <w:rPr>
          <w:rFonts w:ascii="Verdana" w:hAnsi="Verdana"/>
          <w:i/>
          <w:color w:val="000000"/>
          <w:sz w:val="23"/>
          <w:szCs w:val="23"/>
          <w:highlight w:val="yellow"/>
          <w:shd w:val="clear" w:color="auto" w:fill="FFFFFF"/>
        </w:rPr>
        <w:t> son la capacidad legal, ausencia de vicios en el consentimiento, objeto lícito y causa lícita del contrato.</w:t>
      </w:r>
    </w:p>
    <w:p w:rsidR="00D951E1" w:rsidRPr="00D951E1" w:rsidRDefault="00D951E1" w:rsidP="00D951E1">
      <w:pPr>
        <w:shd w:val="clear" w:color="auto" w:fill="FFFFFF"/>
        <w:spacing w:before="405" w:after="255" w:line="450" w:lineRule="atLeast"/>
        <w:jc w:val="both"/>
        <w:outlineLvl w:val="2"/>
        <w:rPr>
          <w:rFonts w:ascii="Arial" w:eastAsia="Times New Roman" w:hAnsi="Arial" w:cs="Arial"/>
          <w:i/>
          <w:color w:val="111111"/>
          <w:sz w:val="33"/>
          <w:szCs w:val="33"/>
          <w:highlight w:val="yellow"/>
          <w:lang w:eastAsia="es-DO"/>
        </w:rPr>
      </w:pPr>
      <w:r w:rsidRPr="00C30130">
        <w:rPr>
          <w:rFonts w:ascii="Arial" w:eastAsia="Times New Roman" w:hAnsi="Arial" w:cs="Arial"/>
          <w:b/>
          <w:bCs/>
          <w:i/>
          <w:color w:val="000000"/>
          <w:sz w:val="33"/>
          <w:szCs w:val="33"/>
          <w:highlight w:val="yellow"/>
          <w:lang w:eastAsia="es-DO"/>
        </w:rPr>
        <w:t>Capacidad legal</w:t>
      </w:r>
    </w:p>
    <w:p w:rsidR="00D951E1" w:rsidRPr="00D951E1" w:rsidRDefault="00D951E1" w:rsidP="00D951E1">
      <w:pPr>
        <w:shd w:val="clear" w:color="auto" w:fill="FFFFFF"/>
        <w:spacing w:after="390" w:line="390" w:lineRule="atLeast"/>
        <w:jc w:val="both"/>
        <w:rPr>
          <w:rFonts w:ascii="Verdana" w:eastAsia="Times New Roman" w:hAnsi="Verdana" w:cs="Times New Roman"/>
          <w:i/>
          <w:color w:val="222222"/>
          <w:sz w:val="23"/>
          <w:szCs w:val="23"/>
          <w:highlight w:val="yellow"/>
          <w:lang w:eastAsia="es-DO"/>
        </w:rPr>
      </w:pPr>
      <w:r w:rsidRPr="00D951E1">
        <w:rPr>
          <w:rFonts w:ascii="Verdana" w:eastAsia="Times New Roman" w:hAnsi="Verdana" w:cs="Times New Roman"/>
          <w:i/>
          <w:color w:val="000000"/>
          <w:sz w:val="23"/>
          <w:szCs w:val="23"/>
          <w:highlight w:val="yellow"/>
          <w:lang w:eastAsia="es-DO"/>
        </w:rPr>
        <w:t>Se refiere a la aptitud jurídica que tiene un individuo para ser sujeto de derechos y obligaciones. En otras palabras, se entiende como la capacidad de goce y de ejercicio, desde el punto de vista de la ley.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Este aspecto puede variar en cada país, sobre todo en lo que se refiere a las personas enjuiciadas, extranjeros con capacidad restringida (casos especiales), instituciones benéficas, etc.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Los menores de edad no son capaces de ejercicio, así como las personas mayores de edad con algún tipo de discapacidad intelectual, motriz, sensorial o emocional.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Este grupo de personas debe contar con un representante legal que vele por el ejercicio de sus derechos.</w:t>
      </w:r>
    </w:p>
    <w:p w:rsidR="00D951E1" w:rsidRPr="00C30130" w:rsidRDefault="00D951E1" w:rsidP="00D951E1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rFonts w:ascii="Arial" w:hAnsi="Arial" w:cs="Arial"/>
          <w:b w:val="0"/>
          <w:bCs w:val="0"/>
          <w:i/>
          <w:color w:val="111111"/>
          <w:sz w:val="33"/>
          <w:szCs w:val="33"/>
          <w:highlight w:val="yellow"/>
        </w:rPr>
      </w:pPr>
      <w:r w:rsidRPr="00C30130">
        <w:rPr>
          <w:rStyle w:val="Strong"/>
          <w:rFonts w:ascii="Arial" w:hAnsi="Arial" w:cs="Arial"/>
          <w:b/>
          <w:bCs/>
          <w:i/>
          <w:color w:val="000000"/>
          <w:sz w:val="33"/>
          <w:szCs w:val="33"/>
          <w:highlight w:val="yellow"/>
        </w:rPr>
        <w:t>Ausencia de vicios en el consentimiento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Para que un contrato sea válido no deben existir vicios en el consentimiento. Este tipo de inconvenientes viene dado por errores de nulidad, violencia o dolo.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Los errores de nulidad son concepciones erradas que sobresalen a la luz del contrato. En ese sentido, se definen los términos del acuerdo según malentendidos entre las partes, o definiciones equivocadas en el contrato.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La violencia también es considerada como un vicio en el consentimiento. Siempre que el libre albedrío de las partes se vea coaccionado por el empleo de la fuerza física o de amenazas, el contrato pierde validez.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lastRenderedPageBreak/>
        <w:t>Por su parte, el dolo es cualquier medio fraudulento utilizado con la intención de perjudicar, estafar, confundir o engañar deliberadamente a la contraparte, al momento de firmar un contrato.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3"/>
          <w:szCs w:val="23"/>
          <w:highlight w:val="yellow"/>
        </w:rPr>
      </w:pPr>
      <w:r w:rsidRPr="00C30130">
        <w:rPr>
          <w:rFonts w:ascii="Verdana" w:hAnsi="Verdana"/>
          <w:i/>
          <w:color w:val="000000"/>
          <w:sz w:val="23"/>
          <w:szCs w:val="23"/>
          <w:highlight w:val="yellow"/>
        </w:rPr>
        <w:t>Éste último consiste en un acto de mala fe con premeditación, y también es considerado como un vicio en el consentimiento.</w:t>
      </w:r>
    </w:p>
    <w:p w:rsidR="00D951E1" w:rsidRPr="00C30130" w:rsidRDefault="00D951E1" w:rsidP="00D951E1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rFonts w:ascii="Arial" w:hAnsi="Arial" w:cs="Arial"/>
          <w:b w:val="0"/>
          <w:bCs w:val="0"/>
          <w:i/>
          <w:color w:val="111111"/>
          <w:sz w:val="20"/>
          <w:szCs w:val="20"/>
          <w:highlight w:val="yellow"/>
        </w:rPr>
      </w:pPr>
      <w:r w:rsidRPr="00C30130">
        <w:rPr>
          <w:rStyle w:val="Strong"/>
          <w:rFonts w:ascii="Arial" w:hAnsi="Arial" w:cs="Arial"/>
          <w:b/>
          <w:bCs/>
          <w:i/>
          <w:color w:val="000000"/>
          <w:sz w:val="20"/>
          <w:szCs w:val="20"/>
          <w:highlight w:val="yellow"/>
        </w:rPr>
        <w:t>Objeto lícito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0"/>
          <w:szCs w:val="20"/>
          <w:highlight w:val="yellow"/>
        </w:rPr>
      </w:pPr>
      <w:r w:rsidRPr="00C30130">
        <w:rPr>
          <w:rFonts w:ascii="Verdana" w:hAnsi="Verdana"/>
          <w:i/>
          <w:color w:val="000000"/>
          <w:sz w:val="20"/>
          <w:szCs w:val="20"/>
          <w:highlight w:val="yellow"/>
        </w:rPr>
        <w:t>El objeto de un contrato es el bien material sobre el cual se realiza el contrato. Por ejemplo: si se trata de un contrato de compraventa de un vehículo, el objeto del contrato será el automóvil en cuestión.</w:t>
      </w:r>
    </w:p>
    <w:p w:rsidR="00D951E1" w:rsidRPr="00C30130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0"/>
          <w:szCs w:val="20"/>
          <w:highlight w:val="yellow"/>
        </w:rPr>
      </w:pPr>
      <w:r w:rsidRPr="00C30130">
        <w:rPr>
          <w:rFonts w:ascii="Verdana" w:hAnsi="Verdana"/>
          <w:i/>
          <w:color w:val="000000"/>
          <w:sz w:val="20"/>
          <w:szCs w:val="20"/>
          <w:highlight w:val="yellow"/>
        </w:rPr>
        <w:t>El acto jurídico versa sobre el objeto del contrato, y el origen de este objeto debe ser lícito, es decir, debe estar dentro del marco de la ley.</w:t>
      </w:r>
    </w:p>
    <w:p w:rsidR="00D951E1" w:rsidRPr="00C30130" w:rsidRDefault="00D951E1" w:rsidP="004E5D24">
      <w:pPr>
        <w:pStyle w:val="Heading3"/>
        <w:shd w:val="clear" w:color="auto" w:fill="FFFFFF"/>
        <w:spacing w:before="405" w:beforeAutospacing="0" w:after="255" w:afterAutospacing="0" w:line="450" w:lineRule="atLeast"/>
        <w:jc w:val="both"/>
        <w:rPr>
          <w:rFonts w:ascii="Verdana" w:hAnsi="Verdana"/>
          <w:b w:val="0"/>
          <w:bCs w:val="0"/>
          <w:i/>
          <w:color w:val="222222"/>
          <w:sz w:val="20"/>
          <w:szCs w:val="20"/>
          <w:highlight w:val="yellow"/>
        </w:rPr>
      </w:pPr>
      <w:r w:rsidRPr="00C30130">
        <w:rPr>
          <w:rStyle w:val="Strong"/>
          <w:rFonts w:ascii="Arial" w:hAnsi="Arial" w:cs="Arial"/>
          <w:b/>
          <w:bCs/>
          <w:i/>
          <w:color w:val="000000"/>
          <w:sz w:val="20"/>
          <w:szCs w:val="20"/>
          <w:highlight w:val="yellow"/>
        </w:rPr>
        <w:t>Causa lícita</w:t>
      </w:r>
      <w:r w:rsidR="004E5D24" w:rsidRPr="00C30130">
        <w:rPr>
          <w:rStyle w:val="Strong"/>
          <w:rFonts w:ascii="Arial" w:hAnsi="Arial" w:cs="Arial"/>
          <w:b/>
          <w:bCs/>
          <w:i/>
          <w:color w:val="000000"/>
          <w:sz w:val="20"/>
          <w:szCs w:val="20"/>
          <w:highlight w:val="yellow"/>
        </w:rPr>
        <w:t xml:space="preserve">: </w:t>
      </w:r>
      <w:r w:rsidRPr="00C30130">
        <w:rPr>
          <w:rFonts w:ascii="Verdana" w:hAnsi="Verdana"/>
          <w:i/>
          <w:color w:val="000000"/>
          <w:sz w:val="20"/>
          <w:szCs w:val="20"/>
          <w:highlight w:val="yellow"/>
        </w:rPr>
        <w:t>Se entiende como el propósito o la finalidad del contrato. Por ejemplo: en un contrato laboral, la causa del contrato radica en delimitar los términos de la relación entre el trabajador y el patrono.</w:t>
      </w:r>
    </w:p>
    <w:p w:rsidR="00D951E1" w:rsidRPr="001E3367" w:rsidRDefault="00D951E1" w:rsidP="00D951E1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="Verdana" w:hAnsi="Verdana"/>
          <w:i/>
          <w:color w:val="222222"/>
          <w:sz w:val="20"/>
          <w:szCs w:val="20"/>
        </w:rPr>
      </w:pPr>
      <w:r w:rsidRPr="00C30130">
        <w:rPr>
          <w:rFonts w:ascii="Verdana" w:hAnsi="Verdana"/>
          <w:i/>
          <w:color w:val="000000"/>
          <w:sz w:val="20"/>
          <w:szCs w:val="20"/>
          <w:highlight w:val="yellow"/>
        </w:rPr>
        <w:t>Análogo al caso anterior, la causa del contrato debe ser cónsona con las restricciones de ley. De lo contrario, el contrato no tendrá validez alguna.</w:t>
      </w:r>
    </w:p>
    <w:p w:rsidR="00D951E1" w:rsidRDefault="00D951E1"/>
    <w:p w:rsidR="006730B2" w:rsidRDefault="006730B2">
      <w:pPr>
        <w:rPr>
          <w:rFonts w:ascii="AvenirLTStd-Light" w:hAnsi="AvenirLTStd-Light"/>
          <w:color w:val="242021"/>
          <w:sz w:val="24"/>
          <w:szCs w:val="24"/>
        </w:rPr>
      </w:pPr>
      <w:r w:rsidRPr="006730B2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t>De asesoría</w:t>
      </w:r>
      <w:r w:rsidRPr="006730B2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br/>
      </w:r>
      <w:r w:rsidRPr="006730B2">
        <w:rPr>
          <w:rFonts w:ascii="AvenirLTStd-Light" w:hAnsi="AvenirLTStd-Light"/>
          <w:color w:val="242021"/>
          <w:sz w:val="24"/>
          <w:szCs w:val="24"/>
        </w:rPr>
        <w:t>Un contrato de asesoría, en que en que el asesor no trabaja en el local de la empresa</w:t>
      </w:r>
      <w:r w:rsidRPr="006730B2">
        <w:rPr>
          <w:rFonts w:ascii="AvenirLTStd-Light" w:hAnsi="AvenirLTStd-Light"/>
          <w:color w:val="242021"/>
        </w:rPr>
        <w:br/>
      </w:r>
      <w:r w:rsidRPr="006730B2">
        <w:rPr>
          <w:rFonts w:ascii="AvenirLTStd-Light" w:hAnsi="AvenirLTStd-Light"/>
          <w:color w:val="242021"/>
          <w:sz w:val="24"/>
          <w:szCs w:val="24"/>
        </w:rPr>
        <w:t>ni actúa en subordinación frente a ésa, no es un contrato de trabajo (febrero 1999, B. J. 1059,</w:t>
      </w:r>
      <w:r w:rsidRPr="006730B2">
        <w:rPr>
          <w:rFonts w:ascii="AvenirLTStd-Light" w:hAnsi="AvenirLTStd-Light"/>
          <w:color w:val="242021"/>
        </w:rPr>
        <w:br/>
      </w:r>
      <w:r w:rsidRPr="006730B2">
        <w:rPr>
          <w:rFonts w:ascii="AvenirLTStd-Light" w:hAnsi="AvenirLTStd-Light"/>
          <w:color w:val="242021"/>
          <w:sz w:val="24"/>
          <w:szCs w:val="24"/>
        </w:rPr>
        <w:t>Vol. I, pág. 562). No. 66, Ter., mar. 2012, B.J. 1216.</w:t>
      </w:r>
    </w:p>
    <w:p w:rsidR="00FF0BC8" w:rsidRDefault="00FF0BC8">
      <w:r>
        <w:rPr>
          <w:rStyle w:val="fontstyle01"/>
        </w:rPr>
        <w:t>No es un contrato de trabajo el contrato denominado “Contrato de Asesoría”, basado en la Ley núm. 340-06 de fecha 18 de agosto del 2006, sobre Contrataciones de Bienes,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Obras, Servicios, Concesiones y leyes similares. No. 29, Ter., Sept. 2012, B.J. 1222.</w:t>
      </w:r>
    </w:p>
    <w:p w:rsidR="00181D24" w:rsidRDefault="00181D24">
      <w:pPr>
        <w:rPr>
          <w:rFonts w:ascii="Calibri-Bold" w:hAnsi="Calibri-Bold"/>
          <w:b/>
          <w:bCs/>
          <w:color w:val="242021"/>
          <w:sz w:val="28"/>
          <w:szCs w:val="28"/>
        </w:rPr>
      </w:pPr>
    </w:p>
    <w:p w:rsidR="00F111B0" w:rsidRDefault="00181D24">
      <w:r w:rsidRPr="00E725DA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lastRenderedPageBreak/>
        <w:t>Determinación de Responsabilidad M</w:t>
      </w:r>
      <w:r w:rsidRPr="00E725DA">
        <w:rPr>
          <w:rFonts w:ascii="Calibri-Bold" w:hAnsi="Calibri-Bold" w:hint="eastAsia"/>
          <w:b/>
          <w:bCs/>
          <w:color w:val="242021"/>
          <w:sz w:val="28"/>
          <w:szCs w:val="28"/>
          <w:highlight w:val="yellow"/>
        </w:rPr>
        <w:t>é</w:t>
      </w:r>
      <w:r w:rsidRPr="00E725DA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dica</w:t>
      </w:r>
      <w:r w:rsidR="00F111B0" w:rsidRPr="00E725DA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br/>
      </w:r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Para determinar la existencia de una relación contractual entre el Centro Médico y</w:t>
      </w:r>
      <w:r w:rsidR="00F111B0" w:rsidRPr="00E725DA">
        <w:rPr>
          <w:rFonts w:ascii="AvenirLTStd-Light" w:hAnsi="AvenirLTStd-Light"/>
          <w:color w:val="242021"/>
          <w:highlight w:val="yellow"/>
        </w:rPr>
        <w:br/>
      </w:r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la paciente, no se precisa de un contrato de servicio de salud por escrito. La vinculación</w:t>
      </w:r>
      <w:r w:rsidR="00F111B0" w:rsidRPr="00E725DA">
        <w:rPr>
          <w:rFonts w:ascii="AvenirLTStd-Light" w:hAnsi="AvenirLTStd-Light"/>
          <w:color w:val="242021"/>
          <w:highlight w:val="yellow"/>
        </w:rPr>
        <w:br/>
      </w:r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entre éstos se deriva desde el momento que el establecimiento clínico admite la paciente</w:t>
      </w:r>
      <w:r w:rsidR="00F111B0" w:rsidRPr="00E725DA">
        <w:rPr>
          <w:rFonts w:ascii="AvenirLTStd-Light" w:hAnsi="AvenirLTStd-Light"/>
          <w:color w:val="242021"/>
          <w:highlight w:val="yellow"/>
        </w:rPr>
        <w:br/>
      </w:r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en sus instalaciones. La responsabilidad civil que pueda generarse como consecuencia de</w:t>
      </w:r>
      <w:r w:rsidR="00F111B0" w:rsidRPr="00E725DA">
        <w:rPr>
          <w:rFonts w:ascii="AvenirLTStd-Light" w:hAnsi="AvenirLTStd-Light"/>
          <w:color w:val="242021"/>
          <w:highlight w:val="yellow"/>
        </w:rPr>
        <w:br/>
      </w:r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las inejecuciones de este contrato, prescribe a los dos años (art. 2273 de </w:t>
      </w:r>
      <w:proofErr w:type="spellStart"/>
      <w:proofErr w:type="gramStart"/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C.Civ</w:t>
      </w:r>
      <w:proofErr w:type="spellEnd"/>
      <w:proofErr w:type="gramEnd"/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.) No. 15, Pr.,</w:t>
      </w:r>
      <w:r w:rsidR="00F111B0" w:rsidRPr="00E725DA">
        <w:rPr>
          <w:rFonts w:ascii="AvenirLTStd-Light" w:hAnsi="AvenirLTStd-Light"/>
          <w:color w:val="242021"/>
          <w:highlight w:val="yellow"/>
        </w:rPr>
        <w:br/>
      </w:r>
      <w:r w:rsidR="00F111B0" w:rsidRPr="00E725DA">
        <w:rPr>
          <w:rFonts w:ascii="AvenirLTStd-Light" w:hAnsi="AvenirLTStd-Light"/>
          <w:color w:val="242021"/>
          <w:sz w:val="24"/>
          <w:szCs w:val="24"/>
          <w:highlight w:val="yellow"/>
        </w:rPr>
        <w:t>Sept. 2012, B.J. 1222</w:t>
      </w:r>
    </w:p>
    <w:p w:rsidR="00B9527D" w:rsidRDefault="00E725DA">
      <w:proofErr w:type="gramStart"/>
      <w:r w:rsidRPr="007F4626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Procede Reclamación en caso de incendio siendo inquilino?</w:t>
      </w:r>
      <w:proofErr w:type="gramEnd"/>
      <w:r w:rsidR="00B9527D" w:rsidRPr="007F4626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br/>
      </w:r>
      <w:r w:rsidR="00B9527D" w:rsidRPr="007F4626">
        <w:rPr>
          <w:rFonts w:ascii="AvenirLTStd-Light" w:hAnsi="AvenirLTStd-Light"/>
          <w:color w:val="242021"/>
          <w:sz w:val="24"/>
          <w:szCs w:val="24"/>
          <w:highlight w:val="yellow"/>
        </w:rPr>
        <w:t>No es necesario ser propietario de un inmueble para reclamar indemnización por un</w:t>
      </w:r>
      <w:r w:rsidR="00B9527D" w:rsidRPr="007F4626">
        <w:rPr>
          <w:rFonts w:ascii="AvenirLTStd-Light" w:hAnsi="AvenirLTStd-Light"/>
          <w:color w:val="242021"/>
          <w:highlight w:val="yellow"/>
        </w:rPr>
        <w:br/>
      </w:r>
      <w:r w:rsidR="00B9527D" w:rsidRPr="007F4626">
        <w:rPr>
          <w:rFonts w:ascii="AvenirLTStd-Light" w:hAnsi="AvenirLTStd-Light"/>
          <w:color w:val="242021"/>
          <w:sz w:val="24"/>
          <w:szCs w:val="24"/>
          <w:highlight w:val="yellow"/>
        </w:rPr>
        <w:t>incendio causado por un cable de la empresa distribuidora. Si la demandante tiene calidad</w:t>
      </w:r>
      <w:r w:rsidR="00B9527D" w:rsidRPr="007F4626">
        <w:rPr>
          <w:rFonts w:ascii="AvenirLTStd-Light" w:hAnsi="AvenirLTStd-Light"/>
          <w:color w:val="242021"/>
          <w:highlight w:val="yellow"/>
        </w:rPr>
        <w:br/>
      </w:r>
      <w:r w:rsidR="00B9527D" w:rsidRPr="007F4626">
        <w:rPr>
          <w:rFonts w:ascii="AvenirLTStd-Light" w:hAnsi="AvenirLTStd-Light"/>
          <w:color w:val="242021"/>
          <w:sz w:val="24"/>
          <w:szCs w:val="24"/>
          <w:highlight w:val="yellow"/>
        </w:rPr>
        <w:t>para solicitar el servicio de electricidad, tiene también calidad para reclamar los daños derivados de este suministro. No. 54, Pr., Sept. 2012, B.J. 1222.</w:t>
      </w:r>
    </w:p>
    <w:p w:rsidR="00470C9A" w:rsidRDefault="00470C9A">
      <w:r>
        <w:t xml:space="preserve">Que es </w:t>
      </w:r>
      <w:proofErr w:type="gramStart"/>
      <w:r>
        <w:t>el astreinte</w:t>
      </w:r>
      <w:proofErr w:type="gramEnd"/>
      <w:r>
        <w:t>:</w:t>
      </w:r>
    </w:p>
    <w:p w:rsidR="00470C9A" w:rsidRDefault="00F117D8">
      <w:pPr>
        <w:rPr>
          <w:rStyle w:val="fontstyle01"/>
        </w:rPr>
      </w:pPr>
      <w:r>
        <w:rPr>
          <w:rStyle w:val="fontstyle01"/>
        </w:rPr>
        <w:t xml:space="preserve">Los jueces tienen la facultad discrecional de pronunciar </w:t>
      </w:r>
      <w:proofErr w:type="gramStart"/>
      <w:r>
        <w:rPr>
          <w:rStyle w:val="fontstyle01"/>
        </w:rPr>
        <w:t>el astreinte</w:t>
      </w:r>
      <w:proofErr w:type="gramEnd"/>
      <w:r>
        <w:rPr>
          <w:rStyle w:val="fontstyle01"/>
        </w:rPr>
        <w:t xml:space="preserve"> en virtud de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su “</w:t>
      </w:r>
      <w:proofErr w:type="spellStart"/>
      <w:r>
        <w:rPr>
          <w:rStyle w:val="fontstyle01"/>
        </w:rPr>
        <w:t>imperium</w:t>
      </w:r>
      <w:proofErr w:type="spellEnd"/>
      <w:r>
        <w:rPr>
          <w:rStyle w:val="fontstyle01"/>
        </w:rPr>
        <w:t>”, y éste por su carácter provisional constituye una condenación pecuniaria,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 xml:space="preserve">accesoria y eventual, que no tiene </w:t>
      </w:r>
      <w:proofErr w:type="spellStart"/>
      <w:r>
        <w:rPr>
          <w:rStyle w:val="fontstyle01"/>
        </w:rPr>
        <w:t>fnes</w:t>
      </w:r>
      <w:proofErr w:type="spellEnd"/>
      <w:r>
        <w:rPr>
          <w:rStyle w:val="fontstyle01"/>
        </w:rPr>
        <w:t xml:space="preserve"> indemnizatorios sino, forzar mediante un acto de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autoridad la ejecución, en caso de retardo, de lo dispuesto por una sentencia. La astreinte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 xml:space="preserve">es susceptible de ser eliminada si el deudor cumple con la obligación. No. 59, Pr., </w:t>
      </w:r>
      <w:proofErr w:type="gramStart"/>
      <w:r>
        <w:rPr>
          <w:rStyle w:val="fontstyle01"/>
        </w:rPr>
        <w:t>Abr.</w:t>
      </w:r>
      <w:proofErr w:type="gramEnd"/>
      <w:r>
        <w:rPr>
          <w:rStyle w:val="fontstyle01"/>
        </w:rPr>
        <w:t xml:space="preserve"> 2012,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B.J. 1217</w:t>
      </w:r>
    </w:p>
    <w:p w:rsidR="00C64C91" w:rsidRPr="00921C60" w:rsidRDefault="00C64C91">
      <w:pPr>
        <w:rPr>
          <w:highlight w:val="yellow"/>
        </w:rPr>
      </w:pPr>
      <w:r w:rsidRPr="00921C60">
        <w:rPr>
          <w:highlight w:val="yellow"/>
        </w:rPr>
        <w:t xml:space="preserve">Demanda de cobro de pesos en </w:t>
      </w:r>
      <w:r w:rsidR="00DC03B8" w:rsidRPr="00921C60">
        <w:rPr>
          <w:highlight w:val="yellow"/>
        </w:rPr>
        <w:t>cesión</w:t>
      </w:r>
      <w:r w:rsidRPr="00921C60">
        <w:rPr>
          <w:highlight w:val="yellow"/>
        </w:rPr>
        <w:t xml:space="preserve"> de crédito.</w:t>
      </w:r>
    </w:p>
    <w:p w:rsidR="00C64C91" w:rsidRDefault="00C64C91">
      <w:pPr>
        <w:rPr>
          <w:rStyle w:val="fontstyle01"/>
        </w:rPr>
      </w:pPr>
      <w:r w:rsidRPr="00921C60">
        <w:rPr>
          <w:rStyle w:val="fontstyle01"/>
          <w:highlight w:val="yellow"/>
        </w:rPr>
        <w:t xml:space="preserve">La </w:t>
      </w:r>
      <w:proofErr w:type="spellStart"/>
      <w:r w:rsidRPr="00921C60">
        <w:rPr>
          <w:rStyle w:val="fontstyle01"/>
          <w:highlight w:val="yellow"/>
        </w:rPr>
        <w:t>notifcación</w:t>
      </w:r>
      <w:proofErr w:type="spellEnd"/>
      <w:r w:rsidRPr="00921C60">
        <w:rPr>
          <w:rStyle w:val="fontstyle01"/>
          <w:highlight w:val="yellow"/>
        </w:rPr>
        <w:t xml:space="preserve"> de la cesión de crédito es un requisito sine qua non para la interposición de la demanda en cobro de pesos fundamentada en un crédito cedido, ya que hasta</w:t>
      </w:r>
      <w:r w:rsidRPr="00921C60">
        <w:rPr>
          <w:rFonts w:ascii="AvenirLTStd-Light" w:hAnsi="AvenirLTStd-Light"/>
          <w:color w:val="242021"/>
          <w:highlight w:val="yellow"/>
        </w:rPr>
        <w:br/>
      </w:r>
      <w:r w:rsidRPr="00921C60">
        <w:rPr>
          <w:rStyle w:val="fontstyle01"/>
          <w:highlight w:val="yellow"/>
        </w:rPr>
        <w:t xml:space="preserve">tanto el cesionario no haya hecho </w:t>
      </w:r>
      <w:proofErr w:type="spellStart"/>
      <w:r w:rsidRPr="00921C60">
        <w:rPr>
          <w:rStyle w:val="fontstyle01"/>
          <w:highlight w:val="yellow"/>
        </w:rPr>
        <w:t>notifcar</w:t>
      </w:r>
      <w:proofErr w:type="spellEnd"/>
      <w:r w:rsidRPr="00921C60">
        <w:rPr>
          <w:rStyle w:val="fontstyle01"/>
          <w:highlight w:val="yellow"/>
        </w:rPr>
        <w:t xml:space="preserve"> la transmisión del crédito al deudor, el cedente</w:t>
      </w:r>
      <w:r w:rsidRPr="00921C60">
        <w:rPr>
          <w:rFonts w:ascii="AvenirLTStd-Light" w:hAnsi="AvenirLTStd-Light"/>
          <w:color w:val="242021"/>
          <w:highlight w:val="yellow"/>
        </w:rPr>
        <w:br/>
      </w:r>
      <w:r w:rsidRPr="00921C60">
        <w:rPr>
          <w:rStyle w:val="fontstyle01"/>
          <w:highlight w:val="yellow"/>
        </w:rPr>
        <w:t xml:space="preserve">no es desposeído del crédito que ha transmitido (art. 1690 del </w:t>
      </w:r>
      <w:proofErr w:type="spellStart"/>
      <w:proofErr w:type="gramStart"/>
      <w:r w:rsidRPr="00921C60">
        <w:rPr>
          <w:rStyle w:val="fontstyle01"/>
          <w:highlight w:val="yellow"/>
        </w:rPr>
        <w:t>C.Civ</w:t>
      </w:r>
      <w:proofErr w:type="spellEnd"/>
      <w:proofErr w:type="gramEnd"/>
      <w:r w:rsidRPr="00921C60">
        <w:rPr>
          <w:rStyle w:val="fontstyle01"/>
          <w:highlight w:val="yellow"/>
        </w:rPr>
        <w:t>.) No. 46, Pr., Ene. 2012,</w:t>
      </w:r>
      <w:r w:rsidRPr="00921C60">
        <w:rPr>
          <w:rFonts w:ascii="AvenirLTStd-Light" w:hAnsi="AvenirLTStd-Light"/>
          <w:color w:val="242021"/>
          <w:highlight w:val="yellow"/>
        </w:rPr>
        <w:br/>
      </w:r>
      <w:r w:rsidRPr="00921C60">
        <w:rPr>
          <w:rStyle w:val="fontstyle01"/>
          <w:highlight w:val="yellow"/>
        </w:rPr>
        <w:t>B.J. 1214.</w:t>
      </w:r>
    </w:p>
    <w:p w:rsidR="004C0639" w:rsidRDefault="007F4626">
      <w:proofErr w:type="spellStart"/>
      <w:r w:rsidRPr="00DC03B8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Cual</w:t>
      </w:r>
      <w:proofErr w:type="spellEnd"/>
      <w:r w:rsidRPr="00DC03B8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 es la Fecha Cierta </w:t>
      </w:r>
      <w:r w:rsidR="004C0639" w:rsidRPr="00DC03B8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para </w:t>
      </w:r>
      <w:r w:rsidRPr="00DC03B8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actos</w:t>
      </w:r>
      <w:r w:rsidR="004C0639" w:rsidRPr="00DC03B8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 bajo firma privada</w:t>
      </w:r>
      <w:r w:rsidRPr="00DC03B8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?</w:t>
      </w:r>
      <w:r w:rsidR="004C0639" w:rsidRPr="00DC03B8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br/>
      </w:r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La regla relativa al registro de los actos bajo </w:t>
      </w:r>
      <w:proofErr w:type="spellStart"/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frma</w:t>
      </w:r>
      <w:proofErr w:type="spellEnd"/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privada, en cuya </w:t>
      </w:r>
      <w:proofErr w:type="spellStart"/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clasifcación</w:t>
      </w:r>
      <w:proofErr w:type="spellEnd"/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entran</w:t>
      </w:r>
      <w:r w:rsidR="004C0639" w:rsidRPr="00DC03B8">
        <w:rPr>
          <w:rFonts w:ascii="AvenirLTStd-Light" w:hAnsi="AvenirLTStd-Light"/>
          <w:color w:val="242021"/>
          <w:highlight w:val="yellow"/>
        </w:rPr>
        <w:br/>
      </w:r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los recibos y descargos (art. 1328 del </w:t>
      </w:r>
      <w:proofErr w:type="spellStart"/>
      <w:proofErr w:type="gramStart"/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C.Civ</w:t>
      </w:r>
      <w:proofErr w:type="spellEnd"/>
      <w:proofErr w:type="gramEnd"/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.), es para otorgar fecha cierta al documento, pero</w:t>
      </w:r>
      <w:r w:rsidR="00A858BF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no es aplicable cuando el recurrente no es un tercero en la factura que sirve de base al cobro</w:t>
      </w:r>
      <w:r w:rsidR="00A858BF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de que se trata. La exclusión solicitada por este último carece de fundamento y debe ser</w:t>
      </w:r>
      <w:r w:rsidR="00A858BF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="004C0639" w:rsidRPr="00DC03B8">
        <w:rPr>
          <w:rFonts w:ascii="AvenirLTStd-Light" w:hAnsi="AvenirLTStd-Light"/>
          <w:color w:val="242021"/>
          <w:sz w:val="24"/>
          <w:szCs w:val="24"/>
          <w:highlight w:val="yellow"/>
        </w:rPr>
        <w:t>desestimada. No. 16, Pr., Feb. 2012, B.J.1215.</w:t>
      </w:r>
    </w:p>
    <w:p w:rsidR="00EE1F8F" w:rsidRDefault="00EE1F8F"/>
    <w:p w:rsidR="00952A00" w:rsidRDefault="00952A00">
      <w:r w:rsidRPr="00322DF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>Responsabilidad contractual</w:t>
      </w:r>
      <w:r w:rsidRPr="00322DF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br/>
      </w:r>
      <w:r w:rsidRPr="00322DFE">
        <w:rPr>
          <w:rFonts w:ascii="AvenirLTStd-Light" w:hAnsi="AvenirLTStd-Light"/>
          <w:color w:val="242021"/>
          <w:sz w:val="24"/>
          <w:szCs w:val="24"/>
          <w:highlight w:val="yellow"/>
        </w:rPr>
        <w:t>En materia de responsabilidad contractual, basta con que se demuestre la inejecución o la ejecución defectuosa de la obligación por parte del deudor, para presumir a este</w:t>
      </w:r>
      <w:r w:rsidRPr="00322DFE">
        <w:rPr>
          <w:rFonts w:ascii="AvenirLTStd-Light" w:hAnsi="AvenirLTStd-Light"/>
          <w:color w:val="242021"/>
          <w:highlight w:val="yellow"/>
        </w:rPr>
        <w:br/>
      </w:r>
      <w:r w:rsidRPr="00322DFE">
        <w:rPr>
          <w:rFonts w:ascii="AvenirLTStd-Light" w:hAnsi="AvenirLTStd-Light"/>
          <w:color w:val="242021"/>
          <w:sz w:val="24"/>
          <w:szCs w:val="24"/>
          <w:highlight w:val="yellow"/>
        </w:rPr>
        <w:t>en falta y así comprometer su responsabilidad civil, salvo la posibilidad de probar una causa</w:t>
      </w:r>
      <w:r w:rsidRPr="00322DFE">
        <w:rPr>
          <w:rFonts w:ascii="AvenirLTStd-Light" w:hAnsi="AvenirLTStd-Light"/>
          <w:color w:val="242021"/>
          <w:highlight w:val="yellow"/>
        </w:rPr>
        <w:br/>
      </w:r>
      <w:r w:rsidRPr="00322DFE">
        <w:rPr>
          <w:rFonts w:ascii="AvenirLTStd-Light" w:hAnsi="AvenirLTStd-Light"/>
          <w:color w:val="242021"/>
          <w:sz w:val="24"/>
          <w:szCs w:val="24"/>
          <w:highlight w:val="yellow"/>
        </w:rPr>
        <w:lastRenderedPageBreak/>
        <w:t>extraña que no le sea imputable, como eximente o atenuante de esa responsabilidad. No.</w:t>
      </w:r>
      <w:r w:rsidRPr="00322DFE">
        <w:rPr>
          <w:rFonts w:ascii="AvenirLTStd-Light" w:hAnsi="AvenirLTStd-Light"/>
          <w:color w:val="242021"/>
          <w:highlight w:val="yellow"/>
        </w:rPr>
        <w:br/>
      </w:r>
      <w:r w:rsidRPr="00322DF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49, Pr., </w:t>
      </w:r>
      <w:proofErr w:type="gramStart"/>
      <w:r w:rsidRPr="00322DFE">
        <w:rPr>
          <w:rFonts w:ascii="AvenirLTStd-Light" w:hAnsi="AvenirLTStd-Light"/>
          <w:color w:val="242021"/>
          <w:sz w:val="24"/>
          <w:szCs w:val="24"/>
          <w:highlight w:val="yellow"/>
        </w:rPr>
        <w:t>Jun.</w:t>
      </w:r>
      <w:proofErr w:type="gramEnd"/>
      <w:r w:rsidRPr="00322DF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1219.</w:t>
      </w:r>
    </w:p>
    <w:p w:rsidR="006F0911" w:rsidRDefault="006F0911"/>
    <w:p w:rsidR="006F0911" w:rsidRDefault="006F0911"/>
    <w:p w:rsidR="00403D50" w:rsidRDefault="00403D50"/>
    <w:p w:rsidR="00403D50" w:rsidRDefault="00403D50"/>
    <w:p w:rsidR="006F0911" w:rsidRDefault="006F0911" w:rsidP="00083F5D">
      <w:pPr>
        <w:pStyle w:val="Title"/>
        <w:jc w:val="center"/>
      </w:pPr>
      <w:r>
        <w:t>Penal</w:t>
      </w:r>
    </w:p>
    <w:p w:rsidR="00083F5D" w:rsidRDefault="00083F5D"/>
    <w:p w:rsidR="00083F5D" w:rsidRPr="00851E85" w:rsidRDefault="00083F5D">
      <w:pPr>
        <w:rPr>
          <w:highlight w:val="yellow"/>
        </w:rPr>
      </w:pPr>
      <w:r w:rsidRPr="00851E85">
        <w:rPr>
          <w:highlight w:val="yellow"/>
        </w:rPr>
        <w:t>Elementos constitutivos del abuso de confianza</w:t>
      </w:r>
    </w:p>
    <w:p w:rsidR="00083F5D" w:rsidRDefault="00083F5D">
      <w:pPr>
        <w:rPr>
          <w:rStyle w:val="fontstyle01"/>
        </w:rPr>
      </w:pPr>
      <w:r w:rsidRPr="00851E85">
        <w:rPr>
          <w:rStyle w:val="fontstyle01"/>
          <w:highlight w:val="yellow"/>
        </w:rPr>
        <w:t xml:space="preserve">Los elementos constitutivos del delito de abuso de </w:t>
      </w:r>
      <w:proofErr w:type="spellStart"/>
      <w:r w:rsidRPr="00851E85">
        <w:rPr>
          <w:rStyle w:val="fontstyle01"/>
          <w:highlight w:val="yellow"/>
        </w:rPr>
        <w:t>confanza</w:t>
      </w:r>
      <w:proofErr w:type="spellEnd"/>
      <w:r w:rsidRPr="00851E85">
        <w:rPr>
          <w:rStyle w:val="fontstyle01"/>
          <w:highlight w:val="yellow"/>
        </w:rPr>
        <w:t xml:space="preserve"> son: la entrega de</w:t>
      </w:r>
      <w:r w:rsidRPr="00851E85">
        <w:rPr>
          <w:rFonts w:ascii="AvenirLTStd-Light" w:hAnsi="AvenirLTStd-Light"/>
          <w:color w:val="242021"/>
          <w:highlight w:val="yellow"/>
        </w:rPr>
        <w:br/>
      </w:r>
      <w:r w:rsidRPr="00851E85">
        <w:rPr>
          <w:rStyle w:val="fontstyle01"/>
          <w:highlight w:val="yellow"/>
        </w:rPr>
        <w:t xml:space="preserve">efectos capitales, mercancías, billetes, </w:t>
      </w:r>
      <w:proofErr w:type="spellStart"/>
      <w:r w:rsidRPr="00851E85">
        <w:rPr>
          <w:rStyle w:val="fontstyle01"/>
          <w:highlight w:val="yellow"/>
        </w:rPr>
        <w:t>fniquitos</w:t>
      </w:r>
      <w:proofErr w:type="spellEnd"/>
      <w:r w:rsidRPr="00851E85">
        <w:rPr>
          <w:rStyle w:val="fontstyle01"/>
          <w:highlight w:val="yellow"/>
        </w:rPr>
        <w:t xml:space="preserve"> o cualquier documento que contenga obligación o que opere descargo al imputado a título de mandato, depósito, alquiler, prenda,</w:t>
      </w:r>
      <w:r w:rsidRPr="00851E85">
        <w:rPr>
          <w:rStyle w:val="fontstyle01"/>
          <w:highlight w:val="yellow"/>
        </w:rPr>
        <w:t xml:space="preserve"> </w:t>
      </w:r>
      <w:r w:rsidRPr="00851E85">
        <w:rPr>
          <w:rStyle w:val="fontstyle01"/>
          <w:highlight w:val="yellow"/>
        </w:rPr>
        <w:t>préstamo a uso o comodato o para un trabajo, sujeto o no a remuneración, y el hecho de</w:t>
      </w:r>
      <w:r w:rsidRPr="00851E85">
        <w:rPr>
          <w:rStyle w:val="fontstyle01"/>
          <w:highlight w:val="yellow"/>
        </w:rPr>
        <w:t xml:space="preserve"> </w:t>
      </w:r>
      <w:r w:rsidRPr="00851E85">
        <w:rPr>
          <w:rStyle w:val="fontstyle01"/>
          <w:highlight w:val="yellow"/>
        </w:rPr>
        <w:t xml:space="preserve">distraer dicho objeto. No. 24, </w:t>
      </w:r>
      <w:proofErr w:type="spellStart"/>
      <w:r w:rsidRPr="00851E85">
        <w:rPr>
          <w:rStyle w:val="fontstyle01"/>
          <w:highlight w:val="yellow"/>
        </w:rPr>
        <w:t>Seg</w:t>
      </w:r>
      <w:proofErr w:type="spellEnd"/>
      <w:r w:rsidRPr="00851E85">
        <w:rPr>
          <w:rStyle w:val="fontstyle01"/>
          <w:highlight w:val="yellow"/>
        </w:rPr>
        <w:t>., May. 2012, B.J. 1218.</w:t>
      </w:r>
    </w:p>
    <w:p w:rsidR="00B45526" w:rsidRDefault="00B45526">
      <w:pPr>
        <w:rPr>
          <w:rStyle w:val="fontstyle01"/>
        </w:rPr>
      </w:pPr>
      <w:r>
        <w:rPr>
          <w:rStyle w:val="fontstyle01"/>
        </w:rPr>
        <w:t>Asesinato</w:t>
      </w:r>
    </w:p>
    <w:p w:rsidR="00B45526" w:rsidRDefault="00B45526">
      <w:pPr>
        <w:rPr>
          <w:rStyle w:val="fontstyle01"/>
        </w:rPr>
      </w:pPr>
      <w:r w:rsidRPr="00867F4D">
        <w:rPr>
          <w:rStyle w:val="fontstyle01"/>
          <w:highlight w:val="yellow"/>
        </w:rPr>
        <w:t xml:space="preserve">Para que la premeditación y asechanza se encuentren </w:t>
      </w:r>
      <w:proofErr w:type="spellStart"/>
      <w:r w:rsidRPr="00867F4D">
        <w:rPr>
          <w:rStyle w:val="fontstyle01"/>
          <w:highlight w:val="yellow"/>
        </w:rPr>
        <w:t>confguradas</w:t>
      </w:r>
      <w:proofErr w:type="spellEnd"/>
      <w:r w:rsidRPr="00867F4D">
        <w:rPr>
          <w:rStyle w:val="fontstyle01"/>
          <w:highlight w:val="yellow"/>
        </w:rPr>
        <w:t xml:space="preserve"> en el ilícito penal</w:t>
      </w:r>
      <w:r w:rsidRPr="00867F4D">
        <w:rPr>
          <w:rFonts w:ascii="AvenirLTStd-Light" w:hAnsi="AvenirLTStd-Light"/>
          <w:color w:val="242021"/>
          <w:highlight w:val="yellow"/>
        </w:rPr>
        <w:br/>
      </w:r>
      <w:r w:rsidRPr="00867F4D">
        <w:rPr>
          <w:rStyle w:val="fontstyle01"/>
          <w:highlight w:val="yellow"/>
        </w:rPr>
        <w:t xml:space="preserve">es necesario que quede demostrada, fuera de toda duda razonable, la intención del imputado de dar muerte a la occisa antes de la ocurrencia del hecho. No. 18, </w:t>
      </w:r>
      <w:proofErr w:type="spellStart"/>
      <w:r w:rsidRPr="00867F4D">
        <w:rPr>
          <w:rStyle w:val="fontstyle01"/>
          <w:highlight w:val="yellow"/>
        </w:rPr>
        <w:t>Seg</w:t>
      </w:r>
      <w:proofErr w:type="spellEnd"/>
      <w:r w:rsidRPr="00867F4D">
        <w:rPr>
          <w:rStyle w:val="fontstyle01"/>
          <w:highlight w:val="yellow"/>
        </w:rPr>
        <w:t>., Mar. 2012, B.J.</w:t>
      </w:r>
      <w:r w:rsidR="00FC71CA" w:rsidRPr="00867F4D">
        <w:rPr>
          <w:rStyle w:val="fontstyle01"/>
          <w:highlight w:val="yellow"/>
        </w:rPr>
        <w:t xml:space="preserve"> </w:t>
      </w:r>
      <w:r w:rsidRPr="00867F4D">
        <w:rPr>
          <w:rStyle w:val="fontstyle01"/>
          <w:highlight w:val="yellow"/>
        </w:rPr>
        <w:t>1216.</w:t>
      </w:r>
    </w:p>
    <w:p w:rsidR="00D1173E" w:rsidRDefault="00D1173E">
      <w:pPr>
        <w:rPr>
          <w:rStyle w:val="fontstyle01"/>
        </w:rPr>
      </w:pPr>
    </w:p>
    <w:p w:rsidR="00B65995" w:rsidRPr="00001C56" w:rsidRDefault="00B65995">
      <w:pPr>
        <w:rPr>
          <w:rStyle w:val="fontstyle01"/>
          <w:highlight w:val="yellow"/>
        </w:rPr>
      </w:pPr>
      <w:r w:rsidRPr="00001C56">
        <w:rPr>
          <w:rStyle w:val="fontstyle01"/>
          <w:highlight w:val="yellow"/>
        </w:rPr>
        <w:t>Derecho de Defensa:</w:t>
      </w:r>
    </w:p>
    <w:p w:rsidR="00381081" w:rsidRDefault="00B65995">
      <w:pPr>
        <w:rPr>
          <w:rStyle w:val="fontstyle01"/>
        </w:rPr>
      </w:pPr>
      <w:r w:rsidRPr="00001C56">
        <w:rPr>
          <w:rStyle w:val="fontstyle01"/>
          <w:highlight w:val="yellow"/>
        </w:rPr>
        <w:t>Una persona no puede estar en condiciones de defenderse sin haber recibido como</w:t>
      </w:r>
      <w:r w:rsidRPr="00001C56">
        <w:rPr>
          <w:rFonts w:ascii="AvenirLTStd-Light" w:hAnsi="AvenirLTStd-Light"/>
          <w:color w:val="242021"/>
          <w:highlight w:val="yellow"/>
        </w:rPr>
        <w:br/>
      </w:r>
      <w:r w:rsidRPr="00001C56">
        <w:rPr>
          <w:rStyle w:val="fontstyle01"/>
          <w:highlight w:val="yellow"/>
        </w:rPr>
        <w:t>indica la ley, copia de la demanda y los documentos que la sustentan o, en segundo grado,</w:t>
      </w:r>
      <w:r w:rsidRPr="00001C56">
        <w:rPr>
          <w:rFonts w:ascii="AvenirLTStd-Light" w:hAnsi="AvenirLTStd-Light"/>
          <w:color w:val="242021"/>
          <w:highlight w:val="yellow"/>
        </w:rPr>
        <w:br/>
      </w:r>
      <w:r w:rsidRPr="00001C56">
        <w:rPr>
          <w:rStyle w:val="fontstyle01"/>
          <w:highlight w:val="yellow"/>
        </w:rPr>
        <w:t>copia del escrito o instancia de apelación, con los medios en que se funda el recurso. Una</w:t>
      </w:r>
      <w:r w:rsidRPr="00001C56">
        <w:rPr>
          <w:rFonts w:ascii="AvenirLTStd-Light" w:hAnsi="AvenirLTStd-Light"/>
          <w:color w:val="242021"/>
          <w:highlight w:val="yellow"/>
        </w:rPr>
        <w:br/>
      </w:r>
      <w:r w:rsidRPr="00001C56">
        <w:rPr>
          <w:rStyle w:val="fontstyle01"/>
          <w:highlight w:val="yellow"/>
        </w:rPr>
        <w:t xml:space="preserve">citación a comparecer a audiencia resulta </w:t>
      </w:r>
      <w:proofErr w:type="spellStart"/>
      <w:r w:rsidRPr="00001C56">
        <w:rPr>
          <w:rStyle w:val="fontstyle01"/>
          <w:highlight w:val="yellow"/>
        </w:rPr>
        <w:t>insufciente</w:t>
      </w:r>
      <w:proofErr w:type="spellEnd"/>
      <w:r w:rsidRPr="00001C56">
        <w:rPr>
          <w:rStyle w:val="fontstyle01"/>
          <w:highlight w:val="yellow"/>
        </w:rPr>
        <w:t xml:space="preserve"> para salvaguardar el derecho de defensa. No. 51, Ter., May. 2012, B.J. 1218.</w:t>
      </w:r>
    </w:p>
    <w:p w:rsidR="00D1173E" w:rsidRDefault="00D1173E">
      <w:pPr>
        <w:rPr>
          <w:rFonts w:ascii="AvenirLTStd-Light" w:hAnsi="AvenirLTStd-Light"/>
          <w:color w:val="242021"/>
          <w:sz w:val="24"/>
          <w:szCs w:val="24"/>
        </w:rPr>
      </w:pPr>
      <w:r w:rsidRPr="00FC71CA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LEGÍTIMA DEFENSA</w:t>
      </w:r>
      <w:r w:rsidRPr="00FC71CA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br/>
      </w:r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>La legítima defensa está condicionada a los siguientes requerimientos: a) Una agresión actual e inminente; b) Una agresión injusta; c) La simultaneidad entre la agresión y la</w:t>
      </w:r>
      <w:r w:rsidR="00FC71CA" w:rsidRPr="00FC71CA">
        <w:rPr>
          <w:rFonts w:ascii="AvenirLTStd-Light" w:hAnsi="AvenirLTStd-Light"/>
          <w:color w:val="242021"/>
          <w:highlight w:val="yellow"/>
        </w:rPr>
        <w:br/>
      </w:r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defensa; y d) Proporcionalidad entre los medios de defensa y la agresión. Se </w:t>
      </w:r>
      <w:proofErr w:type="spellStart"/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>refere</w:t>
      </w:r>
      <w:proofErr w:type="spellEnd"/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a la vida</w:t>
      </w:r>
      <w:r w:rsidR="00FC71CA" w:rsidRPr="00FC71CA">
        <w:rPr>
          <w:rFonts w:ascii="AvenirLTStd-Light" w:hAnsi="AvenirLTStd-Light"/>
          <w:color w:val="242021"/>
          <w:highlight w:val="yellow"/>
        </w:rPr>
        <w:br/>
      </w:r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>e integridad física personal y de otros, no a la defensa de los animales del imputado. No. 26,</w:t>
      </w:r>
      <w:r w:rsidR="00FC71CA" w:rsidRPr="00FC71CA">
        <w:rPr>
          <w:rFonts w:ascii="AvenirLTStd-Light" w:hAnsi="AvenirLTStd-Light"/>
          <w:color w:val="242021"/>
          <w:highlight w:val="yellow"/>
        </w:rPr>
        <w:br/>
      </w:r>
      <w:proofErr w:type="spellStart"/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>Seg</w:t>
      </w:r>
      <w:proofErr w:type="spellEnd"/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., </w:t>
      </w:r>
      <w:proofErr w:type="gramStart"/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>Jun.</w:t>
      </w:r>
      <w:proofErr w:type="gramEnd"/>
      <w:r w:rsidR="00FC71CA" w:rsidRPr="00FC71CA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1218.</w:t>
      </w:r>
      <w:r w:rsidRPr="00FC71CA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t>Jur.</w:t>
      </w:r>
      <w:r w:rsidRPr="00D1173E">
        <w:rPr>
          <w:rFonts w:ascii="Calibri-Bold" w:hAnsi="Calibri-Bold"/>
          <w:b/>
          <w:bCs/>
          <w:color w:val="242021"/>
          <w:sz w:val="26"/>
          <w:szCs w:val="26"/>
        </w:rPr>
        <w:br/>
      </w:r>
    </w:p>
    <w:p w:rsidR="003A382B" w:rsidRDefault="003A382B">
      <w:r w:rsidRPr="003A382B">
        <w:rPr>
          <w:rFonts w:ascii="Calibri-Bold" w:hAnsi="Calibri-Bold"/>
          <w:b/>
          <w:bCs/>
          <w:color w:val="242021"/>
          <w:sz w:val="28"/>
          <w:szCs w:val="28"/>
        </w:rPr>
        <w:lastRenderedPageBreak/>
        <w:t>PREMEDITACIÓN</w:t>
      </w:r>
      <w:r w:rsidRPr="003A382B">
        <w:rPr>
          <w:rFonts w:ascii="Calibri-Bold" w:hAnsi="Calibri-Bold"/>
          <w:b/>
          <w:bCs/>
          <w:color w:val="242021"/>
          <w:sz w:val="28"/>
          <w:szCs w:val="28"/>
        </w:rPr>
        <w:br/>
      </w:r>
      <w:proofErr w:type="spellStart"/>
      <w:r w:rsidRPr="003A382B">
        <w:rPr>
          <w:rFonts w:ascii="Calibri-Bold" w:hAnsi="Calibri-Bold"/>
          <w:b/>
          <w:bCs/>
          <w:color w:val="242021"/>
          <w:sz w:val="26"/>
          <w:szCs w:val="26"/>
        </w:rPr>
        <w:t>Jur</w:t>
      </w:r>
      <w:proofErr w:type="spellEnd"/>
      <w:r w:rsidRPr="003A382B">
        <w:rPr>
          <w:rFonts w:ascii="Calibri-Bold" w:hAnsi="Calibri-Bold"/>
          <w:b/>
          <w:bCs/>
          <w:color w:val="242021"/>
          <w:sz w:val="26"/>
          <w:szCs w:val="26"/>
        </w:rPr>
        <w:t>.</w:t>
      </w:r>
      <w:r w:rsidRPr="003A382B">
        <w:rPr>
          <w:rFonts w:ascii="Calibri-Bold" w:hAnsi="Calibri-Bold"/>
          <w:b/>
          <w:bCs/>
          <w:color w:val="242021"/>
          <w:sz w:val="26"/>
          <w:szCs w:val="26"/>
        </w:rPr>
        <w:br/>
      </w:r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Constituyen actos preparatorios que conf</w:t>
      </w:r>
      <w:r w:rsidR="00FB1E7C"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i</w:t>
      </w:r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guran la premeditación y acechanza como</w:t>
      </w:r>
      <w:r w:rsidRPr="003778C8">
        <w:rPr>
          <w:rFonts w:ascii="AvenirLTStd-Light" w:hAnsi="AvenirLTStd-Light"/>
          <w:color w:val="242021"/>
          <w:highlight w:val="yellow"/>
        </w:rPr>
        <w:br/>
      </w:r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agravantes el hecho de obtener una sustancia corrosiva (‘‘ácido del diablo’’) y conservarla en</w:t>
      </w:r>
      <w:r w:rsidR="00FB1E7C"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su poder con la intención de utilizarla en un momento determinado. No. 23, </w:t>
      </w:r>
      <w:proofErr w:type="spellStart"/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Seg</w:t>
      </w:r>
      <w:proofErr w:type="spellEnd"/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., </w:t>
      </w:r>
      <w:proofErr w:type="gramStart"/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Oct.</w:t>
      </w:r>
      <w:proofErr w:type="gramEnd"/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</w:t>
      </w:r>
      <w:r w:rsidR="00FB1E7C"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3778C8">
        <w:rPr>
          <w:rFonts w:ascii="AvenirLTStd-Light" w:hAnsi="AvenirLTStd-Light"/>
          <w:color w:val="242021"/>
          <w:sz w:val="24"/>
          <w:szCs w:val="24"/>
          <w:highlight w:val="yellow"/>
        </w:rPr>
        <w:t>B.J. 1223.</w:t>
      </w:r>
    </w:p>
    <w:p w:rsidR="003A7F8B" w:rsidRDefault="003A7F8B" w:rsidP="003A7F8B">
      <w:pPr>
        <w:pStyle w:val="Title"/>
        <w:jc w:val="center"/>
      </w:pPr>
      <w:r>
        <w:t>Derecho Familia</w:t>
      </w:r>
    </w:p>
    <w:p w:rsidR="00DF7B8F" w:rsidRDefault="00DF7B8F">
      <w:pPr>
        <w:rPr>
          <w:rStyle w:val="fontstyle01"/>
        </w:rPr>
      </w:pPr>
      <w:r w:rsidRPr="00DF7B8F">
        <w:rPr>
          <w:rFonts w:ascii="Calibri-Bold" w:hAnsi="Calibri-Bold"/>
          <w:b/>
          <w:bCs/>
          <w:color w:val="242021"/>
          <w:sz w:val="28"/>
          <w:szCs w:val="28"/>
        </w:rPr>
        <w:t>CONCUBINATO</w:t>
      </w:r>
    </w:p>
    <w:p w:rsidR="00DF7B8F" w:rsidRDefault="00DF7B8F">
      <w:pPr>
        <w:rPr>
          <w:rStyle w:val="fontstyle01"/>
        </w:rPr>
      </w:pPr>
      <w:r w:rsidRPr="00832EA9">
        <w:rPr>
          <w:rStyle w:val="fontstyle01"/>
          <w:highlight w:val="yellow"/>
        </w:rPr>
        <w:t>La unión debe ser revestida de las características siguientes: a) una convivencia “more</w:t>
      </w:r>
      <w:r w:rsidRPr="00832EA9">
        <w:rPr>
          <w:rFonts w:ascii="AvenirLTStd-Light" w:hAnsi="AvenirLTStd-Light"/>
          <w:color w:val="242021"/>
          <w:highlight w:val="yellow"/>
        </w:rPr>
        <w:br/>
      </w:r>
      <w:proofErr w:type="spellStart"/>
      <w:r w:rsidRPr="00832EA9">
        <w:rPr>
          <w:rStyle w:val="fontstyle01"/>
          <w:highlight w:val="yellow"/>
        </w:rPr>
        <w:t>uxorio</w:t>
      </w:r>
      <w:proofErr w:type="spellEnd"/>
      <w:r w:rsidRPr="00832EA9">
        <w:rPr>
          <w:rStyle w:val="fontstyle01"/>
          <w:highlight w:val="yellow"/>
        </w:rPr>
        <w:t xml:space="preserve">”, o lo que es lo mismo, una </w:t>
      </w:r>
      <w:proofErr w:type="spellStart"/>
      <w:r w:rsidRPr="00832EA9">
        <w:rPr>
          <w:rStyle w:val="fontstyle01"/>
          <w:highlight w:val="yellow"/>
        </w:rPr>
        <w:t>identifcación</w:t>
      </w:r>
      <w:proofErr w:type="spellEnd"/>
      <w:r w:rsidRPr="00832EA9">
        <w:rPr>
          <w:rStyle w:val="fontstyle01"/>
          <w:highlight w:val="yellow"/>
        </w:rPr>
        <w:t xml:space="preserve"> con el modelo de convivencia desarrollado</w:t>
      </w:r>
      <w:r w:rsidRPr="00832EA9">
        <w:rPr>
          <w:rFonts w:ascii="AvenirLTStd-Light" w:hAnsi="AvenirLTStd-Light"/>
          <w:color w:val="242021"/>
          <w:highlight w:val="yellow"/>
        </w:rPr>
        <w:br/>
      </w:r>
      <w:r w:rsidRPr="00832EA9">
        <w:rPr>
          <w:rStyle w:val="fontstyle01"/>
          <w:highlight w:val="yellow"/>
        </w:rPr>
        <w:t>en los hogares de las familias fundadas en el matrimonio, lo que se traduce en una relación</w:t>
      </w:r>
      <w:r w:rsidRPr="00832EA9">
        <w:rPr>
          <w:rFonts w:ascii="AvenirLTStd-Light" w:hAnsi="AvenirLTStd-Light"/>
          <w:color w:val="242021"/>
          <w:highlight w:val="yellow"/>
        </w:rPr>
        <w:br/>
      </w:r>
      <w:r w:rsidRPr="00832EA9">
        <w:rPr>
          <w:rStyle w:val="fontstyle01"/>
          <w:highlight w:val="yellow"/>
        </w:rPr>
        <w:t>pública y notoria quedando excluidas las basadas en relaciones ocultas y secretas; b) ausencia de formalidad legal en la unión; c) una comunidad de vida familiar estable y duradera,</w:t>
      </w:r>
      <w:r w:rsidRPr="00832EA9">
        <w:rPr>
          <w:rFonts w:ascii="AvenirLTStd-Light" w:hAnsi="AvenirLTStd-Light"/>
          <w:color w:val="242021"/>
          <w:highlight w:val="yellow"/>
        </w:rPr>
        <w:br/>
      </w:r>
      <w:r w:rsidRPr="00832EA9">
        <w:rPr>
          <w:rStyle w:val="fontstyle01"/>
          <w:highlight w:val="yellow"/>
        </w:rPr>
        <w:t>con profundos lazos de afectividad; d) que la unión presente condiciones de singularidad,</w:t>
      </w:r>
      <w:r w:rsidR="00432849" w:rsidRPr="00832EA9">
        <w:rPr>
          <w:rStyle w:val="fontstyle01"/>
          <w:highlight w:val="yellow"/>
        </w:rPr>
        <w:t xml:space="preserve"> </w:t>
      </w:r>
      <w:r w:rsidR="00432849" w:rsidRPr="00832EA9">
        <w:rPr>
          <w:rStyle w:val="fontstyle01"/>
          <w:highlight w:val="yellow"/>
        </w:rPr>
        <w:t>es decir, que no existan de parte de los dos convivientes iguales lazos de afectos o nexos</w:t>
      </w:r>
      <w:r w:rsidR="00432849" w:rsidRPr="00832EA9">
        <w:rPr>
          <w:rFonts w:ascii="AvenirLTStd-Light" w:hAnsi="AvenirLTStd-Light"/>
          <w:color w:val="242021"/>
          <w:highlight w:val="yellow"/>
        </w:rPr>
        <w:br/>
      </w:r>
      <w:r w:rsidR="00432849" w:rsidRPr="00832EA9">
        <w:rPr>
          <w:rStyle w:val="fontstyle01"/>
          <w:highlight w:val="yellow"/>
        </w:rPr>
        <w:t>formales de matrimonio con otros terceros en forma simultánea, o sea, debe haber una relación monogámica, quedando excluidas de este concepto las uniones de hecho que en sus</w:t>
      </w:r>
      <w:r w:rsidR="00432849" w:rsidRPr="00832EA9">
        <w:rPr>
          <w:rStyle w:val="fontstyle01"/>
          <w:highlight w:val="yellow"/>
        </w:rPr>
        <w:t xml:space="preserve"> </w:t>
      </w:r>
      <w:r w:rsidR="00432849" w:rsidRPr="00832EA9">
        <w:rPr>
          <w:rStyle w:val="fontstyle01"/>
          <w:highlight w:val="yellow"/>
        </w:rPr>
        <w:t xml:space="preserve">orígenes fueron </w:t>
      </w:r>
      <w:proofErr w:type="spellStart"/>
      <w:r w:rsidR="00432849" w:rsidRPr="00832EA9">
        <w:rPr>
          <w:rStyle w:val="fontstyle01"/>
          <w:highlight w:val="yellow"/>
        </w:rPr>
        <w:t>pérfdas</w:t>
      </w:r>
      <w:proofErr w:type="spellEnd"/>
      <w:r w:rsidR="00432849" w:rsidRPr="00832EA9">
        <w:rPr>
          <w:rStyle w:val="fontstyle01"/>
          <w:highlight w:val="yellow"/>
        </w:rPr>
        <w:t>, aun cuando haya cesado esta condición por la disolución posterior</w:t>
      </w:r>
      <w:r w:rsidR="00432849" w:rsidRPr="00832EA9">
        <w:rPr>
          <w:rStyle w:val="fontstyle01"/>
          <w:highlight w:val="yellow"/>
        </w:rPr>
        <w:t xml:space="preserve"> </w:t>
      </w:r>
      <w:r w:rsidR="00432849" w:rsidRPr="00832EA9">
        <w:rPr>
          <w:rStyle w:val="fontstyle01"/>
          <w:highlight w:val="yellow"/>
        </w:rPr>
        <w:t>del vínculo matrimonial de uno de los integrantes de la unión consensual con una tercera</w:t>
      </w:r>
      <w:r w:rsidR="00432849" w:rsidRPr="00832EA9">
        <w:rPr>
          <w:rStyle w:val="fontstyle01"/>
          <w:highlight w:val="yellow"/>
        </w:rPr>
        <w:t xml:space="preserve"> </w:t>
      </w:r>
      <w:r w:rsidR="00432849" w:rsidRPr="00832EA9">
        <w:rPr>
          <w:rStyle w:val="fontstyle01"/>
          <w:highlight w:val="yellow"/>
        </w:rPr>
        <w:t>persona; e) que esa unión familiar de hecho esté integrada por dos personas de distintos</w:t>
      </w:r>
      <w:r w:rsidR="00432849" w:rsidRPr="00832EA9">
        <w:rPr>
          <w:rStyle w:val="fontstyle01"/>
          <w:highlight w:val="yellow"/>
        </w:rPr>
        <w:t xml:space="preserve"> </w:t>
      </w:r>
      <w:r w:rsidR="00432849" w:rsidRPr="00832EA9">
        <w:rPr>
          <w:rStyle w:val="fontstyle01"/>
          <w:highlight w:val="yellow"/>
        </w:rPr>
        <w:t xml:space="preserve">sexos que vivan como marido y mujer, sin estar casados entre sí. No. 32, </w:t>
      </w:r>
      <w:proofErr w:type="spellStart"/>
      <w:r w:rsidR="00432849" w:rsidRPr="00832EA9">
        <w:rPr>
          <w:rStyle w:val="fontstyle01"/>
          <w:highlight w:val="yellow"/>
        </w:rPr>
        <w:t>Seg</w:t>
      </w:r>
      <w:proofErr w:type="spellEnd"/>
      <w:r w:rsidR="00432849" w:rsidRPr="00832EA9">
        <w:rPr>
          <w:rStyle w:val="fontstyle01"/>
          <w:highlight w:val="yellow"/>
        </w:rPr>
        <w:t xml:space="preserve">., </w:t>
      </w:r>
      <w:proofErr w:type="gramStart"/>
      <w:r w:rsidR="00432849" w:rsidRPr="00832EA9">
        <w:rPr>
          <w:rStyle w:val="fontstyle01"/>
          <w:highlight w:val="yellow"/>
        </w:rPr>
        <w:t>Dic.</w:t>
      </w:r>
      <w:proofErr w:type="gramEnd"/>
      <w:r w:rsidR="00432849" w:rsidRPr="00832EA9">
        <w:rPr>
          <w:rStyle w:val="fontstyle01"/>
          <w:highlight w:val="yellow"/>
        </w:rPr>
        <w:t xml:space="preserve"> 2012, B.J.</w:t>
      </w:r>
      <w:r w:rsidR="00432849" w:rsidRPr="00832EA9">
        <w:rPr>
          <w:rStyle w:val="fontstyle01"/>
          <w:highlight w:val="yellow"/>
        </w:rPr>
        <w:t xml:space="preserve"> </w:t>
      </w:r>
      <w:r w:rsidR="00432849" w:rsidRPr="00832EA9">
        <w:rPr>
          <w:rStyle w:val="fontstyle01"/>
          <w:highlight w:val="yellow"/>
        </w:rPr>
        <w:t>1225.Seg., Dic. 2012, B.J. 1225.</w:t>
      </w:r>
    </w:p>
    <w:p w:rsidR="00432849" w:rsidRDefault="00432849"/>
    <w:p w:rsidR="00432849" w:rsidRDefault="00432849">
      <w:pPr>
        <w:rPr>
          <w:rFonts w:ascii="AvenirLTStd-Light" w:hAnsi="AvenirLTStd-Light"/>
          <w:color w:val="242021"/>
          <w:sz w:val="24"/>
          <w:szCs w:val="24"/>
        </w:rPr>
      </w:pPr>
      <w:r w:rsidRPr="00432849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t>Sociedad de hecho</w:t>
      </w:r>
      <w:r w:rsidRPr="00432849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br/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Si durante una unión la pareja consensual ha aportado recursos de índole material o</w:t>
      </w:r>
      <w:r w:rsidRPr="003C4913">
        <w:rPr>
          <w:rFonts w:ascii="AvenirLTStd-Light" w:hAnsi="AvenirLTStd-Light"/>
          <w:color w:val="242021"/>
          <w:highlight w:val="yellow"/>
        </w:rPr>
        <w:br/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intelectual en la constitución o fomento de un patrimonio común, se forma entre ellos es una</w:t>
      </w:r>
      <w:r w:rsidR="00460CEB"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sociedad de hecho, la cual puede ser establecida por cualquier medio de prueba, y sujeta a</w:t>
      </w:r>
      <w:r w:rsidRPr="003C4913">
        <w:rPr>
          <w:rFonts w:ascii="AvenirLTStd-Light" w:hAnsi="AvenirLTStd-Light"/>
          <w:color w:val="242021"/>
          <w:highlight w:val="yellow"/>
        </w:rPr>
        <w:br/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las reglas de partición que establece el derecho común. Si los concubinos han contribuido,</w:t>
      </w:r>
      <w:r w:rsidRPr="003C4913">
        <w:rPr>
          <w:rFonts w:ascii="AvenirLTStd-Light" w:hAnsi="AvenirLTStd-Light"/>
          <w:color w:val="242021"/>
          <w:highlight w:val="yellow"/>
        </w:rPr>
        <w:br/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con recursos y préstamos, a la compra de un inmueble, aun cuando aparezca registrado a</w:t>
      </w:r>
      <w:r w:rsidRPr="003C4913">
        <w:rPr>
          <w:rFonts w:ascii="AvenirLTStd-Light" w:hAnsi="AvenirLTStd-Light"/>
          <w:color w:val="242021"/>
          <w:highlight w:val="yellow"/>
        </w:rPr>
        <w:br/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nombre de uno solo de ellos, la proporcionalidad se establece a partir del aporte realizado</w:t>
      </w:r>
      <w:r w:rsidRPr="003C4913">
        <w:rPr>
          <w:rFonts w:ascii="AvenirLTStd-Light" w:hAnsi="AvenirLTStd-Light"/>
          <w:color w:val="242021"/>
          <w:highlight w:val="yellow"/>
        </w:rPr>
        <w:br/>
      </w:r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por cada uno al adquirirlo. No. 60, Ter., </w:t>
      </w:r>
      <w:proofErr w:type="gramStart"/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>Ago.</w:t>
      </w:r>
      <w:proofErr w:type="gramEnd"/>
      <w:r w:rsidRPr="003C491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1221</w:t>
      </w:r>
      <w:r w:rsidRPr="00432849">
        <w:rPr>
          <w:rFonts w:ascii="AvenirLTStd-Light" w:hAnsi="AvenirLTStd-Light"/>
          <w:color w:val="242021"/>
          <w:sz w:val="24"/>
          <w:szCs w:val="24"/>
        </w:rPr>
        <w:t>.</w:t>
      </w:r>
    </w:p>
    <w:p w:rsidR="00134D31" w:rsidRDefault="00134D31"/>
    <w:p w:rsidR="00134D31" w:rsidRDefault="00134D31">
      <w:r w:rsidRPr="00134D31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t>Trabajo de hogar</w:t>
      </w:r>
      <w:r w:rsidRPr="00134D31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Nuestra nueva Carta Magna reconoce en su artículo 55 que “la unión singular y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estable entre un hombre y una mujer, libres de impedimento matrimonial, que forman un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lastRenderedPageBreak/>
        <w:t>hogar de hecho, genera derechos y deberes en sus relaciones personales y patrimoniales,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de conformidad con la ley” y que el trabajo del hogar es una “actividad económica que crea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valor agregado y produce riqueza y bienestar social”. También se contribuye con la indicada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sociedad de hecho, no sólo con el fomento de un negocio determinado o cuando, fruto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de cualquier actividad laboral fuera del hogar común, se aportan bienes al sostenimiento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del mismo, sino también cuando se trabaja en las labores propias del hogar, tarea que en</w:t>
      </w:r>
      <w:r w:rsidRPr="004603FE">
        <w:rPr>
          <w:rFonts w:ascii="AvenirLTStd-Light" w:hAnsi="AvenirLTStd-Light"/>
          <w:color w:val="242021"/>
          <w:highlight w:val="yellow"/>
        </w:rPr>
        <w:br/>
      </w:r>
      <w:proofErr w:type="gramStart"/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muchas familias está</w:t>
      </w:r>
      <w:proofErr w:type="gramEnd"/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a cargo de la mujer. Existe una presunción irrefragable de comunidad</w:t>
      </w:r>
      <w:r w:rsidRPr="004603FE">
        <w:rPr>
          <w:rFonts w:ascii="AvenirLTStd-Light" w:hAnsi="AvenirLTStd-Light"/>
          <w:color w:val="242021"/>
          <w:highlight w:val="yellow"/>
        </w:rPr>
        <w:br/>
      </w:r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entre los concubinos. No. 59, Pr., </w:t>
      </w:r>
      <w:proofErr w:type="gramStart"/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>Oct.</w:t>
      </w:r>
      <w:proofErr w:type="gramEnd"/>
      <w:r w:rsidRPr="004603F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1223.</w:t>
      </w:r>
    </w:p>
    <w:p w:rsidR="003A7F8B" w:rsidRPr="005A3C99" w:rsidRDefault="003A7F8B">
      <w:pPr>
        <w:rPr>
          <w:highlight w:val="yellow"/>
        </w:rPr>
      </w:pPr>
      <w:proofErr w:type="spellStart"/>
      <w:r w:rsidRPr="005A3C99">
        <w:rPr>
          <w:highlight w:val="yellow"/>
        </w:rPr>
        <w:t>Pension</w:t>
      </w:r>
      <w:proofErr w:type="spellEnd"/>
      <w:r w:rsidRPr="005A3C99">
        <w:rPr>
          <w:highlight w:val="yellow"/>
        </w:rPr>
        <w:t xml:space="preserve"> alimenticia</w:t>
      </w:r>
    </w:p>
    <w:p w:rsidR="003A7F8B" w:rsidRDefault="003A7F8B">
      <w:pPr>
        <w:rPr>
          <w:rStyle w:val="fontstyle01"/>
        </w:rPr>
      </w:pPr>
      <w:r w:rsidRPr="005A3C99">
        <w:rPr>
          <w:rStyle w:val="fontstyle01"/>
          <w:highlight w:val="yellow"/>
        </w:rPr>
        <w:t xml:space="preserve">La suma impuesta como pensión que se debe cumplir es la última que ha sido </w:t>
      </w:r>
      <w:proofErr w:type="spellStart"/>
      <w:r w:rsidRPr="005A3C99">
        <w:rPr>
          <w:rStyle w:val="fontstyle01"/>
          <w:highlight w:val="yellow"/>
        </w:rPr>
        <w:t>fjada</w:t>
      </w:r>
      <w:proofErr w:type="spellEnd"/>
      <w:r w:rsidRPr="005A3C99">
        <w:rPr>
          <w:rFonts w:ascii="AvenirLTStd-Light" w:hAnsi="AvenirLTStd-Light"/>
          <w:color w:val="242021"/>
          <w:highlight w:val="yellow"/>
        </w:rPr>
        <w:br/>
      </w:r>
      <w:r w:rsidRPr="005A3C99">
        <w:rPr>
          <w:rStyle w:val="fontstyle01"/>
          <w:highlight w:val="yellow"/>
        </w:rPr>
        <w:t xml:space="preserve">por los tribunales, quedando sin efecto las </w:t>
      </w:r>
      <w:proofErr w:type="spellStart"/>
      <w:r w:rsidRPr="005A3C99">
        <w:rPr>
          <w:rStyle w:val="fontstyle01"/>
          <w:highlight w:val="yellow"/>
        </w:rPr>
        <w:t>fjadas</w:t>
      </w:r>
      <w:proofErr w:type="spellEnd"/>
      <w:r w:rsidRPr="005A3C99">
        <w:rPr>
          <w:rStyle w:val="fontstyle01"/>
          <w:highlight w:val="yellow"/>
        </w:rPr>
        <w:t xml:space="preserve"> anteriormente por sentencias correccionales, dada la naturaleza provisional que acompaña a dichas decisiones. No. 33, Pr., Mar. 2012,</w:t>
      </w:r>
      <w:r w:rsidR="005A3C99" w:rsidRPr="005A3C99">
        <w:rPr>
          <w:rStyle w:val="fontstyle01"/>
          <w:highlight w:val="yellow"/>
        </w:rPr>
        <w:t xml:space="preserve"> </w:t>
      </w:r>
      <w:r w:rsidRPr="005A3C99">
        <w:rPr>
          <w:rStyle w:val="fontstyle01"/>
          <w:highlight w:val="yellow"/>
        </w:rPr>
        <w:t>B.J. 1216.</w:t>
      </w:r>
      <w:r w:rsidRPr="005A3C99">
        <w:rPr>
          <w:rFonts w:ascii="AvenirLTStd-Light" w:hAnsi="AvenirLTStd-Light"/>
          <w:color w:val="242021"/>
          <w:highlight w:val="yellow"/>
        </w:rPr>
        <w:br/>
      </w:r>
      <w:r w:rsidRPr="005A3C99">
        <w:rPr>
          <w:rStyle w:val="fontstyle01"/>
          <w:highlight w:val="yellow"/>
        </w:rPr>
        <w:t>Si bien las demandas nuevas están prohibidas en la instancia de apelación por contravenir el principio de la inmutabilidad del proceso, aquellas que sean relativas a la guarda</w:t>
      </w:r>
      <w:r w:rsidRPr="005A3C99">
        <w:rPr>
          <w:rFonts w:ascii="AvenirLTStd-Light" w:hAnsi="AvenirLTStd-Light"/>
          <w:color w:val="242021"/>
          <w:highlight w:val="yellow"/>
        </w:rPr>
        <w:br/>
      </w:r>
      <w:r w:rsidRPr="005A3C99">
        <w:rPr>
          <w:rStyle w:val="fontstyle01"/>
          <w:highlight w:val="yellow"/>
        </w:rPr>
        <w:t>y a la pensión alimentaria y provisión ad-</w:t>
      </w:r>
      <w:proofErr w:type="spellStart"/>
      <w:r w:rsidRPr="005A3C99">
        <w:rPr>
          <w:rStyle w:val="fontstyle01"/>
          <w:highlight w:val="yellow"/>
        </w:rPr>
        <w:t>litem</w:t>
      </w:r>
      <w:proofErr w:type="spellEnd"/>
      <w:r w:rsidRPr="005A3C99">
        <w:rPr>
          <w:rStyle w:val="fontstyle01"/>
          <w:highlight w:val="yellow"/>
        </w:rPr>
        <w:t>, por su naturaleza en el caso del divorcio, son</w:t>
      </w:r>
      <w:r w:rsidR="005A3C99" w:rsidRPr="005A3C99">
        <w:rPr>
          <w:rStyle w:val="fontstyle01"/>
          <w:highlight w:val="yellow"/>
        </w:rPr>
        <w:t xml:space="preserve"> </w:t>
      </w:r>
      <w:proofErr w:type="spellStart"/>
      <w:r w:rsidRPr="005A3C99">
        <w:rPr>
          <w:rStyle w:val="fontstyle01"/>
          <w:highlight w:val="yellow"/>
        </w:rPr>
        <w:t>recibibles</w:t>
      </w:r>
      <w:proofErr w:type="spellEnd"/>
      <w:r w:rsidRPr="005A3C99">
        <w:rPr>
          <w:rStyle w:val="fontstyle01"/>
          <w:highlight w:val="yellow"/>
        </w:rPr>
        <w:t xml:space="preserve"> en apelación por tener un carácter accesorio y provisional. No. 47, Pr., </w:t>
      </w:r>
      <w:proofErr w:type="gramStart"/>
      <w:r w:rsidRPr="005A3C99">
        <w:rPr>
          <w:rStyle w:val="fontstyle01"/>
          <w:highlight w:val="yellow"/>
        </w:rPr>
        <w:t>Abr.</w:t>
      </w:r>
      <w:proofErr w:type="gramEnd"/>
      <w:r w:rsidRPr="005A3C99">
        <w:rPr>
          <w:rStyle w:val="fontstyle01"/>
          <w:highlight w:val="yellow"/>
        </w:rPr>
        <w:t xml:space="preserve"> 2012,</w:t>
      </w:r>
      <w:r w:rsidR="005A3C99" w:rsidRPr="005A3C99">
        <w:rPr>
          <w:rStyle w:val="fontstyle01"/>
          <w:highlight w:val="yellow"/>
        </w:rPr>
        <w:t xml:space="preserve"> </w:t>
      </w:r>
      <w:r w:rsidRPr="005A3C99">
        <w:rPr>
          <w:rStyle w:val="fontstyle01"/>
          <w:highlight w:val="yellow"/>
        </w:rPr>
        <w:t>B.J. 1217.</w:t>
      </w:r>
    </w:p>
    <w:p w:rsidR="003A7F8B" w:rsidRDefault="003A7F8B">
      <w:pPr>
        <w:rPr>
          <w:rStyle w:val="fontstyle01"/>
        </w:rPr>
      </w:pPr>
    </w:p>
    <w:p w:rsidR="003A7F8B" w:rsidRDefault="00B45526">
      <w:pPr>
        <w:rPr>
          <w:rStyle w:val="fontstyle01"/>
        </w:rPr>
      </w:pPr>
      <w:r w:rsidRPr="006D450F">
        <w:rPr>
          <w:rStyle w:val="fontstyle01"/>
          <w:highlight w:val="yellow"/>
        </w:rPr>
        <w:t>El juez debe procurar que la alimentación de los hijos sea distribuida en el porcentaje</w:t>
      </w:r>
      <w:r w:rsidRPr="006D450F">
        <w:rPr>
          <w:rFonts w:ascii="AvenirLTStd-Light" w:hAnsi="AvenirLTStd-Light"/>
          <w:color w:val="242021"/>
          <w:highlight w:val="yellow"/>
        </w:rPr>
        <w:br/>
      </w:r>
      <w:r w:rsidRPr="006D450F">
        <w:rPr>
          <w:rStyle w:val="fontstyle01"/>
          <w:highlight w:val="yellow"/>
        </w:rPr>
        <w:t>de 50% a cargo de cada progenitor conforme lo establece el Art. 171 Ley 136-03, pero cuando</w:t>
      </w:r>
      <w:r w:rsidR="006D450F" w:rsidRPr="006D450F">
        <w:rPr>
          <w:rStyle w:val="fontstyle01"/>
          <w:highlight w:val="yellow"/>
        </w:rPr>
        <w:t xml:space="preserve"> </w:t>
      </w:r>
      <w:r w:rsidRPr="006D450F">
        <w:rPr>
          <w:rStyle w:val="fontstyle01"/>
          <w:highlight w:val="yellow"/>
        </w:rPr>
        <w:t>la situación económica de los padres es diferente, dicho mandato no impide al juez asignar</w:t>
      </w:r>
      <w:r w:rsidRPr="006D450F">
        <w:rPr>
          <w:rFonts w:ascii="AvenirLTStd-Light" w:hAnsi="AvenirLTStd-Light"/>
          <w:color w:val="242021"/>
          <w:highlight w:val="yellow"/>
        </w:rPr>
        <w:br/>
      </w:r>
      <w:r w:rsidRPr="006D450F">
        <w:rPr>
          <w:rStyle w:val="fontstyle01"/>
          <w:highlight w:val="yellow"/>
        </w:rPr>
        <w:t xml:space="preserve">una contribución mayor. Al no poder determinar los ingresos </w:t>
      </w:r>
      <w:proofErr w:type="spellStart"/>
      <w:r w:rsidRPr="006D450F">
        <w:rPr>
          <w:rStyle w:val="fontstyle01"/>
          <w:highlight w:val="yellow"/>
        </w:rPr>
        <w:t>fjos</w:t>
      </w:r>
      <w:proofErr w:type="spellEnd"/>
      <w:r w:rsidRPr="006D450F">
        <w:rPr>
          <w:rStyle w:val="fontstyle01"/>
          <w:highlight w:val="yellow"/>
        </w:rPr>
        <w:t xml:space="preserve"> del padre alimentante,</w:t>
      </w:r>
      <w:r w:rsidRPr="006D450F">
        <w:rPr>
          <w:rFonts w:ascii="AvenirLTStd-Light" w:hAnsi="AvenirLTStd-Light"/>
          <w:color w:val="242021"/>
          <w:highlight w:val="yellow"/>
        </w:rPr>
        <w:br/>
      </w:r>
      <w:r w:rsidRPr="006D450F">
        <w:rPr>
          <w:rStyle w:val="fontstyle01"/>
          <w:highlight w:val="yellow"/>
        </w:rPr>
        <w:t>es correcto que la Corte estime sus ingresos a partir de sus negociaciones, propiedades</w:t>
      </w:r>
      <w:r w:rsidRPr="006D450F">
        <w:rPr>
          <w:rFonts w:ascii="AvenirLTStd-Light" w:hAnsi="AvenirLTStd-Light"/>
          <w:color w:val="242021"/>
          <w:highlight w:val="yellow"/>
        </w:rPr>
        <w:br/>
      </w:r>
      <w:r w:rsidRPr="006D450F">
        <w:rPr>
          <w:rStyle w:val="fontstyle01"/>
          <w:highlight w:val="yellow"/>
        </w:rPr>
        <w:t xml:space="preserve">mobiliarias y pago de alquiler mensual por local comercial. No. 44, </w:t>
      </w:r>
      <w:proofErr w:type="spellStart"/>
      <w:r w:rsidRPr="006D450F">
        <w:rPr>
          <w:rStyle w:val="fontstyle01"/>
          <w:highlight w:val="yellow"/>
        </w:rPr>
        <w:t>Seg</w:t>
      </w:r>
      <w:proofErr w:type="spellEnd"/>
      <w:r w:rsidRPr="006D450F">
        <w:rPr>
          <w:rStyle w:val="fontstyle01"/>
          <w:highlight w:val="yellow"/>
        </w:rPr>
        <w:t xml:space="preserve">., </w:t>
      </w:r>
      <w:proofErr w:type="gramStart"/>
      <w:r w:rsidRPr="006D450F">
        <w:rPr>
          <w:rStyle w:val="fontstyle01"/>
          <w:highlight w:val="yellow"/>
        </w:rPr>
        <w:t>Dic.</w:t>
      </w:r>
      <w:proofErr w:type="gramEnd"/>
      <w:r w:rsidRPr="006D450F">
        <w:rPr>
          <w:rStyle w:val="fontstyle01"/>
          <w:highlight w:val="yellow"/>
        </w:rPr>
        <w:t xml:space="preserve"> 2012, B.J. 1225</w:t>
      </w:r>
    </w:p>
    <w:p w:rsidR="00DF7B8F" w:rsidRDefault="00DF7B8F">
      <w:pPr>
        <w:rPr>
          <w:rStyle w:val="fontstyle01"/>
        </w:rPr>
      </w:pPr>
    </w:p>
    <w:p w:rsidR="00DF7B8F" w:rsidRDefault="00DF7B8F">
      <w:pPr>
        <w:rPr>
          <w:rStyle w:val="fontstyle01"/>
        </w:rPr>
      </w:pPr>
      <w:r>
        <w:rPr>
          <w:rStyle w:val="fontstyle01"/>
        </w:rPr>
        <w:t>Conciliación penal</w:t>
      </w:r>
    </w:p>
    <w:p w:rsidR="00DF7B8F" w:rsidRDefault="00DF7B8F">
      <w:pPr>
        <w:rPr>
          <w:rStyle w:val="fontstyle01"/>
        </w:rPr>
      </w:pPr>
      <w:r>
        <w:rPr>
          <w:rStyle w:val="fontstyle01"/>
        </w:rPr>
        <w:t>En los casos de conciliación, la extinción de la acción penal está sujeta al cumplimiento de lo pactado, generando el incumplimiento la continuación del proceso. En los casos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de conciliación, la extinción de la acción penal está sujeta al cumplimiento de lo pactado,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generando el incumplimiento la continuación del proceso. La ausencia de denuncia de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 xml:space="preserve">que la imputada no haya cumplido no es un indicio </w:t>
      </w:r>
      <w:proofErr w:type="spellStart"/>
      <w:r>
        <w:rPr>
          <w:rStyle w:val="fontstyle01"/>
        </w:rPr>
        <w:t>sufciente</w:t>
      </w:r>
      <w:proofErr w:type="spellEnd"/>
      <w:r>
        <w:rPr>
          <w:rStyle w:val="fontstyle01"/>
        </w:rPr>
        <w:t xml:space="preserve"> de que realmente se haya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 xml:space="preserve">cumplido lo pactado. (Art. 39 </w:t>
      </w:r>
      <w:proofErr w:type="spellStart"/>
      <w:r>
        <w:rPr>
          <w:rStyle w:val="fontstyle01"/>
        </w:rPr>
        <w:t>C.</w:t>
      </w:r>
      <w:proofErr w:type="gramStart"/>
      <w:r>
        <w:rPr>
          <w:rStyle w:val="fontstyle01"/>
        </w:rPr>
        <w:t>Pr.Pen</w:t>
      </w:r>
      <w:proofErr w:type="spellEnd"/>
      <w:proofErr w:type="gramEnd"/>
      <w:r>
        <w:rPr>
          <w:rStyle w:val="fontstyle01"/>
        </w:rPr>
        <w:t xml:space="preserve">.) No. 13, </w:t>
      </w:r>
      <w:proofErr w:type="spellStart"/>
      <w:r>
        <w:rPr>
          <w:rStyle w:val="fontstyle01"/>
        </w:rPr>
        <w:t>Seg</w:t>
      </w:r>
      <w:proofErr w:type="spellEnd"/>
      <w:r>
        <w:rPr>
          <w:rStyle w:val="fontstyle01"/>
        </w:rPr>
        <w:t xml:space="preserve">., </w:t>
      </w:r>
      <w:proofErr w:type="gramStart"/>
      <w:r>
        <w:rPr>
          <w:rStyle w:val="fontstyle01"/>
        </w:rPr>
        <w:t>Nov.</w:t>
      </w:r>
      <w:proofErr w:type="gramEnd"/>
      <w:r>
        <w:rPr>
          <w:rStyle w:val="fontstyle01"/>
        </w:rPr>
        <w:t xml:space="preserve"> 2012, B.J. 1224.</w:t>
      </w:r>
    </w:p>
    <w:p w:rsidR="00690BEC" w:rsidRDefault="00690BEC" w:rsidP="00690BE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52A00" w:rsidRDefault="00952A00" w:rsidP="00690BE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952A00" w:rsidRDefault="00952A00" w:rsidP="00690BE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83F5D" w:rsidRPr="00690BEC" w:rsidRDefault="00690BEC" w:rsidP="00690BE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690BE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Otros</w:t>
      </w:r>
    </w:p>
    <w:p w:rsidR="00690BEC" w:rsidRPr="004B5ABF" w:rsidRDefault="00690BEC">
      <w:pPr>
        <w:rPr>
          <w:highlight w:val="yellow"/>
        </w:rPr>
      </w:pPr>
      <w:r w:rsidRPr="004B5ABF">
        <w:rPr>
          <w:highlight w:val="yellow"/>
        </w:rPr>
        <w:t>Traspaso vehículos</w:t>
      </w:r>
    </w:p>
    <w:p w:rsidR="00690BEC" w:rsidRPr="004B5ABF" w:rsidRDefault="00690BEC">
      <w:pPr>
        <w:rPr>
          <w:rStyle w:val="fontstyle01"/>
          <w:highlight w:val="yellow"/>
        </w:rPr>
      </w:pPr>
      <w:r w:rsidRPr="004B5ABF">
        <w:rPr>
          <w:rStyle w:val="fontstyle01"/>
          <w:highlight w:val="yellow"/>
        </w:rPr>
        <w:t>El hecho de que el comprador de un vehículo no haya registrado el contrato ante la</w:t>
      </w:r>
      <w:r w:rsidRPr="004B5ABF">
        <w:rPr>
          <w:rFonts w:ascii="AvenirLTStd-Light" w:hAnsi="AvenirLTStd-Light"/>
          <w:color w:val="242021"/>
          <w:highlight w:val="yellow"/>
        </w:rPr>
        <w:br/>
      </w:r>
      <w:r w:rsidRPr="004B5ABF">
        <w:rPr>
          <w:rStyle w:val="fontstyle01"/>
          <w:highlight w:val="yellow"/>
        </w:rPr>
        <w:t>DGII a f</w:t>
      </w:r>
      <w:r w:rsidR="00BB37BB" w:rsidRPr="004B5ABF">
        <w:rPr>
          <w:rStyle w:val="fontstyle01"/>
          <w:highlight w:val="yellow"/>
        </w:rPr>
        <w:t>i</w:t>
      </w:r>
      <w:r w:rsidRPr="004B5ABF">
        <w:rPr>
          <w:rStyle w:val="fontstyle01"/>
          <w:highlight w:val="yellow"/>
        </w:rPr>
        <w:t>n de efectuar el correspondiente traspaso, o que no haya registrado dicho contrato</w:t>
      </w:r>
      <w:r w:rsidRPr="004B5ABF">
        <w:rPr>
          <w:rFonts w:ascii="AvenirLTStd-Light" w:hAnsi="AvenirLTStd-Light"/>
          <w:color w:val="242021"/>
          <w:highlight w:val="yellow"/>
        </w:rPr>
        <w:br/>
      </w:r>
      <w:r w:rsidRPr="004B5ABF">
        <w:rPr>
          <w:rStyle w:val="fontstyle01"/>
          <w:highlight w:val="yellow"/>
        </w:rPr>
        <w:t>en el Registro Civil, no aniquila su ef</w:t>
      </w:r>
      <w:r w:rsidR="007F6109" w:rsidRPr="004B5ABF">
        <w:rPr>
          <w:rStyle w:val="fontstyle01"/>
          <w:highlight w:val="yellow"/>
        </w:rPr>
        <w:t>i</w:t>
      </w:r>
      <w:r w:rsidRPr="004B5ABF">
        <w:rPr>
          <w:rStyle w:val="fontstyle01"/>
          <w:highlight w:val="yellow"/>
        </w:rPr>
        <w:t xml:space="preserve">cacia entre las partes. El contrato no puede ser desconocido por la vendedora al pretender que se le reconozca como propietaria del </w:t>
      </w:r>
      <w:r w:rsidR="007F6109" w:rsidRPr="004B5ABF">
        <w:rPr>
          <w:rStyle w:val="fontstyle01"/>
          <w:highlight w:val="yellow"/>
        </w:rPr>
        <w:t>vehículo, sustentándose</w:t>
      </w:r>
      <w:r w:rsidRPr="004B5ABF">
        <w:rPr>
          <w:rStyle w:val="fontstyle01"/>
          <w:highlight w:val="yellow"/>
        </w:rPr>
        <w:t xml:space="preserve"> en una certif</w:t>
      </w:r>
      <w:r w:rsidR="007F6109" w:rsidRPr="004B5ABF">
        <w:rPr>
          <w:rStyle w:val="fontstyle01"/>
          <w:highlight w:val="yellow"/>
        </w:rPr>
        <w:t>i</w:t>
      </w:r>
      <w:r w:rsidRPr="004B5ABF">
        <w:rPr>
          <w:rStyle w:val="fontstyle01"/>
          <w:highlight w:val="yellow"/>
        </w:rPr>
        <w:t>cación de propiedad emitida por la DGII. No. 69, Pr., Mar. 2012,</w:t>
      </w:r>
      <w:r w:rsidR="007F6109" w:rsidRPr="004B5ABF">
        <w:rPr>
          <w:rStyle w:val="fontstyle01"/>
          <w:highlight w:val="yellow"/>
        </w:rPr>
        <w:t xml:space="preserve"> </w:t>
      </w:r>
      <w:r w:rsidRPr="004B5ABF">
        <w:rPr>
          <w:rStyle w:val="fontstyle01"/>
          <w:highlight w:val="yellow"/>
        </w:rPr>
        <w:t>B.J. 1216.</w:t>
      </w:r>
    </w:p>
    <w:p w:rsidR="004C7F57" w:rsidRPr="004B5ABF" w:rsidRDefault="008131FA">
      <w:pPr>
        <w:rPr>
          <w:rFonts w:ascii="AvenirLTStd-Light" w:hAnsi="AvenirLTStd-Light"/>
          <w:color w:val="242021"/>
          <w:sz w:val="24"/>
          <w:szCs w:val="24"/>
          <w:highlight w:val="yellow"/>
        </w:rPr>
      </w:pPr>
      <w:r w:rsidRPr="004B5ABF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Efecto de La Daci</w:t>
      </w:r>
      <w:r w:rsidRPr="004B5ABF">
        <w:rPr>
          <w:rFonts w:ascii="Calibri-Bold" w:hAnsi="Calibri-Bold" w:hint="eastAsia"/>
          <w:b/>
          <w:bCs/>
          <w:color w:val="242021"/>
          <w:sz w:val="28"/>
          <w:szCs w:val="28"/>
          <w:highlight w:val="yellow"/>
        </w:rPr>
        <w:t>ó</w:t>
      </w:r>
      <w:r w:rsidRPr="004B5ABF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n en Pago</w:t>
      </w:r>
      <w:r w:rsidR="00952A00" w:rsidRPr="004B5ABF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br/>
      </w:r>
      <w:proofErr w:type="spellStart"/>
      <w:r w:rsidR="00952A00" w:rsidRPr="004B5ABF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t>Jur</w:t>
      </w:r>
      <w:proofErr w:type="spellEnd"/>
      <w:r w:rsidR="00952A00" w:rsidRPr="004B5ABF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t>.</w:t>
      </w:r>
      <w:r w:rsidR="00952A00" w:rsidRPr="004B5ABF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br/>
      </w:r>
      <w:r w:rsidR="00952A00"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El acreedor que recibe un vehículo en pago de su crédito no puede reclamar una</w:t>
      </w:r>
      <w:r w:rsidR="00952A00" w:rsidRPr="004B5ABF">
        <w:rPr>
          <w:rFonts w:ascii="AvenirLTStd-Light" w:hAnsi="AvenirLTStd-Light"/>
          <w:color w:val="242021"/>
          <w:highlight w:val="yellow"/>
        </w:rPr>
        <w:br/>
      </w:r>
      <w:r w:rsidR="00952A00"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suma adicional, porque la dación en pago extingue el crédito. No. 104, Pr., Feb. 2012, B.J.</w:t>
      </w:r>
      <w:r w:rsidR="00952A00" w:rsidRPr="004B5ABF">
        <w:rPr>
          <w:rFonts w:ascii="AvenirLTStd-Light" w:hAnsi="AvenirLTStd-Light"/>
          <w:color w:val="242021"/>
          <w:highlight w:val="yellow"/>
        </w:rPr>
        <w:br/>
      </w:r>
      <w:r w:rsidR="00952A00"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1215.</w:t>
      </w:r>
    </w:p>
    <w:p w:rsidR="00B70577" w:rsidRDefault="00B70577">
      <w:proofErr w:type="spellStart"/>
      <w:r w:rsidRPr="004B5ABF">
        <w:rPr>
          <w:highlight w:val="yellow"/>
        </w:rPr>
        <w:t>Dimision</w:t>
      </w:r>
      <w:proofErr w:type="spellEnd"/>
      <w:r w:rsidR="004B5ABF" w:rsidRPr="004B5ABF">
        <w:rPr>
          <w:highlight w:val="yellow"/>
        </w:rPr>
        <w:t xml:space="preserve"> Laboral por </w:t>
      </w:r>
      <w:r w:rsidRPr="004B5ABF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>Falta de inscripción en la Seguridad Social</w:t>
      </w:r>
      <w:r w:rsidRPr="004B5ABF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br/>
      </w:r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La falta de inscripción en el Sistema de la Seguridad Social, o el no pago de las cotizaciones del mencionado sistema, sólo se constituye en una falta </w:t>
      </w:r>
      <w:proofErr w:type="spellStart"/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justifcativa</w:t>
      </w:r>
      <w:proofErr w:type="spellEnd"/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de la dimisión,</w:t>
      </w:r>
      <w:r w:rsidRPr="004B5ABF">
        <w:rPr>
          <w:rFonts w:ascii="AvenirLTStd-Light" w:hAnsi="AvenirLTStd-Light"/>
          <w:color w:val="242021"/>
          <w:highlight w:val="yellow"/>
        </w:rPr>
        <w:br/>
      </w:r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si perjudica los derechos del trabajador, ya sea en un servicio o en sus derechos relativos a</w:t>
      </w:r>
      <w:r w:rsidRPr="004B5ABF">
        <w:rPr>
          <w:rFonts w:ascii="AvenirLTStd-Light" w:hAnsi="AvenirLTStd-Light"/>
          <w:color w:val="242021"/>
          <w:highlight w:val="yellow"/>
        </w:rPr>
        <w:br/>
      </w:r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la pensión o derechos </w:t>
      </w:r>
      <w:proofErr w:type="spellStart"/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afnes</w:t>
      </w:r>
      <w:proofErr w:type="spellEnd"/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. No. 43, Ter., </w:t>
      </w:r>
      <w:proofErr w:type="gramStart"/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Abr.</w:t>
      </w:r>
      <w:proofErr w:type="gramEnd"/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B.J.1217; No. 82, Ter., Oct. 2012, B.J.</w:t>
      </w:r>
      <w:r w:rsidRPr="004B5ABF">
        <w:rPr>
          <w:rFonts w:ascii="AvenirLTStd-Light" w:hAnsi="AvenirLTStd-Light"/>
          <w:color w:val="242021"/>
          <w:highlight w:val="yellow"/>
        </w:rPr>
        <w:br/>
      </w:r>
      <w:r w:rsidRPr="004B5ABF">
        <w:rPr>
          <w:rFonts w:ascii="AvenirLTStd-Light" w:hAnsi="AvenirLTStd-Light"/>
          <w:color w:val="242021"/>
          <w:sz w:val="24"/>
          <w:szCs w:val="24"/>
          <w:highlight w:val="yellow"/>
        </w:rPr>
        <w:t>1223.</w:t>
      </w:r>
    </w:p>
    <w:p w:rsidR="00952A00" w:rsidRDefault="00D4764D">
      <w:r w:rsidRPr="00D4764D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t>Abandono</w:t>
      </w:r>
      <w:r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t xml:space="preserve"> de trabajo</w:t>
      </w:r>
      <w:r w:rsidRPr="00D4764D">
        <w:rPr>
          <w:rFonts w:ascii="Calibri-BoldItalic" w:hAnsi="Calibri-BoldItalic"/>
          <w:b/>
          <w:bCs/>
          <w:i/>
          <w:iCs/>
          <w:color w:val="242021"/>
          <w:sz w:val="26"/>
          <w:szCs w:val="26"/>
        </w:rPr>
        <w:br/>
      </w:r>
      <w:r w:rsidRPr="00D4764D">
        <w:rPr>
          <w:rFonts w:ascii="AvenirLTStd-Light" w:hAnsi="AvenirLTStd-Light"/>
          <w:color w:val="242021"/>
          <w:sz w:val="24"/>
          <w:szCs w:val="24"/>
        </w:rPr>
        <w:t>Al empleador le corresponde la prueba del abandono cuando lo utiliza como causa</w:t>
      </w:r>
      <w:r w:rsidRPr="00D4764D">
        <w:rPr>
          <w:rFonts w:ascii="AvenirLTStd-Light" w:hAnsi="AvenirLTStd-Light"/>
          <w:color w:val="242021"/>
        </w:rPr>
        <w:br/>
      </w:r>
      <w:r w:rsidRPr="00D4764D">
        <w:rPr>
          <w:rFonts w:ascii="AvenirLTStd-Light" w:hAnsi="AvenirLTStd-Light"/>
          <w:color w:val="242021"/>
          <w:sz w:val="24"/>
          <w:szCs w:val="24"/>
        </w:rPr>
        <w:t>de despido (</w:t>
      </w:r>
      <w:proofErr w:type="spellStart"/>
      <w:r w:rsidRPr="00D4764D">
        <w:rPr>
          <w:rFonts w:ascii="AvenirLTStd-Light" w:hAnsi="AvenirLTStd-Light"/>
          <w:color w:val="242021"/>
          <w:sz w:val="24"/>
          <w:szCs w:val="24"/>
        </w:rPr>
        <w:t>núms</w:t>
      </w:r>
      <w:proofErr w:type="spellEnd"/>
      <w:r w:rsidRPr="00D4764D">
        <w:rPr>
          <w:rFonts w:ascii="AvenirLTStd-Light" w:hAnsi="AvenirLTStd-Light"/>
          <w:color w:val="242021"/>
          <w:sz w:val="24"/>
          <w:szCs w:val="24"/>
        </w:rPr>
        <w:t>. 10 y 26, 13 y 20 de mayo 1998, B. J. 1050, págs. 426 y 525). No. 59, Ter.,</w:t>
      </w:r>
      <w:r w:rsidRPr="00D4764D">
        <w:rPr>
          <w:rFonts w:ascii="AvenirLTStd-Light" w:hAnsi="AvenirLTStd-Light"/>
          <w:color w:val="242021"/>
        </w:rPr>
        <w:br/>
      </w:r>
      <w:r w:rsidRPr="00D4764D">
        <w:rPr>
          <w:rFonts w:ascii="AvenirLTStd-Light" w:hAnsi="AvenirLTStd-Light"/>
          <w:color w:val="242021"/>
          <w:sz w:val="24"/>
          <w:szCs w:val="24"/>
        </w:rPr>
        <w:t>May. 2012, B.J. 1218.</w:t>
      </w:r>
    </w:p>
    <w:p w:rsidR="00B56169" w:rsidRDefault="00B56169">
      <w:pPr>
        <w:rPr>
          <w:rFonts w:ascii="AvenirLTStd-Light" w:hAnsi="AvenirLTStd-Light"/>
          <w:color w:val="242021"/>
          <w:sz w:val="24"/>
          <w:szCs w:val="24"/>
        </w:rPr>
      </w:pPr>
      <w:r w:rsidRPr="003E4A1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 xml:space="preserve">Descuento de </w:t>
      </w:r>
      <w:r w:rsidR="003E4A1E" w:rsidRPr="003E4A1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>préstamos</w:t>
      </w:r>
      <w:r w:rsidRPr="003E4A1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 xml:space="preserve"> a prestaciones en caso de </w:t>
      </w:r>
      <w:proofErr w:type="spellStart"/>
      <w:r w:rsidRPr="003E4A1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>Deshaucio</w:t>
      </w:r>
      <w:proofErr w:type="spellEnd"/>
      <w:r w:rsidRPr="003E4A1E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br/>
      </w:r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>Del pago de las indemnizaciones por omisión de preaviso y auxilio de cesantía le</w:t>
      </w:r>
      <w:r w:rsidRPr="003E4A1E">
        <w:rPr>
          <w:rFonts w:ascii="AvenirLTStd-Light" w:hAnsi="AvenirLTStd-Light"/>
          <w:color w:val="242021"/>
          <w:highlight w:val="yellow"/>
        </w:rPr>
        <w:br/>
      </w:r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>pueden ser descontadas al trabajador “créditos otorgados o de las obligaciones surgidas de</w:t>
      </w:r>
      <w:r w:rsidRPr="003E4A1E">
        <w:rPr>
          <w:rFonts w:ascii="AvenirLTStd-Light" w:hAnsi="AvenirLTStd-Light"/>
          <w:color w:val="242021"/>
          <w:highlight w:val="yellow"/>
        </w:rPr>
        <w:br/>
      </w:r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leyes especiales” (art. 86 </w:t>
      </w:r>
      <w:proofErr w:type="spellStart"/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>C.Tr</w:t>
      </w:r>
      <w:proofErr w:type="spellEnd"/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>.), y al terminar el mismo por las razones de desahucio, se debe</w:t>
      </w:r>
      <w:r w:rsidR="003E4A1E"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>hacer merito a las mismas, no violentando la ley, al descontarle al trabajador el préstamo</w:t>
      </w:r>
      <w:r w:rsidR="003E4A1E"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3E4A1E">
        <w:rPr>
          <w:rFonts w:ascii="AvenirLTStd-Light" w:hAnsi="AvenirLTStd-Light"/>
          <w:color w:val="242021"/>
          <w:sz w:val="24"/>
          <w:szCs w:val="24"/>
          <w:highlight w:val="yellow"/>
        </w:rPr>
        <w:t>realizado. No. 34, Ter., Sept. 2012, B.J. 1222.</w:t>
      </w:r>
    </w:p>
    <w:p w:rsidR="00B56169" w:rsidRDefault="00B56169"/>
    <w:p w:rsidR="00952A00" w:rsidRPr="00ED06A3" w:rsidRDefault="00952A00">
      <w:pPr>
        <w:rPr>
          <w:highlight w:val="yellow"/>
        </w:rPr>
      </w:pPr>
      <w:r w:rsidRPr="00ED06A3">
        <w:rPr>
          <w:highlight w:val="yellow"/>
        </w:rPr>
        <w:lastRenderedPageBreak/>
        <w:t>Trabajo realizado y no pagado</w:t>
      </w:r>
    </w:p>
    <w:p w:rsidR="00952A00" w:rsidRPr="00ED06A3" w:rsidRDefault="00952A00">
      <w:pPr>
        <w:rPr>
          <w:rStyle w:val="fontstyle01"/>
          <w:highlight w:val="yellow"/>
        </w:rPr>
      </w:pPr>
      <w:r w:rsidRPr="00ED06A3">
        <w:rPr>
          <w:rStyle w:val="fontstyle01"/>
          <w:highlight w:val="yellow"/>
        </w:rPr>
        <w:t>El trabajador al que no se le pague la remuneración convenida puede solicitar al</w:t>
      </w:r>
      <w:r w:rsidRPr="00ED06A3">
        <w:rPr>
          <w:rFonts w:ascii="AvenirLTStd-Light" w:hAnsi="AvenirLTStd-Light"/>
          <w:color w:val="242021"/>
          <w:highlight w:val="yellow"/>
        </w:rPr>
        <w:br/>
      </w:r>
      <w:r w:rsidRPr="00ED06A3">
        <w:rPr>
          <w:rStyle w:val="fontstyle01"/>
          <w:highlight w:val="yellow"/>
        </w:rPr>
        <w:t xml:space="preserve">procurador </w:t>
      </w:r>
      <w:proofErr w:type="spellStart"/>
      <w:r w:rsidRPr="00ED06A3">
        <w:rPr>
          <w:rStyle w:val="fontstyle01"/>
          <w:highlight w:val="yellow"/>
        </w:rPr>
        <w:t>fscal</w:t>
      </w:r>
      <w:proofErr w:type="spellEnd"/>
      <w:r w:rsidRPr="00ED06A3">
        <w:rPr>
          <w:rStyle w:val="fontstyle01"/>
          <w:highlight w:val="yellow"/>
        </w:rPr>
        <w:t xml:space="preserve"> que intime y llame a conciliación a su deudor para que responda por su</w:t>
      </w:r>
      <w:r w:rsidRPr="00ED06A3">
        <w:rPr>
          <w:rFonts w:ascii="AvenirLTStd-Light" w:hAnsi="AvenirLTStd-Light"/>
          <w:color w:val="242021"/>
          <w:highlight w:val="yellow"/>
        </w:rPr>
        <w:br/>
      </w:r>
      <w:r w:rsidRPr="00ED06A3">
        <w:rPr>
          <w:rStyle w:val="fontstyle01"/>
          <w:highlight w:val="yellow"/>
        </w:rPr>
        <w:t>obligación, y una vez cumplida esta fase preliminar, sin que éste haya efectuado el pago, se</w:t>
      </w:r>
      <w:r w:rsidRPr="00ED06A3">
        <w:rPr>
          <w:rFonts w:ascii="AvenirLTStd-Light" w:hAnsi="AvenirLTStd-Light"/>
          <w:color w:val="242021"/>
          <w:highlight w:val="yellow"/>
        </w:rPr>
        <w:br/>
      </w:r>
      <w:r w:rsidRPr="00ED06A3">
        <w:rPr>
          <w:rStyle w:val="fontstyle01"/>
          <w:highlight w:val="yellow"/>
        </w:rPr>
        <w:t>pondrá en movimiento la acción pública. Una vez apoderado el tribunal penal, el trabajador</w:t>
      </w:r>
      <w:r w:rsidRPr="00ED06A3">
        <w:rPr>
          <w:rFonts w:ascii="AvenirLTStd-Light" w:hAnsi="AvenirLTStd-Light"/>
          <w:color w:val="242021"/>
          <w:highlight w:val="yellow"/>
        </w:rPr>
        <w:br/>
      </w:r>
      <w:r w:rsidRPr="00ED06A3">
        <w:rPr>
          <w:rStyle w:val="fontstyle01"/>
          <w:highlight w:val="yellow"/>
        </w:rPr>
        <w:t>puede ejercer la acción civil subsidiaria a la acción pública para exigir el pago de su salario y</w:t>
      </w:r>
      <w:r w:rsidR="003E4A1E" w:rsidRPr="00ED06A3">
        <w:rPr>
          <w:rStyle w:val="fontstyle01"/>
          <w:highlight w:val="yellow"/>
        </w:rPr>
        <w:t xml:space="preserve"> </w:t>
      </w:r>
      <w:r w:rsidRPr="00ED06A3">
        <w:rPr>
          <w:rStyle w:val="fontstyle01"/>
          <w:highlight w:val="yellow"/>
        </w:rPr>
        <w:t xml:space="preserve">las indemnizaciones que sean de lugar. No. 68, Ter., </w:t>
      </w:r>
      <w:proofErr w:type="gramStart"/>
      <w:r w:rsidRPr="00ED06A3">
        <w:rPr>
          <w:rStyle w:val="fontstyle01"/>
          <w:highlight w:val="yellow"/>
        </w:rPr>
        <w:t>Oct.</w:t>
      </w:r>
      <w:proofErr w:type="gramEnd"/>
      <w:r w:rsidRPr="00ED06A3">
        <w:rPr>
          <w:rStyle w:val="fontstyle01"/>
          <w:highlight w:val="yellow"/>
        </w:rPr>
        <w:t xml:space="preserve"> 2012, B.J. 1223.</w:t>
      </w:r>
    </w:p>
    <w:p w:rsidR="00303F2A" w:rsidRPr="00A657EB" w:rsidRDefault="00ED06A3">
      <w:r w:rsidRPr="00ED06A3">
        <w:rPr>
          <w:highlight w:val="yellow"/>
        </w:rPr>
        <w:t xml:space="preserve">Obligación de la </w:t>
      </w:r>
      <w:r w:rsidR="00303F2A" w:rsidRPr="00ED06A3">
        <w:rPr>
          <w:highlight w:val="yellow"/>
        </w:rPr>
        <w:t>Comunicación de Embarazo a Empleador</w:t>
      </w:r>
      <w:r w:rsidR="00303F2A" w:rsidRPr="00ED06A3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br/>
      </w:r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>Para que el despido o el desahucio ejercido por el empleador sea declarado nulo,</w:t>
      </w:r>
      <w:r w:rsidR="00303F2A" w:rsidRPr="00ED06A3">
        <w:rPr>
          <w:rFonts w:ascii="AvenirLTStd-Light" w:hAnsi="AvenirLTStd-Light"/>
          <w:color w:val="242021"/>
          <w:highlight w:val="yellow"/>
        </w:rPr>
        <w:br/>
      </w:r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>es necesaria la prueba de que la trabajadora comunicó su estado al empleador, o que éste</w:t>
      </w:r>
      <w:r w:rsidR="00303F2A" w:rsidRPr="00ED06A3">
        <w:rPr>
          <w:rFonts w:ascii="AvenirLTStd-Light" w:hAnsi="AvenirLTStd-Light"/>
          <w:color w:val="242021"/>
          <w:highlight w:val="yellow"/>
        </w:rPr>
        <w:br/>
      </w:r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se haya dado cuenta por los signos exteriores del estado, resultando </w:t>
      </w:r>
      <w:proofErr w:type="spellStart"/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>insufciente</w:t>
      </w:r>
      <w:proofErr w:type="spellEnd"/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que la</w:t>
      </w:r>
      <w:r w:rsidR="00303F2A" w:rsidRPr="00ED06A3">
        <w:rPr>
          <w:rFonts w:ascii="AvenirLTStd-Light" w:hAnsi="AvenirLTStd-Light"/>
          <w:color w:val="242021"/>
          <w:highlight w:val="yellow"/>
        </w:rPr>
        <w:br/>
      </w:r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trabajadora demuestre su estado de embarazo con un </w:t>
      </w:r>
      <w:proofErr w:type="spellStart"/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>certifcado</w:t>
      </w:r>
      <w:proofErr w:type="spellEnd"/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médico presentado luego</w:t>
      </w:r>
      <w:r w:rsidR="00303F2A" w:rsidRPr="00ED06A3">
        <w:rPr>
          <w:rFonts w:ascii="AvenirLTStd-Light" w:hAnsi="AvenirLTStd-Light"/>
          <w:color w:val="242021"/>
          <w:highlight w:val="yellow"/>
        </w:rPr>
        <w:br/>
      </w:r>
      <w:r w:rsidR="00303F2A" w:rsidRPr="00ED06A3">
        <w:rPr>
          <w:rFonts w:ascii="AvenirLTStd-Light" w:hAnsi="AvenirLTStd-Light"/>
          <w:color w:val="242021"/>
          <w:sz w:val="24"/>
          <w:szCs w:val="24"/>
          <w:highlight w:val="yellow"/>
        </w:rPr>
        <w:t>del desahucio. No. 12, Ter., Feb. 2012, B.J. 1215.</w:t>
      </w:r>
    </w:p>
    <w:p w:rsidR="003778C8" w:rsidRDefault="003778C8" w:rsidP="003778C8">
      <w:proofErr w:type="gramStart"/>
      <w:r>
        <w:t>Que es un accidente de trabajo en materia legal?</w:t>
      </w:r>
      <w:proofErr w:type="gramEnd"/>
    </w:p>
    <w:p w:rsidR="003778C8" w:rsidRPr="003778C8" w:rsidRDefault="003778C8" w:rsidP="003778C8">
      <w:pPr>
        <w:rPr>
          <w:rFonts w:ascii="AvenirLTStd-Light" w:hAnsi="AvenirLTStd-Light"/>
          <w:color w:val="242021"/>
          <w:sz w:val="24"/>
          <w:szCs w:val="24"/>
        </w:rPr>
      </w:pPr>
      <w:r>
        <w:rPr>
          <w:rStyle w:val="fontstyle01"/>
        </w:rPr>
        <w:t>Es un accidente de trabajo aquél que ocurre dentro del centro de labores y durante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la jornada laboral, así como el efectuado mientras el empleado se traslada hacia su lugar de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>trabajo o regresa de él, siempre que sea transportado por cuenta del empleador en medios</w:t>
      </w:r>
      <w:r>
        <w:rPr>
          <w:rFonts w:ascii="AvenirLTStd-Light" w:hAnsi="AvenirLTStd-Light"/>
          <w:color w:val="242021"/>
        </w:rPr>
        <w:br/>
      </w:r>
      <w:r>
        <w:rPr>
          <w:rStyle w:val="fontstyle01"/>
        </w:rPr>
        <w:t xml:space="preserve">proporcionados por este último, y sobre los </w:t>
      </w:r>
      <w:proofErr w:type="gramStart"/>
      <w:r>
        <w:rPr>
          <w:rStyle w:val="fontstyle01"/>
        </w:rPr>
        <w:t>cuales</w:t>
      </w:r>
      <w:proofErr w:type="gramEnd"/>
      <w:r>
        <w:rPr>
          <w:rStyle w:val="fontstyle01"/>
        </w:rPr>
        <w:t xml:space="preserve"> y quien lo maneja, dicho empleador ejerce algún tipo de control, salvo en caso de falta intencional. No. 205, Pr., Feb. 2012, B.J. 1215</w:t>
      </w:r>
    </w:p>
    <w:p w:rsidR="00451C3D" w:rsidRPr="00451C3D" w:rsidRDefault="003778C8" w:rsidP="003778C8">
      <w:pPr>
        <w:rPr>
          <w:rFonts w:ascii="AvenirLTStd-Light" w:hAnsi="AvenirLTStd-Light"/>
          <w:color w:val="242021"/>
          <w:sz w:val="24"/>
          <w:szCs w:val="24"/>
          <w:highlight w:val="yellow"/>
        </w:rPr>
      </w:pPr>
      <w:r w:rsidRPr="00451C3D">
        <w:rPr>
          <w:highlight w:val="yellow"/>
        </w:rPr>
        <w:t xml:space="preserve">Materia Laboral: </w:t>
      </w:r>
      <w:r w:rsidRPr="00451C3D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ACOSO MORAL</w:t>
      </w:r>
      <w:r w:rsidRPr="00451C3D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br/>
      </w:r>
      <w:proofErr w:type="spellStart"/>
      <w:r w:rsidRPr="00451C3D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t>Jur</w:t>
      </w:r>
      <w:proofErr w:type="spellEnd"/>
      <w:r w:rsidRPr="00451C3D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t>.</w:t>
      </w:r>
      <w:bookmarkStart w:id="0" w:name="_GoBack"/>
      <w:bookmarkEnd w:id="0"/>
      <w:r w:rsidRPr="00451C3D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br/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El acoso moral o “bullying” consiste de “actos o comportamientos, discriminatorios o</w:t>
      </w:r>
      <w:r w:rsidRPr="00451C3D">
        <w:rPr>
          <w:rFonts w:ascii="AvenirLTStd-Light" w:hAnsi="AvenirLTStd-Light"/>
          <w:color w:val="242021"/>
          <w:highlight w:val="yellow"/>
        </w:rPr>
        <w:br/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vejatorios, protagonizados en el tiempo, con intencionalidad, llevados a cabo en el ámbito</w:t>
      </w:r>
      <w:r w:rsidRPr="00451C3D">
        <w:rPr>
          <w:rFonts w:ascii="AvenirLTStd-Light" w:hAnsi="AvenirLTStd-Light"/>
          <w:color w:val="242021"/>
          <w:highlight w:val="yellow"/>
        </w:rPr>
        <w:br/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de trabajo dependiente, por parte del empresario o sus subordinados o bien por parte de</w:t>
      </w:r>
      <w:r w:rsidRPr="00451C3D">
        <w:rPr>
          <w:rFonts w:ascii="AvenirLTStd-Light" w:hAnsi="AvenirLTStd-Light"/>
          <w:color w:val="242021"/>
          <w:highlight w:val="yellow"/>
        </w:rPr>
        <w:br/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otros compañeros, y que se caracteriza por una persecución o violencia psicológica con</w:t>
      </w:r>
      <w:r w:rsidRPr="00451C3D">
        <w:rPr>
          <w:rFonts w:ascii="AvenirLTStd-Light" w:hAnsi="AvenirLTStd-Light"/>
          <w:color w:val="242021"/>
          <w:highlight w:val="yellow"/>
        </w:rPr>
        <w:br/>
      </w:r>
      <w:proofErr w:type="spellStart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fnes</w:t>
      </w:r>
      <w:proofErr w:type="spellEnd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degradantes, humillantes, aislantes que atentan con la dignidad, la persona misma</w:t>
      </w:r>
      <w:r w:rsidRPr="00451C3D">
        <w:rPr>
          <w:rFonts w:ascii="AvenirLTStd-Light" w:hAnsi="AvenirLTStd-Light"/>
          <w:color w:val="242021"/>
          <w:highlight w:val="yellow"/>
        </w:rPr>
        <w:br/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del trabajador y la estabilidad laboral”. </w:t>
      </w:r>
    </w:p>
    <w:p w:rsidR="003778C8" w:rsidRDefault="003778C8" w:rsidP="003778C8">
      <w:pPr>
        <w:rPr>
          <w:rFonts w:ascii="AvenirLTStd-Light" w:hAnsi="AvenirLTStd-Light"/>
          <w:color w:val="242021"/>
          <w:sz w:val="24"/>
          <w:szCs w:val="24"/>
        </w:rPr>
      </w:pP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En nuestra legislación se encuentra en las faltas</w:t>
      </w:r>
      <w:r w:rsidRPr="00451C3D">
        <w:rPr>
          <w:rFonts w:ascii="AvenirLTStd-Light" w:hAnsi="AvenirLTStd-Light"/>
          <w:color w:val="242021"/>
          <w:highlight w:val="yellow"/>
        </w:rPr>
        <w:br/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cometidas por el empleador detalladas en los </w:t>
      </w:r>
      <w:proofErr w:type="spellStart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ords</w:t>
      </w:r>
      <w:proofErr w:type="spellEnd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. 8 y 10, del art. 46 del </w:t>
      </w:r>
      <w:proofErr w:type="spellStart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C.Tr</w:t>
      </w:r>
      <w:proofErr w:type="spellEnd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.; en el principio</w:t>
      </w:r>
      <w:r w:rsidR="00451C3D"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fundamental XII del </w:t>
      </w:r>
      <w:proofErr w:type="spellStart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C.Tr</w:t>
      </w:r>
      <w:proofErr w:type="spellEnd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., que protege el derecho básico de todos los trabajadores “a su</w:t>
      </w:r>
      <w:r w:rsidR="00451C3D"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integridad física, a su intimidad y a su dignidad personal”; y el art. 42 de la Const., que establece el Derecho a la integridad personal. El acoso moral es causa </w:t>
      </w:r>
      <w:proofErr w:type="spellStart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justifcativa</w:t>
      </w:r>
      <w:proofErr w:type="spellEnd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de dimisión.</w:t>
      </w:r>
      <w:r w:rsidR="00451C3D"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No. 82, Ter., </w:t>
      </w:r>
      <w:proofErr w:type="gramStart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>Jul.</w:t>
      </w:r>
      <w:proofErr w:type="gramEnd"/>
      <w:r w:rsidRPr="00451C3D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1220</w:t>
      </w:r>
    </w:p>
    <w:p w:rsidR="003778C8" w:rsidRDefault="003778C8" w:rsidP="003778C8"/>
    <w:p w:rsidR="003778C8" w:rsidRDefault="003778C8"/>
    <w:p w:rsidR="00303F2A" w:rsidRDefault="00303F2A"/>
    <w:p w:rsidR="004C7F57" w:rsidRDefault="004C7F57" w:rsidP="004C7F57">
      <w:pPr>
        <w:jc w:val="center"/>
      </w:pPr>
      <w:r w:rsidRPr="004C7F5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>Inmobiliario</w:t>
      </w:r>
    </w:p>
    <w:p w:rsidR="004C7F57" w:rsidRPr="00956C39" w:rsidRDefault="004C7F57">
      <w:pPr>
        <w:rPr>
          <w:rFonts w:ascii="AvenirLTStd-Light" w:hAnsi="AvenirLTStd-Light"/>
          <w:color w:val="242021"/>
          <w:sz w:val="24"/>
          <w:szCs w:val="24"/>
          <w:highlight w:val="yellow"/>
        </w:rPr>
      </w:pPr>
      <w:r w:rsidRPr="00956C39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>Bienes propios</w:t>
      </w:r>
      <w:r w:rsidRPr="00956C39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br/>
      </w:r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Una persona adquirió unas parcelas cinco años antes de contraer matrimonio, pero</w:t>
      </w:r>
      <w:r w:rsidRPr="00956C39">
        <w:rPr>
          <w:rFonts w:ascii="AvenirLTStd-Light" w:hAnsi="AvenirLTStd-Light"/>
          <w:color w:val="242021"/>
          <w:highlight w:val="yellow"/>
        </w:rPr>
        <w:br/>
      </w:r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por cuestiones procesales ante el </w:t>
      </w:r>
      <w:proofErr w:type="spellStart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Trib.Sup.T</w:t>
      </w:r>
      <w:proofErr w:type="spellEnd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. los contratos se registraron años más tarde,</w:t>
      </w:r>
      <w:r w:rsidRPr="00956C39">
        <w:rPr>
          <w:rFonts w:ascii="AvenirLTStd-Light" w:hAnsi="AvenirLTStd-Light"/>
          <w:color w:val="242021"/>
          <w:highlight w:val="yellow"/>
        </w:rPr>
        <w:br/>
      </w:r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luego que el matrimonio se había celebrado. Frente a terceros la sentencia del </w:t>
      </w:r>
      <w:proofErr w:type="spellStart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Trib.Jur</w:t>
      </w:r>
      <w:proofErr w:type="spellEnd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.</w:t>
      </w:r>
      <w:r w:rsidRPr="00956C39">
        <w:rPr>
          <w:rFonts w:ascii="AvenirLTStd-Light" w:hAnsi="AvenirLTStd-Light"/>
          <w:color w:val="242021"/>
          <w:highlight w:val="yellow"/>
        </w:rPr>
        <w:br/>
      </w:r>
      <w:proofErr w:type="spellStart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Orig</w:t>
      </w:r>
      <w:proofErr w:type="spellEnd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., mediante la cual se acoge la transferencia, es la que hace oponible a terceros los</w:t>
      </w:r>
      <w:r w:rsidRPr="00956C39">
        <w:rPr>
          <w:rFonts w:ascii="AvenirLTStd-Light" w:hAnsi="AvenirLTStd-Light"/>
          <w:color w:val="242021"/>
          <w:highlight w:val="yellow"/>
        </w:rPr>
        <w:br/>
      </w:r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derechos del comprador, al comprobarse que no fueron fomentados dentro del matrimonio,</w:t>
      </w:r>
      <w:r w:rsidR="009F2245"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sino cuando el adquiriente era soltero. No. 5, Ter., </w:t>
      </w:r>
      <w:proofErr w:type="gramStart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>Nov.</w:t>
      </w:r>
      <w:proofErr w:type="gramEnd"/>
      <w:r w:rsidRPr="00956C39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1224</w:t>
      </w:r>
    </w:p>
    <w:p w:rsidR="000F0D66" w:rsidRPr="00956C39" w:rsidRDefault="000F0D66">
      <w:pPr>
        <w:rPr>
          <w:highlight w:val="yellow"/>
        </w:rPr>
      </w:pPr>
    </w:p>
    <w:p w:rsidR="004C7F57" w:rsidRPr="00956C39" w:rsidRDefault="004C7F57">
      <w:pPr>
        <w:rPr>
          <w:highlight w:val="yellow"/>
        </w:rPr>
      </w:pPr>
      <w:r w:rsidRPr="00956C39">
        <w:rPr>
          <w:highlight w:val="yellow"/>
        </w:rPr>
        <w:t xml:space="preserve">Disolución </w:t>
      </w:r>
      <w:r w:rsidR="00243562" w:rsidRPr="00956C39">
        <w:rPr>
          <w:highlight w:val="yellow"/>
        </w:rPr>
        <w:t xml:space="preserve">del Matrimonio y Partición de Bienes en Comunidad </w:t>
      </w:r>
    </w:p>
    <w:p w:rsidR="004C7F57" w:rsidRDefault="004C7F57">
      <w:r w:rsidRPr="00956C39">
        <w:rPr>
          <w:rStyle w:val="fontstyle01"/>
          <w:highlight w:val="yellow"/>
        </w:rPr>
        <w:t>La disolución de la comunidad legal tiene lugar cuando se pronuncia el divorcio por</w:t>
      </w:r>
      <w:r w:rsidRPr="00956C39">
        <w:rPr>
          <w:rFonts w:ascii="AvenirLTStd-Light" w:hAnsi="AvenirLTStd-Light"/>
          <w:color w:val="242021"/>
          <w:highlight w:val="yellow"/>
        </w:rPr>
        <w:br/>
      </w:r>
      <w:r w:rsidRPr="00956C39">
        <w:rPr>
          <w:rStyle w:val="fontstyle01"/>
          <w:highlight w:val="yellow"/>
        </w:rPr>
        <w:t>ante el Of</w:t>
      </w:r>
      <w:r w:rsidR="00243562" w:rsidRPr="00956C39">
        <w:rPr>
          <w:rStyle w:val="fontstyle01"/>
          <w:highlight w:val="yellow"/>
        </w:rPr>
        <w:t>i</w:t>
      </w:r>
      <w:r w:rsidRPr="00956C39">
        <w:rPr>
          <w:rStyle w:val="fontstyle01"/>
          <w:highlight w:val="yellow"/>
        </w:rPr>
        <w:t>cial del Estado Civil. Es a partir de tal momento cuando comienza a contar el</w:t>
      </w:r>
      <w:r w:rsidRPr="00956C39">
        <w:rPr>
          <w:rFonts w:ascii="AvenirLTStd-Light" w:hAnsi="AvenirLTStd-Light"/>
          <w:color w:val="242021"/>
          <w:highlight w:val="yellow"/>
        </w:rPr>
        <w:br/>
      </w:r>
      <w:r w:rsidRPr="00956C39">
        <w:rPr>
          <w:rStyle w:val="fontstyle01"/>
          <w:highlight w:val="yellow"/>
        </w:rPr>
        <w:t>plazo para demandar la partición de los bienes formados en la comunidad. No. 5, Pr., Ago.</w:t>
      </w:r>
      <w:r w:rsidRPr="00956C39">
        <w:rPr>
          <w:rFonts w:ascii="AvenirLTStd-Light" w:hAnsi="AvenirLTStd-Light"/>
          <w:color w:val="242021"/>
          <w:highlight w:val="yellow"/>
        </w:rPr>
        <w:br/>
      </w:r>
      <w:r w:rsidRPr="00956C39">
        <w:rPr>
          <w:rStyle w:val="fontstyle01"/>
          <w:highlight w:val="yellow"/>
        </w:rPr>
        <w:t>2012, B.J. 1221.</w:t>
      </w:r>
    </w:p>
    <w:p w:rsidR="004C7F57" w:rsidRDefault="004C7F57"/>
    <w:p w:rsidR="00BD2764" w:rsidRDefault="00BC015C">
      <w:pPr>
        <w:rPr>
          <w:rFonts w:ascii="AvenirLTStd-Light" w:hAnsi="AvenirLTStd-Light"/>
          <w:color w:val="242021"/>
          <w:sz w:val="24"/>
          <w:szCs w:val="24"/>
        </w:rPr>
      </w:pPr>
      <w:r w:rsidRPr="00931983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No Procede pago </w:t>
      </w:r>
      <w:r w:rsidR="00931983" w:rsidRPr="00931983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del </w:t>
      </w:r>
      <w:r w:rsidRPr="00931983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Impuesto Transferencias Inmobiliarias en Promesa De Venta</w:t>
      </w:r>
      <w:r w:rsidRPr="00931983"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  <w:br/>
      </w:r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>Aunque la promesa bilateral de venta vale venta entre las partes, al existir acuerdo</w:t>
      </w:r>
      <w:r w:rsidR="00BD2764" w:rsidRPr="00931983">
        <w:rPr>
          <w:rFonts w:ascii="AvenirLTStd-Light" w:hAnsi="AvenirLTStd-Light"/>
          <w:color w:val="242021"/>
          <w:highlight w:val="yellow"/>
        </w:rPr>
        <w:br/>
      </w:r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>sobre la cosa y el precio, para que exista obligación tributaria tiene que haberse materializado el presupuesto consagrado por la norma tributaria, lo que no ocurre en el caso de un</w:t>
      </w:r>
      <w:r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>contrato de promesa de venta, pues habría entonces un doble cobro de impuesto por una</w:t>
      </w:r>
      <w:r w:rsidR="00931983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>transferencia inmobiliaria posterior, lo que lesionaría principios fundamentales del régimen</w:t>
      </w:r>
      <w:r w:rsidR="00931983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tributario. No. 53, Ter., </w:t>
      </w:r>
      <w:proofErr w:type="gramStart"/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>Dic.</w:t>
      </w:r>
      <w:proofErr w:type="gramEnd"/>
      <w:r w:rsidR="00BD2764" w:rsidRPr="00931983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1225</w:t>
      </w:r>
    </w:p>
    <w:p w:rsidR="007C5222" w:rsidRPr="00E83556" w:rsidRDefault="00DD088A">
      <w:pPr>
        <w:rPr>
          <w:rFonts w:ascii="Calibri-Bold" w:hAnsi="Calibri-Bold"/>
          <w:b/>
          <w:bCs/>
          <w:color w:val="242021"/>
          <w:sz w:val="26"/>
          <w:szCs w:val="26"/>
          <w:highlight w:val="yellow"/>
        </w:rPr>
      </w:pPr>
      <w:r w:rsidRPr="00E83556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>La Prescripción en</w:t>
      </w:r>
      <w:r w:rsidR="007C5222" w:rsidRPr="00E83556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 Materia Inmobiliaria</w:t>
      </w:r>
    </w:p>
    <w:p w:rsidR="005C7694" w:rsidRDefault="007C5222">
      <w:pPr>
        <w:rPr>
          <w:rFonts w:ascii="AvenirLTStd-Light" w:hAnsi="AvenirLTStd-Light"/>
          <w:color w:val="242021"/>
          <w:sz w:val="24"/>
          <w:szCs w:val="24"/>
        </w:rPr>
      </w:pPr>
      <w:r w:rsidRPr="00E8355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La </w:t>
      </w:r>
      <w:r w:rsidRPr="00E83556">
        <w:rPr>
          <w:rFonts w:ascii="Arial" w:hAnsi="Arial" w:cs="Arial"/>
          <w:b/>
          <w:bCs/>
          <w:color w:val="222222"/>
          <w:sz w:val="21"/>
          <w:szCs w:val="21"/>
          <w:highlight w:val="yellow"/>
          <w:shd w:val="clear" w:color="auto" w:fill="FFFFFF"/>
        </w:rPr>
        <w:t>prescripción</w:t>
      </w:r>
      <w:r w:rsidRPr="00E8355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​ es un instituto </w:t>
      </w:r>
      <w:hyperlink r:id="rId6" w:tooltip="Derecho" w:history="1">
        <w:r w:rsidRPr="00E83556">
          <w:rPr>
            <w:rStyle w:val="Hyperlink"/>
            <w:rFonts w:ascii="Arial" w:hAnsi="Arial" w:cs="Arial"/>
            <w:color w:val="0B0080"/>
            <w:sz w:val="21"/>
            <w:szCs w:val="21"/>
            <w:highlight w:val="yellow"/>
            <w:shd w:val="clear" w:color="auto" w:fill="FFFFFF"/>
          </w:rPr>
          <w:t>jurídico</w:t>
        </w:r>
      </w:hyperlink>
      <w:r w:rsidRPr="00E8355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> por el cual el transcurso del tiempo produce el efecto de consolidar las situaciones de hecho, permitiendo la extinción de los derechos o la adquisición de las </w:t>
      </w:r>
      <w:hyperlink r:id="rId7" w:tooltip="Cosa (Derecho)" w:history="1">
        <w:r w:rsidRPr="00E83556">
          <w:rPr>
            <w:rStyle w:val="Hyperlink"/>
            <w:rFonts w:ascii="Arial" w:hAnsi="Arial" w:cs="Arial"/>
            <w:color w:val="0B0080"/>
            <w:sz w:val="21"/>
            <w:szCs w:val="21"/>
            <w:highlight w:val="yellow"/>
            <w:shd w:val="clear" w:color="auto" w:fill="FFFFFF"/>
          </w:rPr>
          <w:t>cosas</w:t>
        </w:r>
      </w:hyperlink>
      <w:r w:rsidRPr="00E83556">
        <w:rPr>
          <w:rFonts w:ascii="Arial" w:hAnsi="Arial" w:cs="Arial"/>
          <w:color w:val="222222"/>
          <w:sz w:val="21"/>
          <w:szCs w:val="21"/>
          <w:highlight w:val="yellow"/>
          <w:shd w:val="clear" w:color="auto" w:fill="FFFFFF"/>
        </w:rPr>
        <w:t xml:space="preserve"> ajenas. </w:t>
      </w:r>
      <w:r w:rsidR="005C7694" w:rsidRPr="00E83556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br/>
      </w:r>
      <w:r w:rsidR="005C7694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Una demanda en ejecución de un contrato o acto traslativo de propiedad nunca prescribe ante la Jurisdicción Inmobiliaria, al comprobarse que subsisten derechos registrados</w:t>
      </w:r>
      <w:r w:rsidR="005C7694" w:rsidRPr="00E83556">
        <w:rPr>
          <w:rFonts w:ascii="AvenirLTStd-Light" w:hAnsi="AvenirLTStd-Light"/>
          <w:color w:val="242021"/>
          <w:highlight w:val="yellow"/>
        </w:rPr>
        <w:br/>
      </w:r>
      <w:r w:rsidR="005C7694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a los sucesores del vendedor. Un derecho adquirido, sea antes o después del saneamiento</w:t>
      </w:r>
      <w:r w:rsidR="005C7694" w:rsidRPr="00E83556">
        <w:rPr>
          <w:rFonts w:ascii="AvenirLTStd-Light" w:hAnsi="AvenirLTStd-Light"/>
          <w:color w:val="242021"/>
          <w:highlight w:val="yellow"/>
        </w:rPr>
        <w:br/>
      </w:r>
      <w:r w:rsidR="005C7694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y aun no se haya hecho valer en el saneamiento, puede ejecutarse, siempre y cuando el</w:t>
      </w:r>
      <w:r w:rsidR="005C7694" w:rsidRPr="00E83556">
        <w:rPr>
          <w:rFonts w:ascii="AvenirLTStd-Light" w:hAnsi="AvenirLTStd-Light"/>
          <w:color w:val="242021"/>
          <w:highlight w:val="yellow"/>
        </w:rPr>
        <w:br/>
      </w:r>
      <w:r w:rsidR="005C7694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inmueble permanezca en el patrimonio del causante, excepto en los casos de que existan</w:t>
      </w:r>
      <w:r w:rsidR="005C7694" w:rsidRPr="00E83556">
        <w:rPr>
          <w:rFonts w:ascii="AvenirLTStd-Light" w:hAnsi="AvenirLTStd-Light"/>
          <w:color w:val="242021"/>
          <w:highlight w:val="yellow"/>
        </w:rPr>
        <w:br/>
      </w:r>
      <w:r w:rsidR="005C7694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terceros adquirientes de buena fe y a título oneroso. No. 43, Ter., mar. 2012, B.J. 1216.</w:t>
      </w:r>
    </w:p>
    <w:p w:rsidR="00E83556" w:rsidRPr="00E83556" w:rsidRDefault="00F15526">
      <w:pPr>
        <w:rPr>
          <w:rFonts w:ascii="AvenirLTStd-Light" w:hAnsi="AvenirLTStd-Light"/>
          <w:color w:val="242021"/>
          <w:sz w:val="24"/>
          <w:szCs w:val="24"/>
          <w:highlight w:val="yellow"/>
        </w:rPr>
      </w:pPr>
      <w:r w:rsidRPr="00E83556">
        <w:rPr>
          <w:rFonts w:ascii="Calibri-BoldItalic" w:hAnsi="Calibri-BoldItalic"/>
          <w:b/>
          <w:bCs/>
          <w:i/>
          <w:iCs/>
          <w:color w:val="242021"/>
          <w:sz w:val="26"/>
          <w:szCs w:val="26"/>
          <w:highlight w:val="yellow"/>
        </w:rPr>
        <w:t>Efecto del depósito</w:t>
      </w:r>
      <w:r w:rsidRPr="00E83556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t xml:space="preserve"> en el Registro Inmobiliario</w:t>
      </w:r>
      <w:r w:rsidR="00F111B0" w:rsidRPr="00E83556">
        <w:rPr>
          <w:rFonts w:ascii="Calibri-Bold" w:hAnsi="Calibri-Bold"/>
          <w:b/>
          <w:bCs/>
          <w:color w:val="242021"/>
          <w:sz w:val="28"/>
          <w:szCs w:val="28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El simple depósito de los documentos en que se sustenta una solicitud de transferencia de los inmuebles no equivale al registro automático del derecho, ya que el Registrador</w:t>
      </w:r>
      <w:r w:rsidR="00F111B0" w:rsidRPr="00E83556">
        <w:rPr>
          <w:rFonts w:ascii="AvenirLTStd-Light" w:hAnsi="AvenirLTStd-Light"/>
          <w:color w:val="242021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lastRenderedPageBreak/>
        <w:t>de Títulos tiene la obligación de depurar dichos documentos antes de proceder al registro.</w:t>
      </w:r>
      <w:r w:rsidR="00F111B0" w:rsidRPr="00E83556">
        <w:rPr>
          <w:rFonts w:ascii="AvenirLTStd-Light" w:hAnsi="AvenirLTStd-Light"/>
          <w:color w:val="242021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Hasta que estas operaciones no sean ejecutadas, el derecho de propiedad es inoponible</w:t>
      </w:r>
      <w:r w:rsidR="00F111B0" w:rsidRPr="00E83556">
        <w:rPr>
          <w:rFonts w:ascii="AvenirLTStd-Light" w:hAnsi="AvenirLTStd-Light"/>
          <w:color w:val="242021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a terceros, aun cuando se compruebe que el retraso en el registro no se debe a una causa</w:t>
      </w:r>
      <w:r w:rsidR="00F111B0" w:rsidRPr="00E83556">
        <w:rPr>
          <w:rFonts w:ascii="AvenirLTStd-Light" w:hAnsi="AvenirLTStd-Light"/>
          <w:color w:val="242021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imputable al solicitante, salvo que se compruebe que el tercero obró fraudulentamente o</w:t>
      </w:r>
      <w:r w:rsidR="00F111B0" w:rsidRPr="00E83556">
        <w:rPr>
          <w:rFonts w:ascii="AvenirLTStd-Light" w:hAnsi="AvenirLTStd-Light"/>
          <w:color w:val="242021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de mala fe. La transferencia pendiente de registro no puede afectar la validez de la hipoteca</w:t>
      </w:r>
      <w:r w:rsidR="00F111B0" w:rsidRPr="00E83556">
        <w:rPr>
          <w:rFonts w:ascii="AvenirLTStd-Light" w:hAnsi="AvenirLTStd-Light"/>
          <w:color w:val="242021"/>
          <w:highlight w:val="yellow"/>
        </w:rPr>
        <w:br/>
      </w:r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judicial provisional regularmente inscrita por el recurrido. No. 3, Pr., </w:t>
      </w:r>
      <w:proofErr w:type="gramStart"/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Ago.</w:t>
      </w:r>
      <w:proofErr w:type="gramEnd"/>
      <w:r w:rsidR="00F111B0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1221.</w:t>
      </w:r>
    </w:p>
    <w:p w:rsidR="00F111B0" w:rsidRPr="00EE1F8F" w:rsidRDefault="00F111B0">
      <w:r w:rsidRPr="00E83556">
        <w:rPr>
          <w:rFonts w:ascii="AvenirLTStd-Light" w:hAnsi="AvenirLTStd-Light"/>
          <w:color w:val="242021"/>
          <w:highlight w:val="yellow"/>
        </w:rPr>
        <w:br/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No es </w:t>
      </w:r>
      <w:proofErr w:type="spellStart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sufciente</w:t>
      </w:r>
      <w:proofErr w:type="spellEnd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que con motivo de una litis sobre terreno registrado se </w:t>
      </w:r>
      <w:proofErr w:type="spellStart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notifque</w:t>
      </w:r>
      <w:proofErr w:type="spellEnd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al</w:t>
      </w:r>
      <w:r w:rsidRPr="00E83556">
        <w:rPr>
          <w:rFonts w:ascii="AvenirLTStd-Light" w:hAnsi="AvenirLTStd-Light"/>
          <w:color w:val="242021"/>
          <w:highlight w:val="yellow"/>
        </w:rPr>
        <w:br/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Registrador de Títulos una oposición al traspaso y gravamen del inmueble en discusión, sino</w:t>
      </w:r>
      <w:r w:rsidR="00E83556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que es indispensable que la misma sea registrada o anotada y que de la misma aparezca</w:t>
      </w:r>
      <w:r w:rsidR="00E83556"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</w:t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la constancia correspondiente en el </w:t>
      </w:r>
      <w:proofErr w:type="spellStart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Certifcado</w:t>
      </w:r>
      <w:proofErr w:type="spellEnd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de Título o Carta Constancia que se expidió en relación con dicho inmueble, a </w:t>
      </w:r>
      <w:proofErr w:type="spellStart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fn</w:t>
      </w:r>
      <w:proofErr w:type="spellEnd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de que en esa forma los interesados en realizar</w:t>
      </w:r>
      <w:r w:rsidRPr="00E83556">
        <w:rPr>
          <w:rFonts w:ascii="AvenirLTStd-Light" w:hAnsi="AvenirLTStd-Light"/>
          <w:color w:val="242021"/>
          <w:highlight w:val="yellow"/>
        </w:rPr>
        <w:br/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cualquier operación tengan el debido conocimiento del estatus de dicho inmueble, ya que</w:t>
      </w:r>
      <w:r w:rsidRPr="00E83556">
        <w:rPr>
          <w:rFonts w:ascii="AvenirLTStd-Light" w:hAnsi="AvenirLTStd-Light"/>
          <w:color w:val="242021"/>
          <w:highlight w:val="yellow"/>
        </w:rPr>
        <w:br/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un interesado a quien se le muestra un </w:t>
      </w:r>
      <w:proofErr w:type="spellStart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Certifcado</w:t>
      </w:r>
      <w:proofErr w:type="spellEnd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de Título o Carta Constancia libre de</w:t>
      </w:r>
      <w:r w:rsidRPr="00E83556">
        <w:rPr>
          <w:rFonts w:ascii="AvenirLTStd-Light" w:hAnsi="AvenirLTStd-Light"/>
          <w:color w:val="242021"/>
          <w:highlight w:val="yellow"/>
        </w:rPr>
        <w:br/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notaciones o gravámenes, no está obligado a realizar otras investigaciones para percatarse</w:t>
      </w:r>
      <w:r w:rsidRPr="00E83556">
        <w:rPr>
          <w:rFonts w:ascii="AvenirLTStd-Light" w:hAnsi="AvenirLTStd-Light"/>
          <w:color w:val="242021"/>
          <w:highlight w:val="yellow"/>
        </w:rPr>
        <w:br/>
      </w:r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de tal situación. No. 42, Ter., </w:t>
      </w:r>
      <w:proofErr w:type="gramStart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>Jul.</w:t>
      </w:r>
      <w:proofErr w:type="gramEnd"/>
      <w:r w:rsidRPr="00E83556">
        <w:rPr>
          <w:rFonts w:ascii="AvenirLTStd-Light" w:hAnsi="AvenirLTStd-Light"/>
          <w:color w:val="242021"/>
          <w:sz w:val="24"/>
          <w:szCs w:val="24"/>
          <w:highlight w:val="yellow"/>
        </w:rPr>
        <w:t xml:space="preserve"> 2012, B.J. 1220</w:t>
      </w:r>
      <w:r>
        <w:rPr>
          <w:rFonts w:ascii="AvenirLTStd-Light" w:hAnsi="AvenirLTStd-Light"/>
          <w:color w:val="242021"/>
          <w:sz w:val="24"/>
          <w:szCs w:val="24"/>
        </w:rPr>
        <w:t xml:space="preserve">  </w:t>
      </w:r>
      <w:r>
        <w:rPr>
          <w:rFonts w:ascii="AvenirLTStd-Light" w:hAnsi="AvenirLTStd-Light"/>
          <w:color w:val="242021"/>
          <w:sz w:val="24"/>
          <w:szCs w:val="24"/>
        </w:rPr>
        <w:tab/>
      </w:r>
    </w:p>
    <w:sectPr w:rsidR="00F111B0" w:rsidRPr="00EE1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LTStd-Ligh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88"/>
    <w:rsid w:val="00001C56"/>
    <w:rsid w:val="0002758B"/>
    <w:rsid w:val="00083F5D"/>
    <w:rsid w:val="000F0D66"/>
    <w:rsid w:val="00134D31"/>
    <w:rsid w:val="00181D24"/>
    <w:rsid w:val="001E3367"/>
    <w:rsid w:val="00205700"/>
    <w:rsid w:val="00243562"/>
    <w:rsid w:val="00303F2A"/>
    <w:rsid w:val="00322DFE"/>
    <w:rsid w:val="003778C8"/>
    <w:rsid w:val="00381081"/>
    <w:rsid w:val="003A382B"/>
    <w:rsid w:val="003A7F8B"/>
    <w:rsid w:val="003C4913"/>
    <w:rsid w:val="003E4A1E"/>
    <w:rsid w:val="004026C3"/>
    <w:rsid w:val="00403D50"/>
    <w:rsid w:val="00432849"/>
    <w:rsid w:val="00451C3D"/>
    <w:rsid w:val="004603FE"/>
    <w:rsid w:val="00460CEB"/>
    <w:rsid w:val="00470C9A"/>
    <w:rsid w:val="004B5ABF"/>
    <w:rsid w:val="004C0639"/>
    <w:rsid w:val="004C7F57"/>
    <w:rsid w:val="004E5D24"/>
    <w:rsid w:val="00525289"/>
    <w:rsid w:val="0053544D"/>
    <w:rsid w:val="005A3C99"/>
    <w:rsid w:val="005A6493"/>
    <w:rsid w:val="005C7694"/>
    <w:rsid w:val="006730B2"/>
    <w:rsid w:val="00690BEC"/>
    <w:rsid w:val="006D450F"/>
    <w:rsid w:val="006F0911"/>
    <w:rsid w:val="007C5222"/>
    <w:rsid w:val="007F4626"/>
    <w:rsid w:val="007F6109"/>
    <w:rsid w:val="008131FA"/>
    <w:rsid w:val="00832EA9"/>
    <w:rsid w:val="00851E85"/>
    <w:rsid w:val="00867F4D"/>
    <w:rsid w:val="008D27B4"/>
    <w:rsid w:val="00920A23"/>
    <w:rsid w:val="00921C60"/>
    <w:rsid w:val="00931983"/>
    <w:rsid w:val="00941C88"/>
    <w:rsid w:val="00952A00"/>
    <w:rsid w:val="00956C39"/>
    <w:rsid w:val="009A4DE1"/>
    <w:rsid w:val="009F2245"/>
    <w:rsid w:val="00A657EB"/>
    <w:rsid w:val="00A858BF"/>
    <w:rsid w:val="00B45526"/>
    <w:rsid w:val="00B56169"/>
    <w:rsid w:val="00B65995"/>
    <w:rsid w:val="00B70577"/>
    <w:rsid w:val="00B9527D"/>
    <w:rsid w:val="00BB37BB"/>
    <w:rsid w:val="00BC015C"/>
    <w:rsid w:val="00BD2764"/>
    <w:rsid w:val="00C24857"/>
    <w:rsid w:val="00C30130"/>
    <w:rsid w:val="00C64C91"/>
    <w:rsid w:val="00D1173E"/>
    <w:rsid w:val="00D4764D"/>
    <w:rsid w:val="00D951E1"/>
    <w:rsid w:val="00DC03B8"/>
    <w:rsid w:val="00DD088A"/>
    <w:rsid w:val="00DF7B8F"/>
    <w:rsid w:val="00E725DA"/>
    <w:rsid w:val="00E83556"/>
    <w:rsid w:val="00EC451C"/>
    <w:rsid w:val="00ED06A3"/>
    <w:rsid w:val="00EE1F8F"/>
    <w:rsid w:val="00F111B0"/>
    <w:rsid w:val="00F117D8"/>
    <w:rsid w:val="00F15526"/>
    <w:rsid w:val="00F43A47"/>
    <w:rsid w:val="00FB1E7C"/>
    <w:rsid w:val="00FC4E8A"/>
    <w:rsid w:val="00FC71CA"/>
    <w:rsid w:val="00F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B1A60"/>
  <w15:chartTrackingRefBased/>
  <w15:docId w15:val="{D8AE6163-BAB1-427F-8F31-C9E21EAEE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Heading3">
    <w:name w:val="heading 3"/>
    <w:basedOn w:val="Normal"/>
    <w:link w:val="Heading3Char"/>
    <w:uiPriority w:val="9"/>
    <w:qFormat/>
    <w:rsid w:val="00D95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F5D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character" w:customStyle="1" w:styleId="fontstyle01">
    <w:name w:val="fontstyle01"/>
    <w:basedOn w:val="DefaultParagraphFont"/>
    <w:rsid w:val="00083F5D"/>
    <w:rPr>
      <w:rFonts w:ascii="AvenirLTStd-Light" w:hAnsi="AvenirLTStd-Light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381081"/>
    <w:rPr>
      <w:rFonts w:ascii="AvenirLTStd-Light" w:hAnsi="AvenirLTStd-Light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11">
    <w:name w:val="fontstyle11"/>
    <w:basedOn w:val="DefaultParagraphFont"/>
    <w:rsid w:val="00D4764D"/>
    <w:rPr>
      <w:rFonts w:ascii="AvenirLTStd-Light" w:hAnsi="AvenirLTStd-Light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5C7694"/>
    <w:rPr>
      <w:rFonts w:ascii="AvenirLTStd-Light" w:hAnsi="AvenirLTStd-Light" w:hint="default"/>
      <w:b w:val="0"/>
      <w:bCs w:val="0"/>
      <w:i w:val="0"/>
      <w:iCs w:val="0"/>
      <w:color w:val="24202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A4D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Strong">
    <w:name w:val="Strong"/>
    <w:basedOn w:val="DefaultParagraphFont"/>
    <w:uiPriority w:val="22"/>
    <w:qFormat/>
    <w:rsid w:val="00D951E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951E1"/>
    <w:rPr>
      <w:rFonts w:ascii="Times New Roman" w:eastAsia="Times New Roman" w:hAnsi="Times New Roman" w:cs="Times New Roman"/>
      <w:b/>
      <w:bCs/>
      <w:sz w:val="27"/>
      <w:szCs w:val="27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Cosa_(Derecho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Derecho" TargetMode="External"/><Relationship Id="rId5" Type="http://schemas.openxmlformats.org/officeDocument/2006/relationships/hyperlink" Target="http://www.monografias.com/trabajos13/mapro/mapro.shtml" TargetMode="External"/><Relationship Id="rId4" Type="http://schemas.openxmlformats.org/officeDocument/2006/relationships/hyperlink" Target="http://www.monografias.com/trabajos12/eticaplic/eticaplic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3546</Words>
  <Characters>19503</Characters>
  <Application>Microsoft Office Word</Application>
  <DocSecurity>0</DocSecurity>
  <Lines>162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</dc:creator>
  <cp:keywords/>
  <dc:description/>
  <cp:lastModifiedBy>Mary G</cp:lastModifiedBy>
  <cp:revision>3</cp:revision>
  <dcterms:created xsi:type="dcterms:W3CDTF">2018-02-13T01:02:00Z</dcterms:created>
  <dcterms:modified xsi:type="dcterms:W3CDTF">2018-02-13T04:21:00Z</dcterms:modified>
</cp:coreProperties>
</file>