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Vocational</w:t>
      </w:r>
      <w:r>
        <w:t xml:space="preserve"> </w:t>
      </w:r>
      <w:r>
        <w:t xml:space="preserve">Teachers’</w:t>
      </w:r>
      <w:r>
        <w:t xml:space="preserve"> </w:t>
      </w:r>
      <w:r>
        <w:t xml:space="preserve">Informal</w:t>
      </w:r>
      <w:r>
        <w:t xml:space="preserve"> </w:t>
      </w:r>
      <w:r>
        <w:t xml:space="preserve">Workplace</w:t>
      </w:r>
      <w:r>
        <w:t xml:space="preserve"> </w:t>
      </w:r>
      <w:r>
        <w:t xml:space="preserve">Learning</w:t>
      </w:r>
      <w:r>
        <w:t xml:space="preserve"> </w:t>
      </w:r>
      <w:r>
        <w:t xml:space="preserve">Using</w:t>
      </w:r>
      <w:r>
        <w:t xml:space="preserve"> </w:t>
      </w:r>
      <w:r>
        <w:t xml:space="preserve">Experience</w:t>
      </w:r>
      <w:r>
        <w:t xml:space="preserve"> </w:t>
      </w:r>
      <w:r>
        <w:t xml:space="preserve">Sampling</w:t>
      </w:r>
    </w:p>
    <w:p>
      <w:pPr>
        <w:pStyle w:val="Author"/>
      </w:pPr>
      <w:r>
        <w:t xml:space="preserve">Manuel</w:t>
      </w:r>
      <w:r>
        <w:t xml:space="preserve"> </w:t>
      </w:r>
      <w:r>
        <w:t xml:space="preserve">Böhm</w:t>
      </w:r>
    </w:p>
    <w:p>
      <w:pPr>
        <w:pStyle w:val="Date"/>
      </w:pPr>
      <w:r>
        <w:t xml:space="preserve">2024-10-15</w:t>
      </w:r>
    </w:p>
    <w:sdt>
      <w:sdtPr>
        <w:docPartObj>
          <w:docPartGallery w:val="Table of Contents"/>
          <w:docPartUnique/>
        </w:docPartObj>
      </w:sdtPr>
      <w:sdtContent>
        <w:p>
          <w:pPr>
            <w:pStyle w:val="TOCHeading"/>
          </w:pPr>
          <w:r>
            <w:t xml:space="preserve">Article</w:t>
          </w:r>
          <w:r>
            <w:t xml:space="preserve"> </w:t>
          </w:r>
          <w:r>
            <w:t xml:space="preserve">Outline</w:t>
          </w:r>
        </w:p>
        <w:p>
          <w:r>
            <w:fldChar w:fldCharType="begin" w:dirty="true"/>
            <w:instrText xml:space="preserve">TOC \o "1-3" \h \z \u</w:instrText>
            <w:fldChar w:fldCharType="separate"/>
            <w:fldChar w:fldCharType="end"/>
          </w:r>
        </w:p>
      </w:sdtContent>
    </w:sdt>
    <w:bookmarkStart w:id="20" w:name="acknowledgement"/>
    <w:p>
      <w:pPr>
        <w:pStyle w:val="Heading1"/>
      </w:pPr>
      <w:r>
        <w:t xml:space="preserve">Acknowledgement</w:t>
      </w:r>
    </w:p>
    <w:p>
      <w:pPr>
        <w:pStyle w:val="Compact"/>
        <w:numPr>
          <w:ilvl w:val="0"/>
          <w:numId w:val="1001"/>
        </w:numPr>
      </w:pPr>
      <w:r>
        <w:t xml:space="preserve">Frau Banschbach (falls ich die Daten von ihr hier verwende)</w:t>
      </w:r>
    </w:p>
    <w:bookmarkEnd w:id="20"/>
    <w:bookmarkStart w:id="23" w:name="possible-journals"/>
    <w:p>
      <w:pPr>
        <w:pStyle w:val="Heading1"/>
      </w:pPr>
      <w:r>
        <w:t xml:space="preserve">Possible Journals</w:t>
      </w:r>
    </w:p>
    <w:p>
      <w:pPr>
        <w:pStyle w:val="FirstParagraph"/>
      </w:pPr>
      <w:r>
        <w:t xml:space="preserve">Teaching and Teacher Education (IF: 4.0),</w:t>
      </w:r>
      <w:r>
        <w:br/>
      </w:r>
      <w:hyperlink r:id="rId21">
        <w:r>
          <w:rPr>
            <w:rStyle w:val="Hyperlink"/>
          </w:rPr>
          <w:t xml:space="preserve">https://doi.org/10.1016/S0742-051X(02)00101-4</w:t>
        </w:r>
      </w:hyperlink>
      <w:r>
        <w:t xml:space="preserve"> </w:t>
      </w:r>
      <w:r>
        <w:t xml:space="preserve">was also published here</w:t>
      </w:r>
    </w:p>
    <w:p>
      <w:pPr>
        <w:pStyle w:val="BodyText"/>
      </w:pPr>
      <w:r>
        <w:t xml:space="preserve">Regelungen/Hinweise:</w:t>
      </w:r>
    </w:p>
    <w:p>
      <w:pPr>
        <w:numPr>
          <w:ilvl w:val="0"/>
          <w:numId w:val="1002"/>
        </w:numPr>
      </w:pPr>
      <w:r>
        <w:t xml:space="preserve">Abstract: 100 words, 3 - 6 keywords</w:t>
      </w:r>
    </w:p>
    <w:p>
      <w:pPr>
        <w:numPr>
          <w:ilvl w:val="0"/>
          <w:numId w:val="1002"/>
        </w:numPr>
      </w:pPr>
      <w:r>
        <w:t xml:space="preserve">Report: 5.000-9.000 words</w:t>
      </w:r>
    </w:p>
    <w:p>
      <w:pPr>
        <w:pStyle w:val="FirstParagraph"/>
      </w:pPr>
      <w:r>
        <w:t xml:space="preserve">Ansonsten:</w:t>
      </w:r>
    </w:p>
    <w:p>
      <w:pPr>
        <w:numPr>
          <w:ilvl w:val="0"/>
          <w:numId w:val="1003"/>
        </w:numPr>
      </w:pPr>
      <w:r>
        <w:t xml:space="preserve">Human Resource Development International (IF: 3.8)</w:t>
      </w:r>
    </w:p>
    <w:p>
      <w:pPr>
        <w:pStyle w:val="Compact"/>
        <w:numPr>
          <w:ilvl w:val="1"/>
          <w:numId w:val="1004"/>
        </w:numPr>
      </w:pPr>
      <w:hyperlink r:id="rId22">
        <w:r>
          <w:rPr>
            <w:rStyle w:val="Hyperlink"/>
          </w:rPr>
          <w:t xml:space="preserve">https://doi.org/10.1080/13678860010004123</w:t>
        </w:r>
      </w:hyperlink>
      <w:r>
        <w:t xml:space="preserve"> </w:t>
      </w:r>
      <w:r>
        <w:t xml:space="preserve">was also published here</w:t>
      </w:r>
    </w:p>
    <w:p>
      <w:pPr>
        <w:numPr>
          <w:ilvl w:val="0"/>
          <w:numId w:val="1003"/>
        </w:numPr>
      </w:pPr>
      <w:r>
        <w:t xml:space="preserve">Journal of Workplace Learning (IF: )</w:t>
      </w:r>
    </w:p>
    <w:p>
      <w:pPr>
        <w:numPr>
          <w:ilvl w:val="0"/>
          <w:numId w:val="1003"/>
        </w:numPr>
      </w:pPr>
      <w:r>
        <w:t xml:space="preserve">Vocations and Learning (IF: 1.9)</w:t>
      </w:r>
    </w:p>
    <w:p>
      <w:pPr>
        <w:numPr>
          <w:ilvl w:val="0"/>
          <w:numId w:val="1003"/>
        </w:numPr>
      </w:pPr>
      <w:r>
        <w:t xml:space="preserve">Learning Environments Research (IF: 2.7)</w:t>
      </w:r>
    </w:p>
    <w:p>
      <w:pPr>
        <w:numPr>
          <w:ilvl w:val="0"/>
          <w:numId w:val="1003"/>
        </w:numPr>
      </w:pPr>
      <w:r>
        <w:t xml:space="preserve">Technology, Knowledge and Learning (IF: 3.0) - not that fitting…</w:t>
      </w:r>
    </w:p>
    <w:p>
      <w:pPr>
        <w:numPr>
          <w:ilvl w:val="0"/>
          <w:numId w:val="1003"/>
        </w:numPr>
      </w:pPr>
      <w:r>
        <w:t xml:space="preserve">Empirical Research in Vocational Education and Training (IF: 1.6)</w:t>
      </w:r>
    </w:p>
    <w:p>
      <w:pPr>
        <w:numPr>
          <w:ilvl w:val="0"/>
          <w:numId w:val="1003"/>
        </w:numPr>
      </w:pPr>
      <w:r>
        <w:t xml:space="preserve">Learning and Instruction (IF: 4.7) - not that fitting…</w:t>
      </w:r>
    </w:p>
    <w:p>
      <w:r>
        <w:br w:type="page"/>
      </w:r>
    </w:p>
    <w:bookmarkEnd w:id="23"/>
    <w:bookmarkStart w:id="24" w:name="abstract"/>
    <w:p>
      <w:pPr>
        <w:pStyle w:val="Heading1"/>
      </w:pPr>
      <w:r>
        <w:t xml:space="preserve">Abstract</w:t>
      </w:r>
    </w:p>
    <w:p>
      <w:pPr>
        <w:pStyle w:val="FirstParagraph"/>
      </w:pPr>
      <w:r>
        <w:t xml:space="preserve">…</w:t>
      </w:r>
    </w:p>
    <w:p>
      <w:pPr>
        <w:pStyle w:val="BodyText"/>
      </w:pPr>
      <w:r>
        <w:t xml:space="preserve">Keywords: workplace learning, teacher training, informal learning, experience sampling, multilevel modelling</w:t>
      </w:r>
    </w:p>
    <w:p>
      <w:r>
        <w:br w:type="page"/>
      </w:r>
    </w:p>
    <w:bookmarkEnd w:id="24"/>
    <w:bookmarkStart w:id="25" w:name="introduction"/>
    <w:p>
      <w:pPr>
        <w:pStyle w:val="Heading1"/>
      </w:pPr>
      <w:r>
        <w:t xml:space="preserve">Introduction</w:t>
      </w:r>
    </w:p>
    <w:p>
      <w:pPr>
        <w:pStyle w:val="FirstParagraph"/>
      </w:pPr>
      <w:r>
        <w:t xml:space="preserve">According to</w:t>
      </w:r>
      <w:r>
        <w:t xml:space="preserve"> </w:t>
      </w:r>
      <w:r>
        <w:t xml:space="preserve">Rausch (</w:t>
      </w:r>
      <w:hyperlink w:anchor="ref-rauschUsingDiariesResearch2014">
        <w:r>
          <w:rPr>
            <w:rStyle w:val="Hyperlink"/>
          </w:rPr>
          <w:t xml:space="preserve">2014</w:t>
        </w:r>
      </w:hyperlink>
      <w:r>
        <w:t xml:space="preserve">)</w:t>
      </w:r>
      <w:r>
        <w:t xml:space="preserve">, …</w:t>
      </w:r>
    </w:p>
    <w:p>
      <w:pPr>
        <w:numPr>
          <w:ilvl w:val="0"/>
          <w:numId w:val="1005"/>
        </w:numPr>
      </w:pPr>
      <w:r>
        <w:t xml:space="preserve">teacher shortage and difficult working conditions of teachers</w:t>
      </w:r>
    </w:p>
    <w:p>
      <w:pPr>
        <w:numPr>
          <w:ilvl w:val="1"/>
          <w:numId w:val="1006"/>
        </w:numPr>
      </w:pPr>
      <w:r>
        <w:t xml:space="preserve">stress, coping are important</w:t>
      </w:r>
    </w:p>
    <w:p>
      <w:pPr>
        <w:numPr>
          <w:ilvl w:val="1"/>
          <w:numId w:val="1006"/>
        </w:numPr>
      </w:pPr>
      <w:r>
        <w:t xml:space="preserve">learning of teachers has a particular important role</w:t>
      </w:r>
    </w:p>
    <w:p>
      <w:pPr>
        <w:numPr>
          <w:ilvl w:val="2"/>
          <w:numId w:val="1007"/>
        </w:numPr>
      </w:pPr>
      <w:r>
        <w:t xml:space="preserve">teachers have to prepare their lessons and</w:t>
      </w:r>
    </w:p>
    <w:p>
      <w:pPr>
        <w:numPr>
          <w:ilvl w:val="2"/>
          <w:numId w:val="1007"/>
        </w:numPr>
      </w:pPr>
      <w:r>
        <w:t xml:space="preserve">furthermore, teachers need to stay up to date</w:t>
      </w:r>
    </w:p>
    <w:p>
      <w:pPr>
        <w:numPr>
          <w:ilvl w:val="2"/>
          <w:numId w:val="1007"/>
        </w:numPr>
      </w:pPr>
      <w:r>
        <w:t xml:space="preserve">The teaching profession has a particular set of characteristics and job demands. At the same time, teachers are provided with a high degree of freedom or job decision latitude. –&gt; Karasek: learning hypothesis</w:t>
      </w:r>
    </w:p>
    <w:p>
      <w:pPr>
        <w:numPr>
          <w:ilvl w:val="1"/>
          <w:numId w:val="1006"/>
        </w:numPr>
      </w:pPr>
      <w:r>
        <w:t xml:space="preserve">vocational schools are under-represented in studies (). while there is research tackling other schools, still very little research on vocational schools.</w:t>
      </w:r>
    </w:p>
    <w:p>
      <w:pPr>
        <w:numPr>
          <w:ilvl w:val="0"/>
          <w:numId w:val="1005"/>
        </w:numPr>
      </w:pPr>
      <w:r>
        <w:t xml:space="preserve">lack of research on teachers at vocational schools ()</w:t>
      </w:r>
    </w:p>
    <w:p>
      <w:pPr>
        <w:pStyle w:val="Compact"/>
        <w:numPr>
          <w:ilvl w:val="1"/>
          <w:numId w:val="1008"/>
        </w:numPr>
      </w:pPr>
      <w:r>
        <w:t xml:space="preserve">experience sampling</w:t>
      </w:r>
    </w:p>
    <w:p>
      <w:pPr>
        <w:pStyle w:val="FirstParagraph"/>
      </w:pPr>
      <w:r>
        <w:t xml:space="preserve">Thus, the following research questions will be tackled in this paper:</w:t>
      </w:r>
    </w:p>
    <w:p>
      <w:pPr>
        <w:numPr>
          <w:ilvl w:val="0"/>
          <w:numId w:val="1009"/>
        </w:numPr>
      </w:pPr>
      <w:r>
        <w:t xml:space="preserve">RQ (Stress, coping and learning across activities, control for age, sex, jobscope + data from the FBS) - MLM</w:t>
      </w:r>
    </w:p>
    <w:p>
      <w:pPr>
        <w:numPr>
          <w:ilvl w:val="0"/>
          <w:numId w:val="1000"/>
        </w:numPr>
      </w:pPr>
      <w:r>
        <w:t xml:space="preserve">Which of teachers’ daily work activities are perceived as (a) the most stressful and (b) with which of the stressful activities could the teachers cope the best? (c) Which of teachers’ daily activities are perceived as the most conducive to learning?</w:t>
      </w:r>
    </w:p>
    <w:p>
      <w:pPr>
        <w:numPr>
          <w:ilvl w:val="0"/>
          <w:numId w:val="1009"/>
        </w:numPr>
      </w:pPr>
      <w:r>
        <w:t xml:space="preserve">[Desription of the Learning (freetext fields, Banschbach)]</w:t>
      </w:r>
    </w:p>
    <w:p>
      <w:pPr>
        <w:numPr>
          <w:ilvl w:val="0"/>
          <w:numId w:val="1009"/>
        </w:numPr>
      </w:pPr>
      <w:r>
        <w:t xml:space="preserve">RQ (Karasek, control for age, sex, jobscope + data from the FBS) - MLM</w:t>
      </w:r>
    </w:p>
    <w:p>
      <w:pPr>
        <w:numPr>
          <w:ilvl w:val="0"/>
          <w:numId w:val="1000"/>
        </w:numPr>
      </w:pPr>
      <w:r>
        <w:t xml:space="preserve">Do stress and coping predict informal learning in teachers’ daily work activities, as stated in Karasek’s learning hypothesis?</w:t>
      </w:r>
    </w:p>
    <w:p>
      <w:pPr>
        <w:numPr>
          <w:ilvl w:val="0"/>
          <w:numId w:val="1000"/>
        </w:numPr>
      </w:pPr>
      <w:r>
        <w:t xml:space="preserve">H: according to Karasek</w:t>
      </w:r>
    </w:p>
    <w:p>
      <w:pPr>
        <w:pStyle w:val="FirstParagraph"/>
      </w:pPr>
      <w:r>
        <w:t xml:space="preserve">include a participation effect (control for a bias)</w:t>
      </w:r>
      <w:r>
        <w:t xml:space="preserve"> </w:t>
      </w:r>
      <w:r>
        <w:t xml:space="preserve">H: higher participation -&gt; bigger pc_learn</w:t>
      </w:r>
      <w:r>
        <w:t xml:space="preserve"> </w:t>
      </w:r>
      <w:r>
        <w:t xml:space="preserve">Can time effects be found in the data? Does continued experience sampling have an effect on perceived informal learning?</w:t>
      </w:r>
    </w:p>
    <w:bookmarkEnd w:id="25"/>
    <w:bookmarkStart w:id="31" w:name="research-on-teachers-workplace-learning"/>
    <w:p>
      <w:pPr>
        <w:pStyle w:val="Heading1"/>
      </w:pPr>
      <w:r>
        <w:t xml:space="preserve">Research on Teachers’ Workplace Learning</w:t>
      </w:r>
    </w:p>
    <w:bookmarkStart w:id="28" w:name="X06d53f94c57133cf0292d7f1cb005e0c85248b4"/>
    <w:p>
      <w:pPr>
        <w:pStyle w:val="Heading2"/>
      </w:pPr>
      <w:r>
        <w:t xml:space="preserve">Characteristics of the Teacher Profession and their Daily Work Activities</w:t>
      </w:r>
    </w:p>
    <w:bookmarkStart w:id="26" w:name="characteristics"/>
    <w:p>
      <w:pPr>
        <w:pStyle w:val="Heading3"/>
      </w:pPr>
      <w:r>
        <w:t xml:space="preserve">Characteristics</w:t>
      </w:r>
    </w:p>
    <w:p>
      <w:pPr>
        <w:numPr>
          <w:ilvl w:val="0"/>
          <w:numId w:val="1010"/>
        </w:numPr>
      </w:pPr>
      <w:r>
        <w:t xml:space="preserve">High degree of freedom in the profession</w:t>
      </w:r>
    </w:p>
    <w:p>
      <w:pPr>
        <w:numPr>
          <w:ilvl w:val="0"/>
          <w:numId w:val="1010"/>
        </w:numPr>
      </w:pPr>
      <w:r>
        <w:t xml:space="preserve">subject (especially in vocational schools).</w:t>
      </w:r>
    </w:p>
    <w:p>
      <w:pPr>
        <w:pStyle w:val="Compact"/>
        <w:numPr>
          <w:ilvl w:val="1"/>
          <w:numId w:val="1011"/>
        </w:numPr>
      </w:pPr>
      <w:r>
        <w:t xml:space="preserve">–&gt; high demand to learn</w:t>
      </w:r>
    </w:p>
    <w:p>
      <w:pPr>
        <w:numPr>
          <w:ilvl w:val="0"/>
          <w:numId w:val="1010"/>
        </w:numPr>
      </w:pPr>
      <w:r>
        <w:t xml:space="preserve">Needed: Alternative to Rothland (2013)???</w:t>
      </w:r>
    </w:p>
    <w:p>
      <w:pPr>
        <w:pStyle w:val="Compact"/>
        <w:numPr>
          <w:ilvl w:val="1"/>
          <w:numId w:val="1012"/>
        </w:numPr>
      </w:pPr>
      <w:r>
        <w:t xml:space="preserve">Multiple sources that describe the characteristics</w:t>
      </w:r>
    </w:p>
    <w:p>
      <w:pPr>
        <w:numPr>
          <w:ilvl w:val="0"/>
          <w:numId w:val="1010"/>
        </w:numPr>
      </w:pPr>
      <w:r>
        <w:t xml:space="preserve">teacher stressors and coping (briefly): outline from research on teacher stress</w:t>
      </w:r>
    </w:p>
    <w:p>
      <w:pPr>
        <w:pStyle w:val="Compact"/>
        <w:numPr>
          <w:ilvl w:val="1"/>
          <w:numId w:val="1013"/>
        </w:numPr>
      </w:pPr>
      <w:r>
        <w:t xml:space="preserve">–&gt; Lazarus &amp; Folkman (for Stress)</w:t>
      </w:r>
    </w:p>
    <w:bookmarkEnd w:id="26"/>
    <w:bookmarkStart w:id="27" w:name="teachers-daily-work-activities"/>
    <w:p>
      <w:pPr>
        <w:pStyle w:val="Heading3"/>
      </w:pPr>
      <w:r>
        <w:t xml:space="preserve">Teachers’ Daily Work Activities</w:t>
      </w:r>
    </w:p>
    <w:p>
      <w:pPr>
        <w:pStyle w:val="Compact"/>
        <w:numPr>
          <w:ilvl w:val="0"/>
          <w:numId w:val="1014"/>
        </w:numPr>
      </w:pPr>
      <w:r>
        <w:t xml:space="preserve">overview teachers’ work activities (framework from the literature)</w:t>
      </w:r>
    </w:p>
    <w:bookmarkEnd w:id="27"/>
    <w:bookmarkEnd w:id="28"/>
    <w:bookmarkStart w:id="30" w:name="teachers-workplace-learning"/>
    <w:p>
      <w:pPr>
        <w:pStyle w:val="Heading2"/>
      </w:pPr>
      <w:r>
        <w:t xml:space="preserve">Teachers’ Workplace Learning</w:t>
      </w:r>
    </w:p>
    <w:p>
      <w:pPr>
        <w:pStyle w:val="Compact"/>
        <w:numPr>
          <w:ilvl w:val="0"/>
          <w:numId w:val="1015"/>
        </w:numPr>
      </w:pPr>
      <w:r>
        <w:t xml:space="preserve">formal, non-formal vs. informal WPL (so far from bwpat!!!)</w:t>
      </w:r>
    </w:p>
    <w:p>
      <w:pPr>
        <w:pStyle w:val="FirstParagraph"/>
      </w:pPr>
      <w:r>
        <w:t xml:space="preserve">In workplace learning, researchers typically differentiate between formal, non-formal and informal learning (e.g., Coombs &amp; Ahmed, 1974; Imants &amp; van Veen, 2010). Formal learning is typically defined as structured learning in pedagogical settings such as university teacher training. In these settings, learning occurs intentionally and is planned (Marsick &amp; Watkins, 2015; UNESCO Institute for Statistics, 2012). Non-formal learning is</w:t>
      </w:r>
      <w:r>
        <w:t xml:space="preserve"> </w:t>
      </w:r>
      <w:r>
        <w:t xml:space="preserve">“</w:t>
      </w:r>
      <w:r>
        <w:t xml:space="preserve">institutionalized, intentional and planned</w:t>
      </w:r>
      <w:r>
        <w:t xml:space="preserve">”</w:t>
      </w:r>
      <w:r>
        <w:t xml:space="preserve"> </w:t>
      </w:r>
      <w:r>
        <w:t xml:space="preserve">as well (UNESCO Institute for Statistics, 2012, p. 11) but in contrast to formal learning, it is not part of the national qualifications framework but includes training and development in companies (Bilger et al., 2013, p. 20) such as information resources for further teacher training. In contrast, informal learning is unintentional and experiential. It occurs as a by-product of other activities such as working (e.g., Marsick &amp; Watkins, 2015, p. 6; UNESCO Institute for Statistics, 2012, p. 19). This learning is also referred to as implicit learning (Eraut, 2004) or incidental learning (Marsick &amp; Watkins, 2015). Though less conscious, this informal learning is considered as a vital source of teachers’ professional development. Work task characteristics that foster informal workplace learning include newness, complexity, collaboration and so forth (Hoekstra, 2007; Lohman, 2003; Rausch, 2013; Kwakman, 2003) many of which, as discussed above, are also likely to cause stress (Karasek, 1979).</w:t>
      </w:r>
    </w:p>
    <w:p>
      <w:pPr>
        <w:pStyle w:val="Compact"/>
        <w:numPr>
          <w:ilvl w:val="0"/>
          <w:numId w:val="1016"/>
        </w:numPr>
      </w:pPr>
      <w:r>
        <w:t xml:space="preserve">Billett?!</w:t>
      </w:r>
    </w:p>
    <w:p>
      <w:pPr>
        <w:pStyle w:val="Compact"/>
        <w:numPr>
          <w:ilvl w:val="0"/>
          <w:numId w:val="1016"/>
        </w:numPr>
      </w:pPr>
      <w:r>
        <w:t xml:space="preserve">Karasek</w:t>
      </w:r>
    </w:p>
    <w:p>
      <w:pPr>
        <w:pStyle w:val="Compact"/>
        <w:numPr>
          <w:ilvl w:val="1"/>
          <w:numId w:val="1017"/>
        </w:numPr>
      </w:pPr>
      <w:r>
        <w:t xml:space="preserve">Studies on Karasek</w:t>
      </w:r>
    </w:p>
    <w:p>
      <w:pPr>
        <w:pStyle w:val="Compact"/>
        <w:numPr>
          <w:ilvl w:val="2"/>
          <w:numId w:val="1018"/>
        </w:numPr>
      </w:pPr>
      <w:r>
        <w:t xml:space="preserve">The Job Demand-Control (-Support) Model and psychological well-being: A review of 20 years of empirical research (</w:t>
      </w:r>
      <w:hyperlink r:id="rId29">
        <w:r>
          <w:rPr>
            <w:rStyle w:val="Hyperlink"/>
          </w:rPr>
          <w:t xml:space="preserve">https://doi.org/10.1080/026783799296084</w:t>
        </w:r>
      </w:hyperlink>
      <w:r>
        <w:t xml:space="preserve">)</w:t>
      </w:r>
    </w:p>
    <w:p>
      <w:pPr>
        <w:numPr>
          <w:ilvl w:val="0"/>
          <w:numId w:val="1019"/>
        </w:numPr>
      </w:pPr>
      <w:r>
        <w:t xml:space="preserve">Billett and others (which characteristics of the situation and the activity foster learning?!)</w:t>
      </w:r>
    </w:p>
    <w:p>
      <w:pPr>
        <w:numPr>
          <w:ilvl w:val="0"/>
          <w:numId w:val="1019"/>
        </w:numPr>
      </w:pPr>
      <w:r>
        <w:t xml:space="preserve">Consideration of stress (Karasek, …)</w:t>
      </w:r>
    </w:p>
    <w:p>
      <w:pPr>
        <w:numPr>
          <w:ilvl w:val="0"/>
          <w:numId w:val="1000"/>
        </w:numPr>
      </w:pPr>
      <w:r>
        <w:t xml:space="preserve">use stress as a characteristic of activities to introduce Karasek (and briefly talk about negative consequences: Lazarus &amp; Folkman)</w:t>
      </w:r>
    </w:p>
    <w:p>
      <w:pPr>
        <w:pStyle w:val="FirstParagraph"/>
      </w:pPr>
      <w:r>
        <w:t xml:space="preserve">get concrete: Teachers’ Learning Activities</w:t>
      </w:r>
    </w:p>
    <w:bookmarkEnd w:id="30"/>
    <w:bookmarkEnd w:id="31"/>
    <w:bookmarkStart w:id="37" w:name="description-of-the-longitudinal-study"/>
    <w:p>
      <w:pPr>
        <w:pStyle w:val="Heading1"/>
      </w:pPr>
      <w:r>
        <w:t xml:space="preserve">Description of the Longitudinal Study</w:t>
      </w:r>
    </w:p>
    <w:bookmarkStart w:id="34" w:name="research-design-and-sample"/>
    <w:p>
      <w:pPr>
        <w:pStyle w:val="Heading2"/>
      </w:pPr>
      <w:r>
        <w:t xml:space="preserve">Research Design and Sample</w:t>
      </w:r>
    </w:p>
    <w:p>
      <w:pPr>
        <w:pStyle w:val="FirstParagraph"/>
      </w:pPr>
      <w:r>
        <w:t xml:space="preserve">This study is part of a research programme (AARL-BS) which was initiated to investigate the relations between working hours, work activities, and work experience, such as learning, stress and coping of teachers at vocational schools.</w:t>
      </w:r>
      <w:r>
        <w:t xml:space="preserve"> </w:t>
      </w:r>
      <w:r>
        <w:rPr>
          <w:u w:val="single"/>
        </w:rPr>
        <w:t xml:space="preserve">Data was collected in two studies, an online survey study and an app-based diary study. This allowed for balancing the advantages and disadvantages of the respective methods regarding the estimation of working hours and the measuring of work experience, in particular. Participation was voluntary and all participants provided written informed consent.</w:t>
      </w:r>
    </w:p>
    <w:bookmarkStart w:id="32" w:name="questionnaire-study"/>
    <w:p>
      <w:pPr>
        <w:pStyle w:val="Heading3"/>
      </w:pPr>
      <w:r>
        <w:t xml:space="preserve">Questionnaire Study</w:t>
      </w:r>
    </w:p>
    <w:p>
      <w:pPr>
        <w:pStyle w:val="FirstParagraph"/>
      </w:pPr>
      <w:r>
        <w:t xml:space="preserve">The survey study was conducted from February to November 2022. A sample of 1,146 full-time teachers participated in the survey study, 74.3 % of which held no further management function beyond their teaching duties. The mean age was 46.98 years and 39.1 % of the sample is female. The distribution of the survey sample is representative for vocational teachers in the German federal state of Baden-Wuerttemberg with regard to gender, age composition, level of employment, and administrative district.</w:t>
      </w:r>
    </w:p>
    <w:p>
      <w:pPr>
        <w:pStyle w:val="BodyText"/>
      </w:pPr>
      <w:r>
        <w:t xml:space="preserve">In the survey study, data on teachers’ working time, the distribution of the working hours between different tasks, working conditions, job satisfaction, and further constructs were collected. The questionnaire was developed on the basis of a comprehensive literature review (Aprea &amp; Sarochan, 2023) and intensive consultations with representatives of the Association of Vocational School Teachers in Baden-Württemberg (BLV).</w:t>
      </w:r>
      <w:r>
        <w:t xml:space="preserve"> </w:t>
      </w:r>
      <w:r>
        <w:rPr>
          <w:u w:val="single"/>
        </w:rPr>
        <w:t xml:space="preserve">See the other papers …</w:t>
      </w:r>
    </w:p>
    <w:bookmarkEnd w:id="32"/>
    <w:bookmarkStart w:id="33" w:name="Xf373e70b3813be68894102fd9ff602aa5ba55e5"/>
    <w:p>
      <w:pPr>
        <w:pStyle w:val="Heading3"/>
      </w:pPr>
      <w:r>
        <w:t xml:space="preserve">Diary Study (go more into detail here, ESM, design)</w:t>
      </w:r>
    </w:p>
    <w:p>
      <w:pPr>
        <w:pStyle w:val="FirstParagraph"/>
      </w:pPr>
      <w:r>
        <w:t xml:space="preserve">The diary study took place from mid-March to mid-October 2022, including weekends and vacation periods, excluding four weeks during the summer holiday. A multi-cohort design was chosen to reduce participant burden. Each of the five cohorts held the diary for one week and paused for four weeks. The diary app was implemented using mQuest by the German online service provider Cluetec (Karlsruhe).</w:t>
      </w:r>
      <w:r>
        <w:t xml:space="preserve"> </w:t>
      </w:r>
      <w:r>
        <w:rPr>
          <w:u w:val="single"/>
        </w:rPr>
        <w:t xml:space="preserve">Diary entries from 145 full-time teachers were included, 75.2 % of which without a management function. The mean age is 44.99 years and 46.9 % of the sample is female. After intensive data preparation and filtering, the analysis is based on 10.327 activities that were reported in the diary app</w:t>
      </w:r>
      <w:r>
        <w:t xml:space="preserve">.</w:t>
      </w:r>
    </w:p>
    <w:p>
      <w:pPr>
        <w:pStyle w:val="BodyText"/>
      </w:pPr>
      <w:r>
        <w:t xml:space="preserve">The participants were requested to record all work-related activities by selecting the respective work activity from a given list of activities, indicating start and end time and answering one item each for experienced stress, coping, and learning related to the respective task.</w:t>
      </w:r>
      <w:r>
        <w:t xml:space="preserve"> </w:t>
      </w:r>
      <w:r>
        <w:rPr>
          <w:u w:val="single"/>
        </w:rPr>
        <w:t xml:space="preserve">In addition, in a weekly review, the participants were requested to indicate the working hours for each day of the past week.</w:t>
      </w:r>
      <w:r>
        <w:t xml:space="preserve"> </w:t>
      </w:r>
      <w:r>
        <w:t xml:space="preserve">During a cohort’s diary period, three daily notifications reminded the participants to record their work activities.</w:t>
      </w:r>
    </w:p>
    <w:bookmarkEnd w:id="33"/>
    <w:bookmarkEnd w:id="34"/>
    <w:bookmarkStart w:id="35" w:name="measures-and-data-analysis"/>
    <w:p>
      <w:pPr>
        <w:pStyle w:val="Heading2"/>
      </w:pPr>
      <w:r>
        <w:t xml:space="preserve">Measures and Data Analysis</w:t>
      </w:r>
    </w:p>
    <w:p>
      <w:pPr>
        <w:pStyle w:val="Compact"/>
        <w:numPr>
          <w:ilvl w:val="0"/>
          <w:numId w:val="1020"/>
        </w:numPr>
      </w:pPr>
      <w:r>
        <w:t xml:space="preserve">Stress, Coping and Learning across the Daily Work Activities</w:t>
      </w:r>
    </w:p>
    <w:p>
      <w:pPr>
        <w:pStyle w:val="Compact"/>
        <w:numPr>
          <w:ilvl w:val="1"/>
          <w:numId w:val="1021"/>
        </w:numPr>
      </w:pPr>
      <w:r>
        <w:t xml:space="preserve">Stress, coping and learning were all measured using 1 item scales self report</w:t>
      </w:r>
    </w:p>
    <w:p>
      <w:pPr>
        <w:pStyle w:val="Compact"/>
        <w:numPr>
          <w:ilvl w:val="1"/>
          <w:numId w:val="1021"/>
        </w:numPr>
      </w:pPr>
      <w:r>
        <w:t xml:space="preserve">Description of the Developed Task Framework</w:t>
      </w:r>
    </w:p>
    <w:p>
      <w:pPr>
        <w:pStyle w:val="FirstParagraph"/>
      </w:pPr>
      <w:r>
        <w:t xml:space="preserve">From bwpat</w:t>
      </w:r>
    </w:p>
    <w:p>
      <w:pPr>
        <w:pStyle w:val="BodyText"/>
      </w:pPr>
      <w:r>
        <w:t xml:space="preserve">Afterwards, the perception of stress, coping and learning at the given work activity are evaluated by the participants. (1) Stress, (2) coping and (3) learning are each designed with an 8-point Likert-scale with 0 as the lowest and 7 as the highest value. To avoid influencing entries with a default value,</w:t>
      </w:r>
      <w:r>
        <w:t xml:space="preserve"> </w:t>
      </w:r>
      <w:r>
        <w:t xml:space="preserve">“</w:t>
      </w:r>
      <w:r>
        <w:t xml:space="preserve">-1</w:t>
      </w:r>
      <w:r>
        <w:t xml:space="preserve">”</w:t>
      </w:r>
      <w:r>
        <w:t xml:space="preserve"> </w:t>
      </w:r>
      <w:r>
        <w:t xml:space="preserve">is set as the default value in these three items and must be changed to proceed. All three questions are depicted with a slider to set the value and a brief explanation: (1) Did you find this work activity stressful? (0 = not at all stressful; 7 = very stressful; -1 = invalid entry); (2) How well were you able to cope with this stress? (0 = not coped well at all; 7 = coped very well; -1 = invalid entry); (3) Did you learn anything new for your job during this work activity? (0 = learned nothing at all; 7 = learned very much; -1 = invalid entry). Based on theoretical assumptions, participants could only evaluate their coping for work activities with a stress-level above 0.</w:t>
      </w:r>
    </w:p>
    <w:bookmarkEnd w:id="35"/>
    <w:bookmarkStart w:id="36" w:name="data-analysis-still-from-bwpat"/>
    <w:p>
      <w:pPr>
        <w:pStyle w:val="Heading2"/>
      </w:pPr>
      <w:r>
        <w:t xml:space="preserve">Data Analysis (still from bwpat)</w:t>
      </w:r>
    </w:p>
    <w:p>
      <w:pPr>
        <w:pStyle w:val="FirstParagraph"/>
      </w:pPr>
      <w:r>
        <w:t xml:space="preserve">Descriptive statistics were calculated to address RQ1 to RQ3. Regarding RQ4, a multiple linear regression analysis was conducted to investigate the statistical prediction of job satisfaction based on working hours, management function, stress, coping, and learning. Interaction terms were checked. However, moderators showed no significant effects, so no interactions were included in the final analysis.</w:t>
      </w:r>
    </w:p>
    <w:bookmarkEnd w:id="36"/>
    <w:bookmarkEnd w:id="37"/>
    <w:bookmarkStart w:id="41" w:name="results"/>
    <w:p>
      <w:pPr>
        <w:pStyle w:val="Heading1"/>
      </w:pPr>
      <w:r>
        <w:t xml:space="preserve">Results</w:t>
      </w:r>
    </w:p>
    <w:bookmarkStart w:id="38" w:name="Xb3113aa66a251df9e1c9f163b8ecdae5f0e021f"/>
    <w:p>
      <w:pPr>
        <w:pStyle w:val="Heading2"/>
      </w:pPr>
      <w:r>
        <w:t xml:space="preserve">RQ1: Stress, Coping and Learning during Teachers’ Daily Work Tasks</w:t>
      </w:r>
    </w:p>
    <w:p>
      <w:pPr>
        <w:pStyle w:val="Compact"/>
        <w:numPr>
          <w:ilvl w:val="0"/>
          <w:numId w:val="1022"/>
        </w:numPr>
      </w:pPr>
      <w:r>
        <w:t xml:space="preserve">maybe too similar to bwpat article</w:t>
      </w:r>
    </w:p>
    <w:p>
      <w:pPr>
        <w:pStyle w:val="Compact"/>
        <w:numPr>
          <w:ilvl w:val="0"/>
          <w:numId w:val="1022"/>
        </w:numPr>
      </w:pPr>
      <w:r>
        <w:t xml:space="preserve">may cause problems in comparison with bwpat paper (different sample size…)</w:t>
      </w:r>
    </w:p>
    <w:p>
      <w:pPr>
        <w:pStyle w:val="Compact"/>
        <w:numPr>
          <w:ilvl w:val="0"/>
          <w:numId w:val="1022"/>
        </w:numPr>
      </w:pPr>
      <w:r>
        <w:t xml:space="preserve">same approach as in bwpat paper: simple comparison of mean values and SDs across the acivities</w:t>
      </w:r>
    </w:p>
    <w:p>
      <w:pPr>
        <w:pStyle w:val="Compact"/>
        <w:numPr>
          <w:ilvl w:val="0"/>
          <w:numId w:val="1022"/>
        </w:numPr>
      </w:pPr>
      <w:r>
        <w:t xml:space="preserve">12 or 29 activities?! –&gt; decision needed!</w:t>
      </w:r>
    </w:p>
    <w:bookmarkEnd w:id="38"/>
    <w:bookmarkStart w:id="39" w:name="X21805f8523a6398d2390f5affbec15e0d936da7"/>
    <w:p>
      <w:pPr>
        <w:pStyle w:val="Heading2"/>
      </w:pPr>
      <w:r>
        <w:t xml:space="preserve">RQ2: Description of the Learning During Teachers’ Daily Work Activities</w:t>
      </w:r>
    </w:p>
    <w:bookmarkEnd w:id="39"/>
    <w:bookmarkStart w:id="40" w:name="X59158d3970e848455d2093c1c582b5b3ffcbc8b"/>
    <w:p>
      <w:pPr>
        <w:pStyle w:val="Heading2"/>
      </w:pPr>
      <w:r>
        <w:t xml:space="preserve">RQ3: Prediction of Informal Learning Using Stress and Coping in Teachers’ Daily Work Activities, as stated in Karasek’s Learning Hypothesis</w:t>
      </w:r>
    </w:p>
    <w:p>
      <w:pPr>
        <w:pStyle w:val="Compact"/>
        <w:numPr>
          <w:ilvl w:val="0"/>
          <w:numId w:val="1023"/>
        </w:numPr>
      </w:pPr>
      <w:r>
        <w:t xml:space="preserve">interaction effect</w:t>
      </w:r>
    </w:p>
    <w:p>
      <w:pPr>
        <w:pStyle w:val="SourceCode"/>
      </w:pPr>
      <w:r>
        <w:rPr>
          <w:rStyle w:val="CommentTok"/>
        </w:rPr>
        <w:t xml:space="preserve"># cor_tab &lt;- cor(subset(variant1, select = c(task_routine:proc_learn)))</w:t>
      </w:r>
      <w:r>
        <w:br/>
      </w:r>
      <w:r>
        <w:br/>
      </w:r>
      <w:r>
        <w:rPr>
          <w:rStyle w:val="NormalTok"/>
        </w:rPr>
        <w:t xml:space="preserve">rq3_subset_cor </w:t>
      </w:r>
      <w:r>
        <w:rPr>
          <w:rStyle w:val="OtherTok"/>
        </w:rPr>
        <w:t xml:space="preserve">&lt;-</w:t>
      </w:r>
      <w:r>
        <w:rPr>
          <w:rStyle w:val="NormalTok"/>
        </w:rPr>
        <w:t xml:space="preserve"> </w:t>
      </w:r>
      <w:r>
        <w:rPr>
          <w:rStyle w:val="FunctionTok"/>
        </w:rPr>
        <w:t xml:space="preserve">subset</w:t>
      </w:r>
      <w:r>
        <w:rPr>
          <w:rStyle w:val="NormalTok"/>
        </w:rPr>
        <w:t xml:space="preserve">(df_rq3, </w:t>
      </w:r>
      <w:r>
        <w:rPr>
          <w:rStyle w:val="AttributeTok"/>
        </w:rPr>
        <w:t xml:space="preserve">select =</w:t>
      </w:r>
      <w:r>
        <w:rPr>
          <w:rStyle w:val="NormalTok"/>
        </w:rPr>
        <w:t xml:space="preserve"> </w:t>
      </w:r>
      <w:r>
        <w:rPr>
          <w:rStyle w:val="FunctionTok"/>
        </w:rPr>
        <w:t xml:space="preserve">c</w:t>
      </w:r>
      <w:r>
        <w:rPr>
          <w:rStyle w:val="NormalTok"/>
        </w:rPr>
        <w:t xml:space="preserve">(sex</w:t>
      </w:r>
      <w:r>
        <w:rPr>
          <w:rStyle w:val="SpecialCharTok"/>
        </w:rPr>
        <w:t xml:space="preserve">:</w:t>
      </w:r>
      <w:r>
        <w:rPr>
          <w:rStyle w:val="NormalTok"/>
        </w:rPr>
        <w:t xml:space="preserve">jobscope, stress</w:t>
      </w:r>
      <w:r>
        <w:rPr>
          <w:rStyle w:val="SpecialCharTok"/>
        </w:rPr>
        <w:t xml:space="preserve">:</w:t>
      </w:r>
      <w:r>
        <w:rPr>
          <w:rStyle w:val="NormalTok"/>
        </w:rPr>
        <w:t xml:space="preserve">pc_learn, n_entry, stress_z, coping_z))</w:t>
      </w:r>
      <w:r>
        <w:br/>
      </w:r>
      <w:r>
        <w:br/>
      </w:r>
      <w:r>
        <w:rPr>
          <w:rStyle w:val="CommentTok"/>
        </w:rPr>
        <w:t xml:space="preserve"># maybe add mean and sd</w:t>
      </w:r>
      <w:r>
        <w:br/>
      </w:r>
      <w:r>
        <w:br/>
      </w:r>
      <w:r>
        <w:rPr>
          <w:rStyle w:val="NormalTok"/>
        </w:rPr>
        <w:t xml:space="preserve">cor_tab_ </w:t>
      </w:r>
      <w:r>
        <w:rPr>
          <w:rStyle w:val="OtherTok"/>
        </w:rPr>
        <w:t xml:space="preserve">&lt;-</w:t>
      </w:r>
      <w:r>
        <w:rPr>
          <w:rStyle w:val="NormalTok"/>
        </w:rPr>
        <w:t xml:space="preserve"> rq3_subset_cor </w:t>
      </w:r>
      <w:r>
        <w:rPr>
          <w:rStyle w:val="SpecialCharTok"/>
        </w:rPr>
        <w:t xml:space="preserve">%&gt;%</w:t>
      </w:r>
      <w:r>
        <w:br/>
      </w:r>
      <w:r>
        <w:rPr>
          <w:rStyle w:val="NormalTok"/>
        </w:rPr>
        <w:t xml:space="preserve">  </w:t>
      </w:r>
      <w:r>
        <w:rPr>
          <w:rStyle w:val="CommentTok"/>
        </w:rPr>
        <w:t xml:space="preserve"># select(c(group_mlm:proc_learn)) %&gt;%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rPr>
          <w:rStyle w:val="AttributeTok"/>
        </w:rPr>
        <w:t xml:space="preserve">upper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fashion</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AttributeTok"/>
        </w:rPr>
        <w:t xml:space="preserve">na_print =</w:t>
      </w:r>
      <w:r>
        <w:rPr>
          <w:rStyle w:val="NormalTok"/>
        </w:rPr>
        <w:t xml:space="preserve"> </w:t>
      </w:r>
      <w:r>
        <w:rPr>
          <w:rStyle w:val="StringTok"/>
        </w:rPr>
        <w:t xml:space="preserve">"—"</w:t>
      </w:r>
      <w:r>
        <w:rPr>
          <w:rStyle w:val="NormalTok"/>
        </w:rPr>
        <w:t xml:space="preserve">) </w:t>
      </w:r>
    </w:p>
    <w:p>
      <w:pPr>
        <w:pStyle w:val="SourceCode"/>
      </w:pPr>
      <w:r>
        <w:rPr>
          <w:rStyle w:val="VerbatimChar"/>
        </w:rPr>
        <w:t xml:space="preserve">## Correlation computed with</w:t>
      </w:r>
      <w:r>
        <w:br/>
      </w:r>
      <w:r>
        <w:rPr>
          <w:rStyle w:val="VerbatimChar"/>
        </w:rPr>
        <w:t xml:space="preserve">## • Method: 'pearson'</w:t>
      </w:r>
      <w:r>
        <w:br/>
      </w:r>
      <w:r>
        <w:rPr>
          <w:rStyle w:val="VerbatimChar"/>
        </w:rPr>
        <w:t xml:space="preserve">## • Missing treated using: 'pairwise.complete.obs'</w:t>
      </w:r>
    </w:p>
    <w:p>
      <w:pPr>
        <w:pStyle w:val="SourceCode"/>
      </w:pPr>
      <w:r>
        <w:rPr>
          <w:rStyle w:val="NormalTok"/>
        </w:rPr>
        <w:t xml:space="preserve">cor_tab_</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(cor_tab_)), </w:t>
      </w:r>
      <w:r>
        <w:rPr>
          <w:rStyle w:val="StringTok"/>
        </w:rPr>
        <w:t xml:space="preserve">". "</w:t>
      </w:r>
      <w:r>
        <w:rPr>
          <w:rStyle w:val="NormalTok"/>
        </w:rPr>
        <w:t xml:space="preserve">, cor_tab_</w:t>
      </w:r>
      <w:r>
        <w:rPr>
          <w:rStyle w:val="SpecialCharTok"/>
        </w:rPr>
        <w:t xml:space="preserve">$</w:t>
      </w:r>
      <w:r>
        <w:rPr>
          <w:rStyle w:val="NormalTok"/>
        </w:rPr>
        <w:t xml:space="preserve">term, </w:t>
      </w:r>
      <w:r>
        <w:rPr>
          <w:rStyle w:val="AttributeTok"/>
        </w:rPr>
        <w:t xml:space="preserve">sep =</w:t>
      </w:r>
      <w:r>
        <w:rPr>
          <w:rStyle w:val="NormalTok"/>
        </w:rPr>
        <w:t xml:space="preserve"> </w:t>
      </w:r>
      <w:r>
        <w:rPr>
          <w:rStyle w:val="StringTok"/>
        </w:rPr>
        <w:t xml:space="preserve">""</w:t>
      </w:r>
      <w:r>
        <w:rPr>
          <w:rStyle w:val="NormalTok"/>
        </w:rPr>
        <w:t xml:space="preserve">)</w:t>
      </w:r>
    </w:p>
    <w:p>
      <w:pPr>
        <w:pStyle w:val="TableCaption"/>
      </w:pPr>
      <w:r>
        <w:t xml:space="preserve">Correlations between Variables RQ3</w:t>
      </w:r>
    </w:p>
    <w:tbl>
      <w:tblPr>
        <w:tblStyle w:val="Table"/>
        <w:tblW w:type="auto" w:w="0"/>
        <w:tblLook w:firstRow="1" w:lastRow="0" w:firstColumn="0" w:lastColumn="0" w:noHBand="0" w:noVBand="0" w:val="0020"/>
        <w:tblCaption w:val="Correlations between Variables RQ3"/>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Measure</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1. sex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 age</w:t>
            </w:r>
          </w:p>
        </w:tc>
        <w:tc>
          <w:tcPr/>
          <w:p>
            <w:pPr>
              <w:pStyle w:val="Compact"/>
              <w:jc w:val="left"/>
            </w:pPr>
            <w:r>
              <w:t xml:space="preserve">.12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 jobscope</w:t>
            </w:r>
          </w:p>
        </w:tc>
        <w:tc>
          <w:tcPr/>
          <w:p>
            <w:pPr>
              <w:pStyle w:val="Compact"/>
              <w:jc w:val="left"/>
            </w:pPr>
            <w:r>
              <w:t xml:space="preserve">.31</w:t>
            </w:r>
          </w:p>
        </w:tc>
        <w:tc>
          <w:tcPr/>
          <w:p>
            <w:pPr>
              <w:pStyle w:val="Compact"/>
              <w:jc w:val="left"/>
            </w:pPr>
            <w:r>
              <w:t xml:space="preserve">-.06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 stress</w:t>
            </w:r>
          </w:p>
        </w:tc>
        <w:tc>
          <w:tcPr/>
          <w:p>
            <w:pPr>
              <w:pStyle w:val="Compact"/>
              <w:jc w:val="left"/>
            </w:pPr>
            <w:r>
              <w:t xml:space="preserve">.04</w:t>
            </w:r>
          </w:p>
        </w:tc>
        <w:tc>
          <w:tcPr/>
          <w:p>
            <w:pPr>
              <w:pStyle w:val="Compact"/>
              <w:jc w:val="left"/>
            </w:pPr>
            <w:r>
              <w:t xml:space="preserve">-.03</w:t>
            </w:r>
          </w:p>
        </w:tc>
        <w:tc>
          <w:tcPr/>
          <w:p>
            <w:pPr>
              <w:pStyle w:val="Compact"/>
              <w:jc w:val="left"/>
            </w:pPr>
            <w:r>
              <w:t xml:space="preserve">-.04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 coping</w:t>
            </w:r>
          </w:p>
        </w:tc>
        <w:tc>
          <w:tcPr/>
          <w:p>
            <w:pPr>
              <w:pStyle w:val="Compact"/>
              <w:jc w:val="left"/>
            </w:pPr>
            <w:r>
              <w:t xml:space="preserve">.03</w:t>
            </w:r>
          </w:p>
        </w:tc>
        <w:tc>
          <w:tcPr/>
          <w:p>
            <w:pPr>
              <w:pStyle w:val="Compact"/>
              <w:jc w:val="left"/>
            </w:pPr>
            <w:r>
              <w:t xml:space="preserve">-.00</w:t>
            </w:r>
          </w:p>
        </w:tc>
        <w:tc>
          <w:tcPr/>
          <w:p>
            <w:pPr>
              <w:pStyle w:val="Compact"/>
              <w:jc w:val="left"/>
            </w:pPr>
            <w:r>
              <w:t xml:space="preserve">-.03</w:t>
            </w:r>
          </w:p>
        </w:tc>
        <w:tc>
          <w:tcPr/>
          <w:p>
            <w:pPr>
              <w:pStyle w:val="Compact"/>
              <w:jc w:val="left"/>
            </w:pPr>
            <w:r>
              <w:t xml:space="preserve">.51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 pc_learn</w:t>
            </w:r>
          </w:p>
        </w:tc>
        <w:tc>
          <w:tcPr/>
          <w:p>
            <w:pPr>
              <w:pStyle w:val="Compact"/>
              <w:jc w:val="left"/>
            </w:pPr>
            <w:r>
              <w:t xml:space="preserve">.03</w:t>
            </w:r>
          </w:p>
        </w:tc>
        <w:tc>
          <w:tcPr/>
          <w:p>
            <w:pPr>
              <w:pStyle w:val="Compact"/>
              <w:jc w:val="left"/>
            </w:pPr>
            <w:r>
              <w:t xml:space="preserve">-.01</w:t>
            </w:r>
          </w:p>
        </w:tc>
        <w:tc>
          <w:tcPr/>
          <w:p>
            <w:pPr>
              <w:pStyle w:val="Compact"/>
              <w:jc w:val="left"/>
            </w:pPr>
            <w:r>
              <w:t xml:space="preserve">-.03</w:t>
            </w:r>
          </w:p>
        </w:tc>
        <w:tc>
          <w:tcPr/>
          <w:p>
            <w:pPr>
              <w:pStyle w:val="Compact"/>
              <w:jc w:val="left"/>
            </w:pPr>
            <w:r>
              <w:t xml:space="preserve">.26</w:t>
            </w:r>
          </w:p>
        </w:tc>
        <w:tc>
          <w:tcPr/>
          <w:p>
            <w:pPr>
              <w:pStyle w:val="Compact"/>
              <w:jc w:val="left"/>
            </w:pPr>
            <w:r>
              <w:t xml:space="preserve">.23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 n_entry</w:t>
            </w:r>
          </w:p>
        </w:tc>
        <w:tc>
          <w:tcPr/>
          <w:p>
            <w:pPr>
              <w:pStyle w:val="Compact"/>
              <w:jc w:val="left"/>
            </w:pPr>
            <w:r>
              <w:t xml:space="preserve">.01</w:t>
            </w:r>
          </w:p>
        </w:tc>
        <w:tc>
          <w:tcPr/>
          <w:p>
            <w:pPr>
              <w:pStyle w:val="Compact"/>
              <w:jc w:val="left"/>
            </w:pPr>
            <w:r>
              <w:t xml:space="preserve">.01</w:t>
            </w:r>
          </w:p>
        </w:tc>
        <w:tc>
          <w:tcPr/>
          <w:p>
            <w:pPr>
              <w:pStyle w:val="Compact"/>
              <w:jc w:val="left"/>
            </w:pPr>
            <w:r>
              <w:t xml:space="preserve">.12</w:t>
            </w:r>
          </w:p>
        </w:tc>
        <w:tc>
          <w:tcPr/>
          <w:p>
            <w:pPr>
              <w:pStyle w:val="Compact"/>
              <w:jc w:val="left"/>
            </w:pPr>
            <w:r>
              <w:t xml:space="preserve">-.07</w:t>
            </w:r>
          </w:p>
        </w:tc>
        <w:tc>
          <w:tcPr/>
          <w:p>
            <w:pPr>
              <w:pStyle w:val="Compact"/>
              <w:jc w:val="left"/>
            </w:pPr>
            <w:r>
              <w:t xml:space="preserve">-.00</w:t>
            </w:r>
          </w:p>
        </w:tc>
        <w:tc>
          <w:tcPr/>
          <w:p>
            <w:pPr>
              <w:pStyle w:val="Compact"/>
              <w:jc w:val="left"/>
            </w:pPr>
            <w:r>
              <w:t xml:space="preserve">-.07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 stress_z</w:t>
            </w:r>
          </w:p>
        </w:tc>
        <w:tc>
          <w:tcPr/>
          <w:p>
            <w:pPr>
              <w:pStyle w:val="Compact"/>
              <w:jc w:val="left"/>
            </w:pPr>
            <w:r>
              <w:t xml:space="preserve">.04</w:t>
            </w:r>
          </w:p>
        </w:tc>
        <w:tc>
          <w:tcPr/>
          <w:p>
            <w:pPr>
              <w:pStyle w:val="Compact"/>
              <w:jc w:val="left"/>
            </w:pPr>
            <w:r>
              <w:t xml:space="preserve">-.03</w:t>
            </w:r>
          </w:p>
        </w:tc>
        <w:tc>
          <w:tcPr/>
          <w:p>
            <w:pPr>
              <w:pStyle w:val="Compact"/>
              <w:jc w:val="left"/>
            </w:pPr>
            <w:r>
              <w:t xml:space="preserve">-.04</w:t>
            </w:r>
          </w:p>
        </w:tc>
        <w:tc>
          <w:tcPr/>
          <w:p>
            <w:pPr>
              <w:pStyle w:val="Compact"/>
              <w:jc w:val="left"/>
            </w:pPr>
            <w:r>
              <w:t xml:space="preserve">1.00</w:t>
            </w:r>
          </w:p>
        </w:tc>
        <w:tc>
          <w:tcPr/>
          <w:p>
            <w:pPr>
              <w:pStyle w:val="Compact"/>
              <w:jc w:val="left"/>
            </w:pPr>
            <w:r>
              <w:t xml:space="preserve">.51</w:t>
            </w:r>
          </w:p>
        </w:tc>
        <w:tc>
          <w:tcPr/>
          <w:p>
            <w:pPr>
              <w:pStyle w:val="Compact"/>
              <w:jc w:val="left"/>
            </w:pPr>
            <w:r>
              <w:t xml:space="preserve">.26</w:t>
            </w:r>
          </w:p>
        </w:tc>
        <w:tc>
          <w:tcPr/>
          <w:p>
            <w:pPr>
              <w:pStyle w:val="Compact"/>
              <w:jc w:val="left"/>
            </w:pPr>
            <w:r>
              <w:t xml:space="preserve">-.07</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 coping_z</w:t>
            </w:r>
          </w:p>
        </w:tc>
        <w:tc>
          <w:tcPr/>
          <w:p>
            <w:pPr>
              <w:pStyle w:val="Compact"/>
              <w:jc w:val="left"/>
            </w:pPr>
            <w:r>
              <w:t xml:space="preserve">.03</w:t>
            </w:r>
          </w:p>
        </w:tc>
        <w:tc>
          <w:tcPr/>
          <w:p>
            <w:pPr>
              <w:pStyle w:val="Compact"/>
              <w:jc w:val="left"/>
            </w:pPr>
            <w:r>
              <w:t xml:space="preserve">-.00</w:t>
            </w:r>
          </w:p>
        </w:tc>
        <w:tc>
          <w:tcPr/>
          <w:p>
            <w:pPr>
              <w:pStyle w:val="Compact"/>
              <w:jc w:val="left"/>
            </w:pPr>
            <w:r>
              <w:t xml:space="preserve">-.03</w:t>
            </w:r>
          </w:p>
        </w:tc>
        <w:tc>
          <w:tcPr/>
          <w:p>
            <w:pPr>
              <w:pStyle w:val="Compact"/>
              <w:jc w:val="left"/>
            </w:pPr>
            <w:r>
              <w:t xml:space="preserve">.51</w:t>
            </w:r>
          </w:p>
        </w:tc>
        <w:tc>
          <w:tcPr/>
          <w:p>
            <w:pPr>
              <w:pStyle w:val="Compact"/>
              <w:jc w:val="left"/>
            </w:pPr>
            <w:r>
              <w:t xml:space="preserve">1.00</w:t>
            </w:r>
          </w:p>
        </w:tc>
        <w:tc>
          <w:tcPr/>
          <w:p>
            <w:pPr>
              <w:pStyle w:val="Compact"/>
              <w:jc w:val="left"/>
            </w:pPr>
            <w:r>
              <w:t xml:space="preserve">.23</w:t>
            </w:r>
          </w:p>
        </w:tc>
        <w:tc>
          <w:tcPr/>
          <w:p>
            <w:pPr>
              <w:pStyle w:val="Compact"/>
              <w:jc w:val="left"/>
            </w:pPr>
            <w:r>
              <w:t xml:space="preserve">-.00</w:t>
            </w:r>
          </w:p>
        </w:tc>
        <w:tc>
          <w:tcPr/>
          <w:p>
            <w:pPr>
              <w:pStyle w:val="Compact"/>
              <w:jc w:val="left"/>
            </w:pPr>
            <w:r>
              <w:t xml:space="preserve">.51</w:t>
            </w:r>
          </w:p>
        </w:tc>
        <w:tc>
          <w:tcPr/>
          <w:p>
            <w:pPr>
              <w:pStyle w:val="Compact"/>
              <w:jc w:val="left"/>
            </w:pPr>
            <w:r>
              <w:t xml:space="preserve">—</w:t>
            </w:r>
          </w:p>
        </w:tc>
      </w:tr>
    </w:tbl>
    <w:p>
      <w:pPr>
        <w:pStyle w:val="SourceCode"/>
      </w:pPr>
      <w:r>
        <w:rPr>
          <w:rStyle w:val="CommentTok"/>
        </w:rPr>
        <w:t xml:space="preserve"># icc calculation</w:t>
      </w:r>
      <w:r>
        <w:br/>
      </w:r>
      <w:r>
        <w:rPr>
          <w:rStyle w:val="CommentTok"/>
        </w:rPr>
        <w:t xml:space="preserve"># icc(rq2_model1)</w:t>
      </w:r>
      <w:r>
        <w:br/>
      </w:r>
      <w:r>
        <w:rPr>
          <w:rStyle w:val="FunctionTok"/>
        </w:rPr>
        <w:t xml:space="preserve">kable</w:t>
      </w:r>
      <w:r>
        <w:rPr>
          <w:rStyle w:val="NormalTok"/>
        </w:rPr>
        <w:t xml:space="preserve">(</w:t>
      </w:r>
      <w:r>
        <w:rPr>
          <w:rStyle w:val="FunctionTok"/>
        </w:rPr>
        <w:t xml:space="preserve">table</w:t>
      </w:r>
      <w:r>
        <w:rPr>
          <w:rStyle w:val="NormalTok"/>
        </w:rPr>
        <w:t xml:space="preserve">(</w:t>
      </w:r>
      <w:r>
        <w:rPr>
          <w:rStyle w:val="FunctionTok"/>
        </w:rPr>
        <w:t xml:space="preserve">round</w:t>
      </w:r>
      <w:r>
        <w:rPr>
          <w:rStyle w:val="NormalTok"/>
        </w:rPr>
        <w:t xml:space="preserve">(</w:t>
      </w:r>
      <w:r>
        <w:rPr>
          <w:rStyle w:val="FunctionTok"/>
        </w:rPr>
        <w:t xml:space="preserve">icc</w:t>
      </w:r>
      <w:r>
        <w:rPr>
          <w:rStyle w:val="NormalTok"/>
        </w:rPr>
        <w:t xml:space="preserve">(rq3_model1), </w:t>
      </w:r>
      <w:r>
        <w:rPr>
          <w:rStyle w:val="DecValTok"/>
        </w:rPr>
        <w:t xml:space="preserve">4</w:t>
      </w:r>
      <w:r>
        <w:rPr>
          <w:rStyle w:val="NormalTok"/>
        </w:rPr>
        <w:t xml:space="preserve">)), </w:t>
      </w:r>
      <w:r>
        <w:rPr>
          <w:rStyle w:val="AttributeTok"/>
        </w:rPr>
        <w:t xml:space="preserve">caption =</w:t>
      </w:r>
      <w:r>
        <w:rPr>
          <w:rStyle w:val="NormalTok"/>
        </w:rPr>
        <w:t xml:space="preserve"> </w:t>
      </w:r>
      <w:r>
        <w:rPr>
          <w:rStyle w:val="StringTok"/>
        </w:rPr>
        <w:t xml:space="preserve">"ICC RQ3 (REML)"</w:t>
      </w:r>
      <w:r>
        <w:rPr>
          <w:rStyle w:val="NormalTok"/>
        </w:rPr>
        <w:t xml:space="preserve">)</w:t>
      </w:r>
    </w:p>
    <w:p>
      <w:pPr>
        <w:pStyle w:val="TableCaption"/>
      </w:pPr>
      <w:r>
        <w:t xml:space="preserve">ICC RQ3 (REML)</w:t>
      </w:r>
    </w:p>
    <w:tbl>
      <w:tblPr>
        <w:tblStyle w:val="Table"/>
        <w:tblW w:type="auto" w:w="0"/>
        <w:tblLook w:firstRow="1" w:lastRow="0" w:firstColumn="0" w:lastColumn="0" w:noHBand="0" w:noVBand="0" w:val="0020"/>
        <w:tblCaption w:val="ICC RQ3 (REML)"/>
      </w:tblPr>
      <w:tblGrid>
        <w:gridCol w:w="1980"/>
        <w:gridCol w:w="1980"/>
        <w:gridCol w:w="1980"/>
        <w:gridCol w:w="1980"/>
      </w:tblGrid>
      <w:tr>
        <w:trPr>
          <w:tblHeader w:val="on"/>
        </w:trPr>
        <w:tc>
          <w:tcPr/>
          <w:p>
            <w:pPr>
              <w:pStyle w:val="Compact"/>
              <w:jc w:val="left"/>
            </w:pPr>
            <w:r>
              <w:t xml:space="preserve">ICC_adjusted</w:t>
            </w:r>
          </w:p>
        </w:tc>
        <w:tc>
          <w:tcPr/>
          <w:p>
            <w:pPr>
              <w:pStyle w:val="Compact"/>
              <w:jc w:val="left"/>
            </w:pPr>
            <w:r>
              <w:t xml:space="preserve">ICC_conditional</w:t>
            </w:r>
          </w:p>
        </w:tc>
        <w:tc>
          <w:tcPr/>
          <w:p>
            <w:pPr>
              <w:pStyle w:val="Compact"/>
              <w:jc w:val="left"/>
            </w:pPr>
            <w:r>
              <w:t xml:space="preserve">ICC_unadjusted</w:t>
            </w:r>
          </w:p>
        </w:tc>
        <w:tc>
          <w:tcPr/>
          <w:p>
            <w:pPr>
              <w:pStyle w:val="Compact"/>
              <w:jc w:val="right"/>
            </w:pPr>
            <w:r>
              <w:t xml:space="preserve">Freq</w:t>
            </w:r>
          </w:p>
        </w:tc>
      </w:tr>
      <w:tr>
        <w:tc>
          <w:tcPr/>
          <w:p>
            <w:pPr>
              <w:pStyle w:val="Compact"/>
              <w:jc w:val="left"/>
            </w:pPr>
            <w:r>
              <w:t xml:space="preserve">0.2861</w:t>
            </w:r>
          </w:p>
        </w:tc>
        <w:tc>
          <w:tcPr/>
          <w:p>
            <w:pPr>
              <w:pStyle w:val="Compact"/>
              <w:jc w:val="left"/>
            </w:pPr>
            <w:r>
              <w:t xml:space="preserve">0.2861</w:t>
            </w:r>
          </w:p>
        </w:tc>
        <w:tc>
          <w:tcPr/>
          <w:p>
            <w:pPr>
              <w:pStyle w:val="Compact"/>
              <w:jc w:val="left"/>
            </w:pPr>
            <w:r>
              <w:t xml:space="preserve">0.2861</w:t>
            </w:r>
          </w:p>
        </w:tc>
        <w:tc>
          <w:tcPr/>
          <w:p>
            <w:pPr>
              <w:pStyle w:val="Compact"/>
              <w:jc w:val="right"/>
            </w:pPr>
            <w:r>
              <w:t xml:space="preserve">1</w:t>
            </w:r>
          </w:p>
        </w:tc>
      </w:tr>
    </w:tbl>
    <w:bookmarkEnd w:id="40"/>
    <w:bookmarkEnd w:id="41"/>
    <w:bookmarkStart w:id="42" w:name="conclusion"/>
    <w:p>
      <w:pPr>
        <w:pStyle w:val="Heading1"/>
      </w:pPr>
      <w:r>
        <w:t xml:space="preserve">Conclusion</w:t>
      </w:r>
    </w:p>
    <w:p>
      <w:r>
        <w:br w:type="page"/>
      </w:r>
    </w:p>
    <w:bookmarkEnd w:id="42"/>
    <w:bookmarkStart w:id="44" w:name="data-availability-statement"/>
    <w:p>
      <w:pPr>
        <w:pStyle w:val="Heading1"/>
      </w:pPr>
      <w:r>
        <w:t xml:space="preserve">Data availability statement</w:t>
      </w:r>
    </w:p>
    <w:p>
      <w:pPr>
        <w:pStyle w:val="FirstParagraph"/>
      </w:pPr>
      <w:r>
        <w:t xml:space="preserve">The anonymized data are available on Mendeley Data (</w:t>
      </w:r>
      <w:hyperlink r:id="rId43">
        <w:r>
          <w:rPr>
            <w:rStyle w:val="Hyperlink"/>
          </w:rPr>
          <w:t xml:space="preserve">https://www.elsevier.com/researcher/author/tools-and-resources/research-data</w:t>
        </w:r>
      </w:hyperlink>
      <w:r>
        <w:t xml:space="preserve">) under the following link: …</w:t>
      </w:r>
      <w:r>
        <w:br/>
      </w:r>
    </w:p>
    <w:bookmarkEnd w:id="44"/>
    <w:bookmarkStart w:id="48" w:name="references"/>
    <w:p>
      <w:pPr>
        <w:pStyle w:val="Heading1"/>
      </w:pPr>
      <w:r>
        <w:t xml:space="preserve">References</w:t>
      </w:r>
    </w:p>
    <w:bookmarkStart w:id="47" w:name="refs"/>
    <w:bookmarkStart w:id="46" w:name="ref-rauschUsingDiariesResearch2014"/>
    <w:p>
      <w:pPr>
        <w:pStyle w:val="Bibliography"/>
      </w:pPr>
      <w:r>
        <w:t xml:space="preserve">Rausch, A. (2014). Using</w:t>
      </w:r>
      <w:r>
        <w:t xml:space="preserve"> </w:t>
      </w:r>
      <w:r>
        <w:t xml:space="preserve">Diaries</w:t>
      </w:r>
      <w:r>
        <w:t xml:space="preserve"> </w:t>
      </w:r>
      <w:r>
        <w:t xml:space="preserve">in</w:t>
      </w:r>
      <w:r>
        <w:t xml:space="preserve"> </w:t>
      </w:r>
      <w:r>
        <w:t xml:space="preserve">Research</w:t>
      </w:r>
      <w:r>
        <w:t xml:space="preserve"> </w:t>
      </w:r>
      <w:r>
        <w:t xml:space="preserve">on</w:t>
      </w:r>
      <w:r>
        <w:t xml:space="preserve"> </w:t>
      </w:r>
      <w:r>
        <w:t xml:space="preserve">Work</w:t>
      </w:r>
      <w:r>
        <w:t xml:space="preserve"> </w:t>
      </w:r>
      <w:r>
        <w:t xml:space="preserve">and</w:t>
      </w:r>
      <w:r>
        <w:t xml:space="preserve"> </w:t>
      </w:r>
      <w:r>
        <w:t xml:space="preserve">Learning</w:t>
      </w:r>
      <w:r>
        <w:t xml:space="preserve">. In C. Harteis, A. Rausch, &amp; J. Seifried (Eds.),</w:t>
      </w:r>
      <w:r>
        <w:t xml:space="preserve"> </w:t>
      </w:r>
      <w:r>
        <w:rPr>
          <w:i/>
          <w:iCs/>
        </w:rPr>
        <w:t xml:space="preserve">Discourses on</w:t>
      </w:r>
      <w:r>
        <w:rPr>
          <w:i/>
          <w:iCs/>
        </w:rPr>
        <w:t xml:space="preserve"> </w:t>
      </w:r>
      <w:r>
        <w:rPr>
          <w:i/>
          <w:iCs/>
        </w:rPr>
        <w:t xml:space="preserve">Professional Learning</w:t>
      </w:r>
      <w:r>
        <w:t xml:space="preserve"> </w:t>
      </w:r>
      <w:r>
        <w:t xml:space="preserve">(Vol. 9, pp. 341–366). Springer Netherlands.</w:t>
      </w:r>
      <w:r>
        <w:t xml:space="preserve"> </w:t>
      </w:r>
      <w:hyperlink r:id="rId45">
        <w:r>
          <w:rPr>
            <w:rStyle w:val="Hyperlink"/>
          </w:rPr>
          <w:t xml:space="preserve">https://doi.org/10.1007/978-94-007-7012-6‗ 17</w:t>
        </w:r>
      </w:hyperlink>
    </w:p>
    <w:bookmarkEnd w:id="46"/>
    <w:bookmarkEnd w:id="47"/>
    <w:p>
      <w:r>
        <w:br w:type="page"/>
      </w:r>
    </w:p>
    <w:bookmarkEnd w:id="48"/>
    <w:bookmarkStart w:id="49" w:name="appendix"/>
    <w:p>
      <w:pPr>
        <w:pStyle w:val="Heading1"/>
      </w:pPr>
      <w:r>
        <w:t xml:space="preserve">Appendix</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7/978-94-007-7012-6&#8215; 17" TargetMode="External" /><Relationship Type="http://schemas.openxmlformats.org/officeDocument/2006/relationships/hyperlink" Id="rId21" Target="https://doi.org/10.1016/S0742-051X(02)00101-4" TargetMode="External" /><Relationship Type="http://schemas.openxmlformats.org/officeDocument/2006/relationships/hyperlink" Id="rId29" Target="https://doi.org/10.1080/026783799296084" TargetMode="External" /><Relationship Type="http://schemas.openxmlformats.org/officeDocument/2006/relationships/hyperlink" Id="rId22" Target="https://doi.org/10.1080/13678860010004123" TargetMode="External" /><Relationship Type="http://schemas.openxmlformats.org/officeDocument/2006/relationships/hyperlink" Id="rId43" Target="https://www.elsevier.com/researcher/author/tools-and-resources/research-data"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978-94-007-7012-6&#8215; 17" TargetMode="External" /><Relationship Type="http://schemas.openxmlformats.org/officeDocument/2006/relationships/hyperlink" Id="rId21" Target="https://doi.org/10.1016/S0742-051X(02)00101-4" TargetMode="External" /><Relationship Type="http://schemas.openxmlformats.org/officeDocument/2006/relationships/hyperlink" Id="rId29" Target="https://doi.org/10.1080/026783799296084" TargetMode="External" /><Relationship Type="http://schemas.openxmlformats.org/officeDocument/2006/relationships/hyperlink" Id="rId22" Target="https://doi.org/10.1080/13678860010004123" TargetMode="External" /><Relationship Type="http://schemas.openxmlformats.org/officeDocument/2006/relationships/hyperlink" Id="rId43" Target="https://www.elsevier.com/researcher/author/tools-and-resources/research-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Vocational Teachers’ Informal Workplace Learning Using Experience Sampling</dc:title>
  <dc:creator>Manuel Böhm</dc:creator>
  <cp:keywords/>
  <dcterms:created xsi:type="dcterms:W3CDTF">2024-10-15T15:29:39Z</dcterms:created>
  <dcterms:modified xsi:type="dcterms:W3CDTF">2024-10-15T15:29:39Z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_bib/apa.csl</vt:lpwstr>
  </property>
  <property fmtid="{D5CDD505-2E9C-101B-9397-08002B2CF9AE}" pid="4" name="date">
    <vt:lpwstr>2024-10-15</vt:lpwstr>
  </property>
  <property fmtid="{D5CDD505-2E9C-101B-9397-08002B2CF9AE}" pid="5" name="header-includes">
    <vt:lpwstr/>
  </property>
  <property fmtid="{D5CDD505-2E9C-101B-9397-08002B2CF9AE}" pid="6" name="link-citations">
    <vt:lpwstr>True</vt:lpwstr>
  </property>
  <property fmtid="{D5CDD505-2E9C-101B-9397-08002B2CF9AE}" pid="7" name="numbersections">
    <vt:lpwstr>True</vt:lpwstr>
  </property>
  <property fmtid="{D5CDD505-2E9C-101B-9397-08002B2CF9AE}" pid="8" name="output">
    <vt:lpwstr/>
  </property>
  <property fmtid="{D5CDD505-2E9C-101B-9397-08002B2CF9AE}" pid="9" name="toc">
    <vt:lpwstr>True</vt:lpwstr>
  </property>
  <property fmtid="{D5CDD505-2E9C-101B-9397-08002B2CF9AE}" pid="10" name="toc-title">
    <vt:lpwstr>Article Outline</vt:lpwstr>
  </property>
</Properties>
</file>