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What’s</w:t>
      </w:r>
      <w:r>
        <w:t xml:space="preserve"> </w:t>
      </w:r>
      <w:r>
        <w:t xml:space="preserve">it</w:t>
      </w:r>
      <w:r>
        <w:t xml:space="preserve"> </w:t>
      </w:r>
      <w:r>
        <w:t xml:space="preserve">like</w:t>
      </w:r>
      <w:r>
        <w:t xml:space="preserve"> </w:t>
      </w:r>
      <w:r>
        <w:t xml:space="preserve">to</w:t>
      </w:r>
      <w:r>
        <w:t xml:space="preserve"> </w:t>
      </w:r>
      <w:r>
        <w:t xml:space="preserve">be</w:t>
      </w:r>
      <w:r>
        <w:t xml:space="preserve"> </w:t>
      </w:r>
      <w:r>
        <w:t xml:space="preserve">a</w:t>
      </w:r>
      <w:r>
        <w:t xml:space="preserve"> </w:t>
      </w:r>
      <w:r>
        <w:t xml:space="preserve">child?</w:t>
      </w:r>
    </w:p>
    <w:tbl>
      <w:tblPr>
        <w:tblStyle w:val="TableNormal"/>
        <w:tblW w:type="pct" w:w="5000.0"/>
        <w:tblLook/>
      </w:tblPr>
      <w:tblGrid>
        <w:gridCol w:w="7920"/>
      </w:tblGrid>
      <w:tr>
        <w:tc>
          <w:p>
            <w:pPr>
              <w:pStyle w:val="Compact"/>
              <w:jc w:val="center"/>
            </w:pPr>
            <w:r>
              <w:t xml:space="preserve">Peter M. Bohn</w:t>
            </w:r>
            <w:r>
              <w:rPr>
                <w:vertAlign w:val="superscript"/>
              </w:rPr>
              <w:t xml:space="preserve">1</w:t>
            </w:r>
          </w:p>
        </w:tc>
      </w:tr>
      <w:tr>
        <w:tc>
          <w:p>
            <w:pPr>
              <w:pStyle w:val="Compact"/>
              <w:jc w:val="center"/>
            </w:pPr>
            <w:r>
              <w:rPr>
                <w:vertAlign w:val="superscript"/>
              </w:rPr>
              <w:t xml:space="preserve">1</w:t>
            </w:r>
            <w:r>
              <w:t xml:space="preserve"> </w:t>
            </w:r>
            <w:r>
              <w:t xml:space="preserve">Leipzig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I thank my parents, I wouldn’t be here without them.</w:t>
      </w:r>
    </w:p>
    <w:p>
      <w:pPr>
        <w:pStyle w:val="Textkrper"/>
      </w:pPr>
      <w:r>
        <w:t xml:space="preserve">Correspondence concerning this article should be addressed to Peter M. Bohn, Chopinstr. 15. E-mail:</w:t>
      </w:r>
      <w:r>
        <w:t xml:space="preserve"> </w:t>
      </w:r>
      <w:hyperlink r:id="rId22">
        <w:r>
          <w:rPr>
            <w:rStyle w:val="Hyperlink"/>
          </w:rPr>
          <w:t xml:space="preserve">peter@bohn.com</w:t>
        </w:r>
      </w:hyperlink>
    </w:p>
    <w:p>
      <w:pPr>
        <w:pStyle w:val="Compact"/>
        <w:pStyle w:val="h1-pagebreak"/>
      </w:pPr>
      <w:r>
        <w:t xml:space="preserve">Abstract</w:t>
      </w:r>
    </w:p>
    <w:p>
      <w:pPr>
        <w:pStyle w:val="Textkrper"/>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krper"/>
      </w:pPr>
      <w:r>
        <w:rPr>
          <w:i/>
        </w:rPr>
        <w:t xml:space="preserve">Keywords:</w:t>
      </w:r>
      <w:r>
        <w:t xml:space="preserve"> </w:t>
      </w:r>
      <w:r>
        <w:t xml:space="preserve">development, cognition</w:t>
      </w:r>
    </w:p>
    <w:p>
      <w:pPr>
        <w:pStyle w:val="Textkrper"/>
      </w:pPr>
      <w:r>
        <w:t xml:space="preserve">Word count: 500</w:t>
      </w:r>
    </w:p>
    <w:p>
      <w:pPr>
        <w:pStyle w:val="Compact"/>
        <w:pStyle w:val="Titel"/>
      </w:pPr>
      <w:r>
        <w:t xml:space="preserve">What’s it like to be a child?</w:t>
      </w:r>
    </w:p>
    <w:p>
      <w:pPr>
        <w:pStyle w:val="Textkrper"/>
      </w:pPr>
      <w:r>
        <w:t xml:space="preserve">Thus far, child development has only been adressed from an adult perspective</w:t>
      </w:r>
      <w:r>
        <w:t xml:space="preserve"> </w:t>
      </w:r>
      <w:r>
        <w:t xml:space="preserve">(Bohn, Zimmermann, Call, &amp; Tomasello, 2018)</w:t>
      </w:r>
      <w:r>
        <w:t xml:space="preserve">.</w:t>
      </w:r>
    </w:p>
    <w:p>
      <w:pPr>
        <w:pStyle w:val="berschrift1"/>
      </w:pPr>
      <w:bookmarkStart w:id="23" w:name="methods"/>
      <w:bookmarkEnd w:id="23"/>
      <w:r>
        <w:t xml:space="preserve">Methods</w:t>
      </w:r>
    </w:p>
    <w:p>
      <w:pPr>
        <w:pStyle w:val="FirstParagraph"/>
      </w:pPr>
      <w:r>
        <w:t xml:space="preserve">These are the methods.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r>
      <w:tr>
        <w:tc>
          <w:p>
            <w:pPr>
              <w:pStyle w:val="Compact"/>
              <w:jc w:val="left"/>
            </w:pPr>
            <w:r>
              <w:t xml:space="preserve">barbary_macaque</w:t>
            </w:r>
          </w:p>
        </w:tc>
        <w:tc>
          <w:p>
            <w:pPr>
              <w:pStyle w:val="Compact"/>
              <w:jc w:val="right"/>
            </w:pPr>
            <w:r>
              <w:t xml:space="preserve">103</w:t>
            </w:r>
          </w:p>
        </w:tc>
      </w:tr>
      <w:tr>
        <w:tc>
          <w:p>
            <w:pPr>
              <w:pStyle w:val="Compact"/>
              <w:jc w:val="left"/>
            </w:pPr>
            <w:r>
              <w:t xml:space="preserve">black_and_white_ruffed_lemur</w:t>
            </w:r>
          </w:p>
        </w:tc>
        <w:tc>
          <w:p>
            <w:pPr>
              <w:pStyle w:val="Compact"/>
              <w:jc w:val="right"/>
            </w:pPr>
            <w:r>
              <w:t xml:space="preserve">252</w:t>
            </w:r>
          </w:p>
        </w:tc>
      </w:tr>
      <w:tr>
        <w:tc>
          <w:p>
            <w:pPr>
              <w:pStyle w:val="Compact"/>
              <w:jc w:val="left"/>
            </w:pPr>
            <w:r>
              <w:t xml:space="preserve">black_faced_spider_monkey</w:t>
            </w:r>
          </w:p>
        </w:tc>
        <w:tc>
          <w:p>
            <w:pPr>
              <w:pStyle w:val="Compact"/>
              <w:jc w:val="right"/>
            </w:pPr>
            <w:r>
              <w:t xml:space="preserve">27</w:t>
            </w:r>
          </w:p>
        </w:tc>
      </w:tr>
      <w:tr>
        <w:tc>
          <w:p>
            <w:pPr>
              <w:pStyle w:val="Compact"/>
              <w:jc w:val="left"/>
            </w:pPr>
            <w:r>
              <w:t xml:space="preserve">bonobo</w:t>
            </w:r>
          </w:p>
        </w:tc>
        <w:tc>
          <w:p>
            <w:pPr>
              <w:pStyle w:val="Compact"/>
              <w:jc w:val="right"/>
            </w:pPr>
            <w:r>
              <w:t xml:space="preserve">359</w:t>
            </w:r>
          </w:p>
        </w:tc>
      </w:tr>
      <w:tr>
        <w:tc>
          <w:p>
            <w:pPr>
              <w:pStyle w:val="Compact"/>
              <w:jc w:val="left"/>
            </w:pPr>
            <w:r>
              <w:t xml:space="preserve">brown_capuchin_monkey</w:t>
            </w:r>
          </w:p>
        </w:tc>
        <w:tc>
          <w:p>
            <w:pPr>
              <w:pStyle w:val="Compact"/>
              <w:jc w:val="right"/>
            </w:pPr>
            <w:r>
              <w:t xml:space="preserve">1511</w:t>
            </w:r>
          </w:p>
        </w:tc>
      </w:tr>
      <w:tr>
        <w:tc>
          <w:p>
            <w:pPr>
              <w:pStyle w:val="Compact"/>
              <w:jc w:val="left"/>
            </w:pPr>
            <w:r>
              <w:t xml:space="preserve">chimpanzee</w:t>
            </w:r>
          </w:p>
        </w:tc>
        <w:tc>
          <w:p>
            <w:pPr>
              <w:pStyle w:val="Compact"/>
              <w:jc w:val="right"/>
            </w:pPr>
            <w:r>
              <w:t xml:space="preserve">1751</w:t>
            </w:r>
          </w:p>
        </w:tc>
      </w:tr>
      <w:tr>
        <w:tc>
          <w:p>
            <w:pPr>
              <w:pStyle w:val="Compact"/>
              <w:jc w:val="left"/>
            </w:pPr>
            <w:r>
              <w:t xml:space="preserve">gorilla</w:t>
            </w:r>
          </w:p>
        </w:tc>
        <w:tc>
          <w:p>
            <w:pPr>
              <w:pStyle w:val="Compact"/>
              <w:jc w:val="right"/>
            </w:pPr>
            <w:r>
              <w:t xml:space="preserve">171</w:t>
            </w:r>
          </w:p>
        </w:tc>
      </w:tr>
      <w:tr>
        <w:tc>
          <w:p>
            <w:pPr>
              <w:pStyle w:val="Compact"/>
              <w:jc w:val="left"/>
            </w:pPr>
            <w:r>
              <w:t xml:space="preserve">long_tailed_macaque</w:t>
            </w:r>
          </w:p>
        </w:tc>
        <w:tc>
          <w:p>
            <w:pPr>
              <w:pStyle w:val="Compact"/>
              <w:jc w:val="right"/>
            </w:pPr>
            <w:r>
              <w:t xml:space="preserve">612</w:t>
            </w:r>
          </w:p>
        </w:tc>
      </w:tr>
      <w:tr>
        <w:tc>
          <w:p>
            <w:pPr>
              <w:pStyle w:val="Compact"/>
              <w:jc w:val="left"/>
            </w:pPr>
            <w:r>
              <w:t xml:space="preserve">orangutan</w:t>
            </w:r>
          </w:p>
        </w:tc>
        <w:tc>
          <w:p>
            <w:pPr>
              <w:pStyle w:val="Compact"/>
              <w:jc w:val="right"/>
            </w:pPr>
            <w:r>
              <w:t xml:space="preserve">180</w:t>
            </w:r>
          </w:p>
        </w:tc>
      </w:tr>
      <w:tr>
        <w:tc>
          <w:p>
            <w:pPr>
              <w:pStyle w:val="Compact"/>
              <w:jc w:val="left"/>
            </w:pPr>
            <w:r>
              <w:t xml:space="preserve">rhesus_macaque</w:t>
            </w:r>
          </w:p>
        </w:tc>
        <w:tc>
          <w:p>
            <w:pPr>
              <w:pStyle w:val="Compact"/>
              <w:jc w:val="right"/>
            </w:pPr>
            <w:r>
              <w:t xml:space="preserve">87</w:t>
            </w:r>
          </w:p>
        </w:tc>
      </w:tr>
      <w:tr>
        <w:tc>
          <w:p>
            <w:pPr>
              <w:pStyle w:val="Compact"/>
              <w:jc w:val="left"/>
            </w:pPr>
            <w:r>
              <w:t xml:space="preserve">ring_tailed_lemur</w:t>
            </w:r>
          </w:p>
        </w:tc>
        <w:tc>
          <w:p>
            <w:pPr>
              <w:pStyle w:val="Compact"/>
              <w:jc w:val="right"/>
            </w:pPr>
            <w:r>
              <w:t xml:space="preserve">302</w:t>
            </w:r>
          </w:p>
        </w:tc>
      </w:tr>
      <w:tr>
        <w:tc>
          <w:p>
            <w:pPr>
              <w:pStyle w:val="Compact"/>
              <w:jc w:val="left"/>
            </w:pPr>
            <w:r>
              <w:t xml:space="preserve">squirrel_monkey</w:t>
            </w:r>
          </w:p>
        </w:tc>
        <w:tc>
          <w:p>
            <w:pPr>
              <w:pStyle w:val="Compact"/>
              <w:jc w:val="right"/>
            </w:pPr>
            <w:r>
              <w:t xml:space="preserve">522</w:t>
            </w:r>
          </w:p>
        </w:tc>
      </w:tr>
    </w:tbl>
    <w:p>
      <w:pPr>
        <w:pStyle w:val="berschrift2"/>
      </w:pPr>
      <w:bookmarkStart w:id="24" w:name="participants"/>
      <w:bookmarkEnd w:id="24"/>
      <w:r>
        <w:t xml:space="preserve">Participants</w:t>
      </w:r>
    </w:p>
    <w:p>
      <w:pPr>
        <w:pStyle w:val="berschrift2"/>
      </w:pPr>
      <w:bookmarkStart w:id="25" w:name="material"/>
      <w:bookmarkEnd w:id="25"/>
      <w:r>
        <w:t xml:space="preserve">Material</w:t>
      </w:r>
    </w:p>
    <w:p>
      <w:pPr>
        <w:pStyle w:val="berschrift2"/>
      </w:pPr>
      <w:bookmarkStart w:id="26" w:name="procedure"/>
      <w:bookmarkEnd w:id="26"/>
      <w:r>
        <w:t xml:space="preserve">Procedure</w:t>
      </w:r>
    </w:p>
    <w:p>
      <w:pPr>
        <w:pStyle w:val="berschrift2"/>
      </w:pPr>
      <w:bookmarkStart w:id="27" w:name="data-analysis"/>
      <w:bookmarkEnd w:id="27"/>
      <w:r>
        <w:t xml:space="preserve">Data analysis</w:t>
      </w:r>
    </w:p>
    <w:p>
      <w:pPr>
        <w:pStyle w:val="berschrift1"/>
      </w:pPr>
      <w:bookmarkStart w:id="28" w:name="results"/>
      <w:bookmarkEnd w:id="28"/>
      <w:r>
        <w:t xml:space="preserve">Results</w:t>
      </w:r>
    </w:p>
    <w:p>
      <w:pPr>
        <w:pStyle w:val="berschrift1"/>
      </w:pPr>
      <w:bookmarkStart w:id="29" w:name="discussion"/>
      <w:bookmarkEnd w:id="29"/>
      <w:r>
        <w:t xml:space="preserve">Discussion</w:t>
      </w:r>
    </w:p>
    <w:p>
      <w:pPr>
        <w:pStyle w:val="berschrift1"/>
      </w:pPr>
      <w:bookmarkStart w:id="30" w:name="references"/>
      <w:bookmarkEnd w:id="30"/>
      <w:r>
        <w:t xml:space="preserve">References</w:t>
      </w:r>
    </w:p>
    <w:p>
      <w:pPr>
        <w:pStyle w:val="FirstParagraph"/>
      </w:pPr>
      <w:r>
        <w:t xml:space="preserve"> </w:t>
      </w:r>
    </w:p>
    <w:p>
      <w:pPr>
        <w:pStyle w:val="Textkrper"/>
      </w:pPr>
      <w:r>
        <w:t xml:space="preserve">Bohn, M., Zimmermann, L., Call, J., &amp; Tomasello, M. (2018). The social-cognitive basis of infants’ reference to absent entities.</w:t>
      </w:r>
      <w:r>
        <w:t xml:space="preserve"> </w:t>
      </w:r>
      <w:r>
        <w:rPr>
          <w:i/>
        </w:rPr>
        <w:t xml:space="preserve">Cognition</w:t>
      </w:r>
      <w:r>
        <w:t xml:space="preserve">,</w:t>
      </w:r>
      <w:r>
        <w:t xml:space="preserve"> </w:t>
      </w:r>
      <w:r>
        <w:rPr>
          <w:i/>
        </w:rPr>
        <w:t xml:space="preserve">177</w:t>
      </w:r>
      <w:r>
        <w:t xml:space="preserve">, 41–48.</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4c5a11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peter@bohn.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peter@boh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it like to be a child?</dc:title>
  <dc:creator/>
  <dcterms:created xsi:type="dcterms:W3CDTF">2019-06-11T13:16:52Z</dcterms:created>
  <dcterms:modified xsi:type="dcterms:W3CDTF">2019-06-11T13:16:52Z</dcterms:modified>
</cp:coreProperties>
</file>