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Trimestrale</w:t>
      </w:r>
      <w:r>
        <w:t xml:space="preserve"> </w:t>
      </w:r>
      <w:r>
        <w:t xml:space="preserve">Portafoglio</w:t>
      </w:r>
      <w:r>
        <w:t xml:space="preserve"> </w:t>
      </w:r>
      <w:r>
        <w:t xml:space="preserve">Polizze</w:t>
      </w:r>
      <w:r>
        <w:t xml:space="preserve"> </w:t>
      </w:r>
      <w:r>
        <w:t xml:space="preserve">Auto</w:t>
      </w:r>
    </w:p>
    <w:p>
      <w:pPr>
        <w:pStyle w:val="Subtitle"/>
      </w:pPr>
      <w:r>
        <w:t xml:space="preserve">Q3</w:t>
      </w:r>
      <w:r>
        <w:t xml:space="preserve"> </w:t>
      </w:r>
      <w:r>
        <w:t xml:space="preserve">2024</w:t>
      </w:r>
      <w:r>
        <w:t xml:space="preserve"> </w:t>
      </w:r>
      <w:r>
        <w:t xml:space="preserve">-</w:t>
      </w:r>
      <w:r>
        <w:t xml:space="preserve"> </w:t>
      </w:r>
      <w:r>
        <w:t xml:space="preserve">Analisi</w:t>
      </w:r>
      <w:r>
        <w:t xml:space="preserve"> </w:t>
      </w:r>
      <w:r>
        <w:t xml:space="preserve">Performance</w:t>
      </w:r>
      <w:r>
        <w:t xml:space="preserve"> </w:t>
      </w:r>
      <w:r>
        <w:t xml:space="preserve">e</w:t>
      </w:r>
      <w:r>
        <w:t xml:space="preserve"> </w:t>
      </w:r>
      <w:r>
        <w:t xml:space="preserve">Sinistralità</w:t>
      </w:r>
    </w:p>
    <w:p>
      <w:pPr>
        <w:pStyle w:val="Author"/>
      </w:pPr>
      <w:r>
        <w:t xml:space="preserve">Direzione</w:t>
      </w:r>
      <w:r>
        <w:t xml:space="preserve"> </w:t>
      </w:r>
      <w:r>
        <w:t xml:space="preserve">Tecnica</w:t>
      </w:r>
      <w:r>
        <w:t xml:space="preserve"> </w:t>
      </w:r>
      <w:r>
        <w:t xml:space="preserve">Assicurazioni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Ottobre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Il portafoglio polizze auto ha chiuso il Q3 2024 con</w:t>
      </w:r>
      <w:r>
        <w:t xml:space="preserve"> </w:t>
      </w:r>
      <w:r>
        <w:rPr>
          <w:bCs/>
          <w:b/>
        </w:rPr>
        <w:t xml:space="preserve">€2.800.000</w:t>
      </w:r>
      <w:r>
        <w:t xml:space="preserve"> </w:t>
      </w:r>
      <w:r>
        <w:t xml:space="preserve">di premi raccolti e</w:t>
      </w:r>
      <w:r>
        <w:t xml:space="preserve"> </w:t>
      </w:r>
      <w:r>
        <w:rPr>
          <w:bCs/>
          <w:b/>
        </w:rPr>
        <w:t xml:space="preserve">€1.900.000</w:t>
      </w:r>
      <w:r>
        <w:t xml:space="preserve"> </w:t>
      </w:r>
      <w:r>
        <w:t xml:space="preserve">di sinistri pagati, registrando un</w:t>
      </w:r>
      <w:r>
        <w:t xml:space="preserve"> </w:t>
      </w:r>
      <w:r>
        <w:rPr>
          <w:bCs/>
          <w:b/>
        </w:rPr>
        <w:t xml:space="preserve">loss ratio del 67.8%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Indicatori chiave Q3 2024: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Premi raccolti</w:t>
      </w:r>
      <w:r>
        <w:t xml:space="preserve">: €2.800.000 (+5.7% vs Q2)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Loss Ratio</w:t>
      </w:r>
      <w:r>
        <w:t xml:space="preserve">: 67.8% (+3.9 punti vs Q2)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Frequenza sinistri</w:t>
      </w:r>
      <w:r>
        <w:t xml:space="preserve">: 8.2% (+0.4 punti vs Q2)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Costo medio sinistro</w:t>
      </w:r>
      <w:r>
        <w:t xml:space="preserve">: €1.630 (+€95 vs Q2)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Numero polizze attive</w:t>
      </w:r>
      <w:r>
        <w:t xml:space="preserve">: 15.200 (+3.2% vs Q2)</w:t>
      </w:r>
    </w:p>
    <w:p>
      <w:pPr>
        <w:pStyle w:val="BodyText"/>
      </w:pPr>
      <w:r>
        <w:rPr>
          <w:bCs/>
          <w:b/>
        </w:rPr>
        <w:t xml:space="preserve">Alert</w:t>
      </w:r>
      <w:r>
        <w:t xml:space="preserve">: Il loss ratio ha superato la soglia target del 65%, principalmente a causa dell’aumento del costo medio sinistro nel mese di settembre.</w:t>
      </w:r>
    </w:p>
    <w:bookmarkEnd w:id="20"/>
    <w:bookmarkStart w:id="24" w:name="analisi-della-performance-mensile"/>
    <w:p>
      <w:pPr>
        <w:pStyle w:val="Heading1"/>
      </w:pPr>
      <w:r>
        <w:t xml:space="preserve">Analisi della Performance Mensile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Andamento Mensile Premi e Sinistri Q3 2024" title="" id="22" name="Picture"/>
            <a:graphic>
              <a:graphicData uri="http://schemas.openxmlformats.org/drawingml/2006/picture">
                <pic:pic>
                  <pic:nvPicPr>
                    <pic:cNvPr descr="Primo_files/figure-docx/grafico-trend-mensil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Andamento Mensile Premi e Sinistri Q3 2024</w:t>
      </w:r>
    </w:p>
    <w:p>
      <w:pPr>
        <w:pStyle w:val="BodyText"/>
      </w:pPr>
      <w:r>
        <w:t xml:space="preserve">Il mese di</w:t>
      </w:r>
      <w:r>
        <w:t xml:space="preserve"> </w:t>
      </w:r>
      <w:r>
        <w:rPr>
          <w:bCs/>
          <w:b/>
        </w:rPr>
        <w:t xml:space="preserve">settembre</w:t>
      </w:r>
      <w:r>
        <w:t xml:space="preserve"> </w:t>
      </w:r>
      <w:r>
        <w:t xml:space="preserve">ha mostrato il peggior performance con un loss ratio del 70.2%, influenzato dall’aumento stagionale degli incidenti.</w:t>
      </w:r>
    </w:p>
    <w:p>
      <w:pPr>
        <w:pStyle w:val="TableCaption"/>
      </w:pPr>
      <w:r>
        <w:t xml:space="preserve">Dettaglio Performance Mensile Q3 2024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Dettaglio Performance Mensile Q3 2024"/>
      </w:tblPr>
      <w:tblGrid>
        <w:gridCol w:w="784"/>
        <w:gridCol w:w="784"/>
        <w:gridCol w:w="1019"/>
        <w:gridCol w:w="862"/>
        <w:gridCol w:w="940"/>
        <w:gridCol w:w="1176"/>
        <w:gridCol w:w="1097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Premi (€)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Sinistri (€)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N° Polizze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N° Sinistri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Loss Ratio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Frequenza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Costo Medio (€)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Luglio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Agosto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66,9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Settembre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1.635</w:t>
            </w:r>
          </w:p>
        </w:tc>
      </w:tr>
    </w:tbl>
    <w:bookmarkEnd w:id="24"/>
    <w:bookmarkStart w:id="28" w:name="analisi-per-fascia-detà"/>
    <w:p>
      <w:pPr>
        <w:pStyle w:val="Heading1"/>
      </w:pPr>
      <w:r>
        <w:t xml:space="preserve">Analisi per Fascia d’Età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Distribuzione Loss Ratio per Fascia d’Età" title="" id="26" name="Picture"/>
            <a:graphic>
              <a:graphicData uri="http://schemas.openxmlformats.org/drawingml/2006/picture">
                <pic:pic>
                  <pic:nvPicPr>
                    <pic:cNvPr descr="Primo_files/figure-docx/grafico-eta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Distribuzione Loss Ratio per Fascia d’Età</w:t>
      </w:r>
    </w:p>
    <w:p>
      <w:pPr>
        <w:pStyle w:val="BodyText"/>
      </w:pPr>
      <w:r>
        <w:rPr>
          <w:bCs/>
          <w:b/>
        </w:rPr>
        <w:t xml:space="preserve">Criticità identificate:</w:t>
      </w:r>
      <w:r>
        <w:t xml:space="preserve"> </w:t>
      </w:r>
      <w:r>
        <w:t xml:space="preserve">- Fascia 18-25 anni: loss ratio critico al 75.3% (10+ punti sopra target)</w:t>
      </w:r>
      <w:r>
        <w:t xml:space="preserve"> </w:t>
      </w:r>
      <w:r>
        <w:t xml:space="preserve">- Fascia 26-35 anni: loss ratio al 68.9% (quasi 4 punti sopra target)</w:t>
      </w:r>
      <w:r>
        <w:t xml:space="preserve"> </w:t>
      </w:r>
      <w:r>
        <w:t xml:space="preserve">- Necessario rivedere pricing per fasce giovani</w:t>
      </w:r>
    </w:p>
    <w:p>
      <w:pPr>
        <w:pStyle w:val="TableCaption"/>
      </w:pPr>
      <w:r>
        <w:t xml:space="preserve">Analisi Dettagliata per Fascia d’Età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Analisi Dettagliata per Fascia d’Età"/>
      </w:tblPr>
      <w:tblGrid>
        <w:gridCol w:w="1089"/>
        <w:gridCol w:w="1089"/>
        <w:gridCol w:w="1188"/>
        <w:gridCol w:w="1683"/>
        <w:gridCol w:w="1386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Fascia Età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N° Polizze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N° Sinistri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Premio Medio (€)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Frequenza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Loss Ratio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18-25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26-35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51-65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27,0</w:t>
            </w:r>
          </w:p>
        </w:tc>
      </w:tr>
    </w:tbl>
    <w:bookmarkEnd w:id="28"/>
    <w:bookmarkStart w:id="32" w:name="analisi-geografica"/>
    <w:p>
      <w:pPr>
        <w:pStyle w:val="Heading1"/>
      </w:pPr>
      <w:r>
        <w:t xml:space="preserve">Analisi Geografica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Performance per Area Geografica" title="" id="30" name="Picture"/>
            <a:graphic>
              <a:graphicData uri="http://schemas.openxmlformats.org/drawingml/2006/picture">
                <pic:pic>
                  <pic:nvPicPr>
                    <pic:cNvPr descr="Primo_files/figure-docx/grafico-geografico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Performance per Area Geografica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bCs/>
          <w:b/>
        </w:rPr>
        <w:t xml:space="preserve">Sud Italia</w:t>
      </w:r>
      <w:r>
        <w:t xml:space="preserve"> </w:t>
      </w:r>
      <w:r>
        <w:t xml:space="preserve">presenta la performance migliore con loss ratio al 60.8%, mentre il</w:t>
      </w:r>
      <w:r>
        <w:t xml:space="preserve"> </w:t>
      </w:r>
      <w:r>
        <w:rPr>
          <w:bCs/>
          <w:b/>
        </w:rPr>
        <w:t xml:space="preserve">Centro</w:t>
      </w:r>
      <w:r>
        <w:t xml:space="preserve"> </w:t>
      </w:r>
      <w:r>
        <w:t xml:space="preserve">mostra criticità al 71.2%.</w:t>
      </w:r>
    </w:p>
    <w:bookmarkEnd w:id="32"/>
    <w:bookmarkStart w:id="33" w:name="confronto-con-q2-2024"/>
    <w:p>
      <w:pPr>
        <w:pStyle w:val="Heading1"/>
      </w:pPr>
      <w:r>
        <w:t xml:space="preserve">Confronto con Q2 2024</w:t>
      </w:r>
    </w:p>
    <w:p>
      <w:pPr>
        <w:pStyle w:val="TableCaption"/>
      </w:pPr>
      <w:r>
        <w:t xml:space="preserve">Confronto Performance Q2 vs Q3 2024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nfronto Performance Q2 vs Q3 2024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Indicatore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 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 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Variazione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 Raccolti (€M)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+5.7%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Sinistri Pagati (€M)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+11.8%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 Ratio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+3.9pp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Frequenza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+0.4pp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 Medio (€)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+€95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N° Polizze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+3.4%</w:t>
            </w:r>
          </w:p>
        </w:tc>
      </w:tr>
    </w:tbl>
    <w:p>
      <w:pPr>
        <w:pStyle w:val="BodyText"/>
      </w:pPr>
      <w:r>
        <w:rPr>
          <w:bCs/>
          <w:b/>
        </w:rPr>
        <w:t xml:space="preserve">Trend preoccupanti:</w:t>
      </w:r>
      <w:r>
        <w:t xml:space="preserve"> </w:t>
      </w:r>
      <w:r>
        <w:t xml:space="preserve">- Aumento significativo sinistri pagati (+11.8%)</w:t>
      </w:r>
      <w:r>
        <w:t xml:space="preserve"> </w:t>
      </w:r>
      <w:r>
        <w:t xml:space="preserve">- Deterioramento loss ratio (+3.9 punti percentuali)</w:t>
      </w:r>
      <w:r>
        <w:t xml:space="preserve"> </w:t>
      </w:r>
      <w:r>
        <w:t xml:space="preserve">- Crescita contenuta premi vs sinistri</w:t>
      </w:r>
    </w:p>
    <w:bookmarkEnd w:id="33"/>
    <w:bookmarkStart w:id="34" w:name="proiezioni-q4-2024"/>
    <w:p>
      <w:pPr>
        <w:pStyle w:val="Heading1"/>
      </w:pPr>
      <w:r>
        <w:t xml:space="preserve">Proiezioni Q4 2024</w:t>
      </w:r>
    </w:p>
    <w:p>
      <w:pPr>
        <w:pStyle w:val="FirstParagraph"/>
      </w:pPr>
      <w:r>
        <w:t xml:space="preserve">Basandosi sui trend Q3, si prevede per Q4 2024: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Premi stimati</w:t>
      </w:r>
      <w:r>
        <w:t xml:space="preserve">: €2.95M (+5% vs Q3)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Loss ratio target</w:t>
      </w:r>
      <w:r>
        <w:t xml:space="preserve">: 66% (miglioramento per azioni correttive)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Sinistri stimati</w:t>
      </w:r>
      <w:r>
        <w:t xml:space="preserve">: €1.95M</w:t>
      </w:r>
    </w:p>
    <w:p>
      <w:pPr>
        <w:pStyle w:val="BodyText"/>
      </w:pPr>
      <w:r>
        <w:rPr>
          <w:bCs/>
          <w:b/>
        </w:rPr>
        <w:t xml:space="preserve">Raccomandazioni strategiche: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Revisione Pricing</w:t>
      </w:r>
      <w:r>
        <w:t xml:space="preserve">: Incremento tariffe fasce 18-35 anni del 8-12%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Geografica</w:t>
      </w:r>
      <w:r>
        <w:t xml:space="preserve">: Analisi approfondita mercato Centro Italia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Prevenzione</w:t>
      </w:r>
      <w:r>
        <w:t xml:space="preserve">: Programma bonus sicurezza stradale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Monitoraggio</w:t>
      </w:r>
      <w:r>
        <w:t xml:space="preserve">: KPI settimanali su settembre per identificare early warning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generato il 23/06/2025 - Prossimo aggiornamento: 15 Gennaio 2025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Trimestrale Portafoglio Polizze Auto</dc:title>
  <dc:creator>Direzione Tecnica Assicurazioni</dc:creator>
  <cp:keywords/>
  <dcterms:created xsi:type="dcterms:W3CDTF">2025-06-23T12:48:09Z</dcterms:created>
  <dcterms:modified xsi:type="dcterms:W3CDTF">2025-06-23T12:48:09Z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Ottobre 2024</vt:lpwstr>
  </property>
  <property fmtid="{D5CDD505-2E9C-101B-9397-08002B2CF9AE}" pid="3" name="output">
    <vt:lpwstr/>
  </property>
  <property fmtid="{D5CDD505-2E9C-101B-9397-08002B2CF9AE}" pid="4" name="subtitle">
    <vt:lpwstr>Q3 2024 - Analisi Performance e Sinistralità</vt:lpwstr>
  </property>
</Properties>
</file>