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Trimestrale</w:t>
      </w:r>
      <w:r>
        <w:t xml:space="preserve"> </w:t>
      </w:r>
      <w:r>
        <w:t xml:space="preserve">Portafoglio</w:t>
      </w:r>
      <w:r>
        <w:t xml:space="preserve"> </w:t>
      </w:r>
      <w:r>
        <w:t xml:space="preserve">Polizze</w:t>
      </w:r>
      <w:r>
        <w:t xml:space="preserve"> </w:t>
      </w:r>
      <w:r>
        <w:t xml:space="preserve">Auto</w:t>
      </w:r>
    </w:p>
    <w:p>
      <w:pPr>
        <w:pStyle w:val="Subtitle"/>
      </w:pPr>
      <w:r>
        <w:t xml:space="preserve">Q3</w:t>
      </w:r>
      <w:r>
        <w:t xml:space="preserve"> </w:t>
      </w:r>
      <w:r>
        <w:t xml:space="preserve">2024</w:t>
      </w:r>
      <w:r>
        <w:t xml:space="preserve"> </w:t>
      </w:r>
      <w:r>
        <w:t xml:space="preserve">-</w:t>
      </w:r>
      <w:r>
        <w:t xml:space="preserve"> </w:t>
      </w:r>
      <w:r>
        <w:t xml:space="preserve">Analisi</w:t>
      </w:r>
      <w:r>
        <w:t xml:space="preserve"> </w:t>
      </w:r>
      <w:r>
        <w:t xml:space="preserve">Performance</w:t>
      </w:r>
      <w:r>
        <w:t xml:space="preserve"> </w:t>
      </w:r>
      <w:r>
        <w:t xml:space="preserve">e</w:t>
      </w:r>
      <w:r>
        <w:t xml:space="preserve"> </w:t>
      </w:r>
      <w:r>
        <w:t xml:space="preserve">Sinistralità</w:t>
      </w:r>
    </w:p>
    <w:p>
      <w:pPr>
        <w:pStyle w:val="Author"/>
      </w:pPr>
      <w:r>
        <w:t xml:space="preserve">Direzione</w:t>
      </w:r>
      <w:r>
        <w:t xml:space="preserve"> </w:t>
      </w:r>
      <w:r>
        <w:t xml:space="preserve">Tecnica</w:t>
      </w:r>
      <w:r>
        <w:t xml:space="preserve"> </w:t>
      </w:r>
      <w:r>
        <w:t xml:space="preserve">Assicurazioni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giugno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Il portafoglio polizze auto ha chiuso il Q3 2024 con</w:t>
      </w:r>
      <w:r>
        <w:t xml:space="preserve"> </w:t>
      </w:r>
      <w:r>
        <w:rPr>
          <w:bCs/>
          <w:b/>
        </w:rPr>
        <w:t xml:space="preserve">€827.715</w:t>
      </w:r>
      <w:r>
        <w:t xml:space="preserve"> </w:t>
      </w:r>
      <w:r>
        <w:t xml:space="preserve">di premi raccolti e</w:t>
      </w:r>
      <w:r>
        <w:t xml:space="preserve"> </w:t>
      </w:r>
      <w:r>
        <w:rPr>
          <w:bCs/>
          <w:b/>
        </w:rPr>
        <w:t xml:space="preserve">€543.663</w:t>
      </w:r>
      <w:r>
        <w:t xml:space="preserve"> </w:t>
      </w:r>
      <w:r>
        <w:t xml:space="preserve">di sinistri pagati, registrando un</w:t>
      </w:r>
      <w:r>
        <w:t xml:space="preserve"> </w:t>
      </w:r>
      <w:r>
        <w:rPr>
          <w:bCs/>
          <w:b/>
        </w:rPr>
        <w:t xml:space="preserve">loss ratio del 65.7%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Indicatori chiave Q3 2024: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Premi raccolti</w:t>
      </w:r>
      <w:r>
        <w:t xml:space="preserve">: €827.715 (-2% vs Q2 2024)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Loss Ratio</w:t>
      </w:r>
      <w:r>
        <w:t xml:space="preserve">: 65.7% (-5.1 punti vs Q2 2024) ⚠️ ALERT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Frequenza sinistri</w:t>
      </w:r>
      <w:r>
        <w:t xml:space="preserve">: 24.4% (+1.3 punti vs Q2 2024) ⚠️ ALERT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Costo medio sinistro</w:t>
      </w:r>
      <w:r>
        <w:t xml:space="preserve">: €148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Numero polizze attive</w:t>
      </w:r>
      <w:r>
        <w:t xml:space="preserve">: 15.034</w:t>
      </w:r>
    </w:p>
    <w:p>
      <w:pPr>
        <w:pStyle w:val="BodyText"/>
      </w:pPr>
      <w:r>
        <w:rPr>
          <w:bCs/>
          <w:b/>
        </w:rPr>
        <w:t xml:space="preserve">🚨 ALERT LOSS RATIO</w:t>
      </w:r>
      <w:r>
        <w:t xml:space="preserve">: Il loss ratio ha superato la soglia target del 65 %. Raccomandato intervento immediato.</w:t>
      </w:r>
    </w:p>
    <w:p>
      <w:pPr>
        <w:pStyle w:val="BodyText"/>
      </w:pPr>
      <w:r>
        <w:rPr>
          <w:bCs/>
          <w:b/>
        </w:rPr>
        <w:t xml:space="preserve">🚨 ALERT FREQUENZA</w:t>
      </w:r>
      <w:r>
        <w:t xml:space="preserve">: La frequenza sinistri ha superato la soglia del 10 %. Monitoraggio intensivo richiesto.</w:t>
      </w:r>
    </w:p>
    <w:bookmarkEnd w:id="20"/>
    <w:bookmarkStart w:id="24" w:name="analisi-della-performance-mensile"/>
    <w:p>
      <w:pPr>
        <w:pStyle w:val="Heading1"/>
      </w:pPr>
      <w:r>
        <w:t xml:space="preserve">Analisi della Performance Mensile</w:t>
      </w:r>
    </w:p>
    <w:p>
      <w:pPr>
        <w:pStyle w:val="CaptionedFigure"/>
      </w:pPr>
      <w:r>
        <w:drawing>
          <wp:inline>
            <wp:extent cx="5334000" cy="3809999"/>
            <wp:effectExtent b="0" l="0" r="0" t="0"/>
            <wp:docPr descr="Andamento Mensile Premi e Sinistri Q3 2024" title="" id="22" name="Picture"/>
            <a:graphic>
              <a:graphicData uri="http://schemas.openxmlformats.org/drawingml/2006/picture">
                <pic:pic>
                  <pic:nvPicPr>
                    <pic:cNvPr descr="Secondo_files/figure-docx/grafico-trend-mensil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Andamento Mensile Premi e Sinistri Q3 2024</w:t>
      </w:r>
    </w:p>
    <w:p>
      <w:pPr>
        <w:pStyle w:val="TableCaption"/>
      </w:pPr>
      <w:r>
        <w:t xml:space="preserve">Dettaglio Performance Mensile Q3 2024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Dettaglio Performance Mensile Q3 2024"/>
      </w:tblPr>
      <w:tblGrid>
        <w:gridCol w:w="654"/>
        <w:gridCol w:w="654"/>
        <w:gridCol w:w="850"/>
        <w:gridCol w:w="720"/>
        <w:gridCol w:w="785"/>
        <w:gridCol w:w="981"/>
        <w:gridCol w:w="589"/>
        <w:gridCol w:w="916"/>
        <w:gridCol w:w="720"/>
        <w:gridCol w:w="10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Premi (€)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Sinistri (€)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N° Polizze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N° Sinistri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Loss Ratio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Alert 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Frequenza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Alert 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Costo Medio (€)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Luglio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263.684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⚠️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Agosto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⚠️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Settembre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64,1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8,7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</w:tr>
    </w:tbl>
    <w:bookmarkEnd w:id="24"/>
    <w:bookmarkStart w:id="28" w:name="analisi-per-fascia-detà"/>
    <w:p>
      <w:pPr>
        <w:pStyle w:val="Heading1"/>
      </w:pPr>
      <w:r>
        <w:t xml:space="preserve">Analisi per Fascia d’Età</w:t>
      </w:r>
    </w:p>
    <w:p>
      <w:pPr>
        <w:pStyle w:val="CaptionedFigure"/>
      </w:pPr>
      <w:r>
        <w:drawing>
          <wp:inline>
            <wp:extent cx="5334000" cy="3809999"/>
            <wp:effectExtent b="0" l="0" r="0" t="0"/>
            <wp:docPr descr="Distribuzione Loss Ratio per Fascia d’Età" title="" id="26" name="Picture"/>
            <a:graphic>
              <a:graphicData uri="http://schemas.openxmlformats.org/drawingml/2006/picture">
                <pic:pic>
                  <pic:nvPicPr>
                    <pic:cNvPr descr="Secondo_files/figure-docx/grafico-eta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Distribuzione Loss Ratio per Fascia d’Età</w:t>
      </w:r>
    </w:p>
    <w:bookmarkEnd w:id="28"/>
    <w:bookmarkStart w:id="32" w:name="analisi-geografica"/>
    <w:p>
      <w:pPr>
        <w:pStyle w:val="Heading1"/>
      </w:pPr>
      <w:r>
        <w:t xml:space="preserve">Analisi Geografica</w:t>
      </w:r>
    </w:p>
    <w:p>
      <w:pPr>
        <w:pStyle w:val="CaptionedFigure"/>
      </w:pPr>
      <w:r>
        <w:drawing>
          <wp:inline>
            <wp:extent cx="5334000" cy="3809999"/>
            <wp:effectExtent b="0" l="0" r="0" t="0"/>
            <wp:docPr descr="Performance per Area Geografica" title="" id="30" name="Picture"/>
            <a:graphic>
              <a:graphicData uri="http://schemas.openxmlformats.org/drawingml/2006/picture">
                <pic:pic>
                  <pic:nvPicPr>
                    <pic:cNvPr descr="Secondo_files/figure-docx/grafico-geografico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Performance per Area Geografica</w:t>
      </w:r>
    </w:p>
    <w:bookmarkEnd w:id="32"/>
    <w:bookmarkStart w:id="33" w:name="confronto-con-trimestre-precedente"/>
    <w:p>
      <w:pPr>
        <w:pStyle w:val="Heading1"/>
      </w:pPr>
      <w:r>
        <w:t xml:space="preserve">Confronto con Trimestre Precedente</w:t>
      </w:r>
    </w:p>
    <w:p>
      <w:pPr>
        <w:pStyle w:val="TableCaption"/>
      </w:pPr>
      <w:r>
        <w:t xml:space="preserve">Confronto Performance Q2 2024 vs Q3 2024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nfronto Performance Q2 2024 vs Q3 2024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Indicatore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 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 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Variazione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 Raccolti (€M)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Sinistri Pagati (€M)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 Ratio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-5.09999999999999pp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Frequenza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+1.3pp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 Medio (€)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-€25</w:t>
            </w:r>
          </w:p>
        </w:tc>
      </w:tr>
    </w:tbl>
    <w:bookmarkEnd w:id="33"/>
    <w:bookmarkStart w:id="34" w:name="proiezioni-trimestre-successivo"/>
    <w:p>
      <w:pPr>
        <w:pStyle w:val="Heading1"/>
      </w:pPr>
      <w:r>
        <w:t xml:space="preserve">Proiezioni Trimestre Successivo</w:t>
      </w:r>
    </w:p>
    <w:p>
      <w:pPr>
        <w:pStyle w:val="FirstParagraph"/>
      </w:pPr>
      <w:r>
        <w:t xml:space="preserve">Basandosi sui trend Q3 2024, si prevede per Q4 2024: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Premi stimati</w:t>
      </w:r>
      <w:r>
        <w:t xml:space="preserve">: €811.161 (-2% vs Q3 2024)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Loss ratio target</w:t>
      </w:r>
      <w:r>
        <w:t xml:space="preserve">: 65% (miglioramento per azioni correttive)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Sinistri stimati</w:t>
      </w:r>
      <w:r>
        <w:t xml:space="preserve">: €527.255</w:t>
      </w:r>
    </w:p>
    <w:p>
      <w:pPr>
        <w:pStyle w:val="BodyText"/>
      </w:pPr>
      <w:r>
        <w:rPr>
          <w:bCs/>
          <w:b/>
        </w:rPr>
        <w:t xml:space="preserve">Raccomandazioni strategiche personalizzate: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Revisione Pricing</w:t>
      </w:r>
      <w:r>
        <w:t xml:space="preserve">: Incremento tariffe selettivo per fasce critiche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Equilibrio Geografico</w:t>
      </w:r>
      <w:r>
        <w:t xml:space="preserve">: Performance bilanciata per aree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Prevenzione</w:t>
      </w:r>
      <w:r>
        <w:t xml:space="preserve">: Programma sicurezza stradale urgente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Monitoraggio</w:t>
      </w:r>
      <w:r>
        <w:t xml:space="preserve">: KPI settimanali per early warning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parametrico generato il 23/06/2025 per Q3 2024</w:t>
      </w:r>
      <w:r>
        <w:br/>
      </w:r>
      <w:r>
        <w:rPr>
          <w:iCs/>
          <w:i/>
        </w:rPr>
        <w:t xml:space="preserve">Parametri: Loss Ratio Target = 65%, Frequenza Target = 10%</w:t>
      </w:r>
      <w:r>
        <w:br/>
      </w:r>
      <w:r>
        <w:rPr>
          <w:iCs/>
          <w:i/>
        </w:rPr>
        <w:t xml:space="preserve">Prossimo aggiornamento: Q4 2024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Trimestrale Portafoglio Polizze Auto</dc:title>
  <dc:creator>Direzione Tecnica Assicurazioni</dc:creator>
  <cp:keywords/>
  <dcterms:created xsi:type="dcterms:W3CDTF">2025-06-23T13:07:39Z</dcterms:created>
  <dcterms:modified xsi:type="dcterms:W3CDTF">2025-06-23T13:07:39Z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giugno 2025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Q3 2024 - Analisi Performance e Sinistralità</vt:lpwstr>
  </property>
</Properties>
</file>