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A0" w:rsidRDefault="00ED419E" w:rsidP="00ED419E">
      <w:pPr>
        <w:jc w:val="center"/>
        <w:rPr>
          <w:lang w:val="es-AR"/>
        </w:rPr>
      </w:pPr>
      <w:r>
        <w:rPr>
          <w:lang w:val="es-AR"/>
        </w:rPr>
        <w:t xml:space="preserve">TP4 – </w:t>
      </w:r>
      <w:proofErr w:type="spellStart"/>
      <w:r>
        <w:rPr>
          <w:lang w:val="es-AR"/>
        </w:rPr>
        <w:t>Quicksort</w:t>
      </w:r>
      <w:proofErr w:type="spellEnd"/>
      <w:r>
        <w:rPr>
          <w:lang w:val="es-AR"/>
        </w:rPr>
        <w:t xml:space="preserve"> &amp; </w:t>
      </w:r>
      <w:proofErr w:type="spellStart"/>
      <w:r>
        <w:rPr>
          <w:lang w:val="es-AR"/>
        </w:rPr>
        <w:t>Mergesort</w:t>
      </w:r>
      <w:proofErr w:type="spellEnd"/>
    </w:p>
    <w:p w:rsidR="00ED419E" w:rsidRDefault="00ED419E" w:rsidP="00ED419E">
      <w:pPr>
        <w:rPr>
          <w:lang w:val="es-AR"/>
        </w:rPr>
      </w:pPr>
    </w:p>
    <w:p w:rsidR="00ED419E" w:rsidRPr="00ED419E" w:rsidRDefault="00ED419E" w:rsidP="00ED419E">
      <w:pPr>
        <w:rPr>
          <w:lang w:val="es-AR"/>
        </w:rPr>
      </w:pPr>
      <w:r>
        <w:rPr>
          <w:lang w:val="es-AR"/>
        </w:rPr>
        <w:t>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730"/>
        <w:gridCol w:w="724"/>
        <w:gridCol w:w="729"/>
        <w:gridCol w:w="729"/>
        <w:gridCol w:w="724"/>
        <w:gridCol w:w="736"/>
        <w:gridCol w:w="652"/>
        <w:gridCol w:w="675"/>
        <w:gridCol w:w="679"/>
        <w:gridCol w:w="679"/>
        <w:gridCol w:w="679"/>
        <w:gridCol w:w="704"/>
        <w:gridCol w:w="679"/>
        <w:gridCol w:w="679"/>
        <w:gridCol w:w="654"/>
      </w:tblGrid>
      <w:tr w:rsidR="00ED419E" w:rsidRPr="00ED419E" w:rsidTr="00ED419E">
        <w:trPr>
          <w:trHeight w:val="30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AR" w:eastAsia="es-AR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QUICKSORT-CUTOFF</w:t>
            </w:r>
          </w:p>
        </w:tc>
      </w:tr>
      <w:tr w:rsidR="005602BC" w:rsidRPr="00ED419E" w:rsidTr="008A0571">
        <w:trPr>
          <w:trHeight w:val="315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86" w:type="pct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TIME 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602BC" w:rsidRPr="00ED419E" w:rsidTr="008A0571">
        <w:trPr>
          <w:trHeight w:val="300"/>
        </w:trPr>
        <w:tc>
          <w:tcPr>
            <w:tcW w:w="3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5602B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</w:t>
            </w:r>
            <w:r w:rsidR="00ED419E" w:rsidRPr="00ED419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</w:t>
            </w:r>
            <w:r w:rsidR="00ED419E" w:rsidRPr="00ED419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|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</w:t>
            </w:r>
            <w:r w:rsidR="00ED419E" w:rsidRPr="00ED419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  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8A0571" w:rsidRPr="00ED419E" w:rsidTr="008A0571">
        <w:trPr>
          <w:trHeight w:val="300"/>
        </w:trPr>
        <w:tc>
          <w:tcPr>
            <w:tcW w:w="38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2E2A10" w:rsidRPr="00ED419E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AR" w:eastAsia="es-AR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2A10" w:rsidRPr="002E2A10" w:rsidRDefault="002E2A10" w:rsidP="002E2A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2A10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</w:tr>
      <w:tr w:rsidR="008A0571" w:rsidRPr="00ED419E" w:rsidTr="008A0571">
        <w:trPr>
          <w:trHeight w:val="30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8A0571" w:rsidRPr="00ED419E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s-AR" w:eastAsia="es-AR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1010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982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1002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982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1018</w:t>
            </w:r>
          </w:p>
        </w:tc>
      </w:tr>
      <w:tr w:rsidR="008A0571" w:rsidRPr="00ED419E" w:rsidTr="008A0571">
        <w:trPr>
          <w:trHeight w:val="300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8A0571" w:rsidRPr="00ED419E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97531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103158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126362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96473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101013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109671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109609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104772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110033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99821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121425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103189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113063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107469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0571" w:rsidRPr="008A0571" w:rsidRDefault="008A0571" w:rsidP="008A057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A0571">
              <w:rPr>
                <w:rFonts w:ascii="Calibri" w:hAnsi="Calibri" w:cs="Calibri"/>
                <w:color w:val="000000"/>
                <w:sz w:val="16"/>
                <w:szCs w:val="16"/>
              </w:rPr>
              <w:t>113054</w:t>
            </w:r>
          </w:p>
        </w:tc>
      </w:tr>
      <w:tr w:rsidR="008A0571" w:rsidRPr="00ED419E" w:rsidTr="008A0571">
        <w:trPr>
          <w:trHeight w:val="315"/>
        </w:trPr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ED419E" w:rsidRPr="00ED419E" w:rsidRDefault="00ED419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419E" w:rsidRPr="00ED419E" w:rsidRDefault="00ED419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D419E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ED419E" w:rsidRPr="00ED419E" w:rsidRDefault="00ED419E" w:rsidP="00ED419E">
      <w:pPr>
        <w:rPr>
          <w:sz w:val="16"/>
          <w:szCs w:val="16"/>
          <w:lang w:val="es-AR"/>
        </w:rPr>
      </w:pPr>
    </w:p>
    <w:p w:rsidR="00B1216F" w:rsidRDefault="00FB6492" w:rsidP="00A42F88">
      <w:pPr>
        <w:jc w:val="both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Quicksort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cutoff</w:t>
      </w:r>
      <w:proofErr w:type="spellEnd"/>
      <w:r>
        <w:rPr>
          <w:lang w:val="es-AR"/>
        </w:rPr>
        <w:t xml:space="preserve"> funciona de la siguiente manera. Ordena como un </w:t>
      </w:r>
      <w:proofErr w:type="spellStart"/>
      <w:r>
        <w:rPr>
          <w:lang w:val="es-AR"/>
        </w:rPr>
        <w:t>quicksort</w:t>
      </w:r>
      <w:proofErr w:type="spellEnd"/>
      <w:r>
        <w:rPr>
          <w:lang w:val="es-AR"/>
        </w:rPr>
        <w:t xml:space="preserve">, es decir, toma un elemento de la lista a ordenar como pivote, en este caso, el </w:t>
      </w:r>
      <w:proofErr w:type="spellStart"/>
      <w:proofErr w:type="gramStart"/>
      <w:r>
        <w:rPr>
          <w:lang w:val="es-AR"/>
        </w:rPr>
        <w:t>ultimo</w:t>
      </w:r>
      <w:proofErr w:type="spellEnd"/>
      <w:proofErr w:type="gramEnd"/>
      <w:r>
        <w:rPr>
          <w:lang w:val="es-AR"/>
        </w:rPr>
        <w:t xml:space="preserve"> elemento de la lista, y va comparando los demás elementos con ese pivote. Manda de un lado del pivote los que son mayores a él y del otro lado los que son menores, hasta el momento en que el pivote es menor o igual al primer elemento de la lista. Sin embargo, el </w:t>
      </w:r>
      <w:proofErr w:type="spellStart"/>
      <w:r>
        <w:rPr>
          <w:lang w:val="es-AR"/>
        </w:rPr>
        <w:t>cutoff</w:t>
      </w:r>
      <w:proofErr w:type="spellEnd"/>
      <w:r>
        <w:rPr>
          <w:lang w:val="es-AR"/>
        </w:rPr>
        <w:t xml:space="preserve"> se diferencia porque </w:t>
      </w:r>
      <w:r w:rsidR="00B1216F">
        <w:rPr>
          <w:lang w:val="es-AR"/>
        </w:rPr>
        <w:t xml:space="preserve">corta antes el ordenamiento por </w:t>
      </w:r>
      <w:proofErr w:type="spellStart"/>
      <w:r w:rsidR="00B1216F">
        <w:rPr>
          <w:lang w:val="es-AR"/>
        </w:rPr>
        <w:t>quicksort</w:t>
      </w:r>
      <w:proofErr w:type="spellEnd"/>
      <w:r w:rsidR="00B1216F">
        <w:rPr>
          <w:lang w:val="es-AR"/>
        </w:rPr>
        <w:t xml:space="preserve">, y a partir de ese momento ordena lo que queda de la lista utilizando un </w:t>
      </w:r>
      <w:proofErr w:type="spellStart"/>
      <w:r w:rsidR="00B1216F">
        <w:rPr>
          <w:lang w:val="es-AR"/>
        </w:rPr>
        <w:t>insertion</w:t>
      </w:r>
      <w:proofErr w:type="spellEnd"/>
      <w:r w:rsidR="00B1216F">
        <w:rPr>
          <w:lang w:val="es-AR"/>
        </w:rPr>
        <w:t xml:space="preserve"> </w:t>
      </w:r>
      <w:proofErr w:type="spellStart"/>
      <w:r w:rsidR="00B1216F">
        <w:rPr>
          <w:lang w:val="es-AR"/>
        </w:rPr>
        <w:t>sorter</w:t>
      </w:r>
      <w:proofErr w:type="spellEnd"/>
      <w:r w:rsidR="00B1216F">
        <w:rPr>
          <w:lang w:val="es-AR"/>
        </w:rPr>
        <w:t xml:space="preserve">. Cuanto antes corta con el ordenamiento por </w:t>
      </w:r>
      <w:proofErr w:type="spellStart"/>
      <w:r w:rsidR="00B1216F">
        <w:rPr>
          <w:lang w:val="es-AR"/>
        </w:rPr>
        <w:t>quicksort</w:t>
      </w:r>
      <w:proofErr w:type="spellEnd"/>
      <w:r w:rsidR="00B1216F">
        <w:rPr>
          <w:lang w:val="es-AR"/>
        </w:rPr>
        <w:t xml:space="preserve"> </w:t>
      </w:r>
      <w:proofErr w:type="spellStart"/>
      <w:r w:rsidR="00B1216F">
        <w:rPr>
          <w:lang w:val="es-AR"/>
        </w:rPr>
        <w:t>esta</w:t>
      </w:r>
      <w:proofErr w:type="spellEnd"/>
      <w:r w:rsidR="00B1216F">
        <w:rPr>
          <w:lang w:val="es-AR"/>
        </w:rPr>
        <w:t xml:space="preserve"> dado por el M que utiliza.</w:t>
      </w:r>
      <w:r w:rsidR="00A42F88">
        <w:rPr>
          <w:lang w:val="es-AR"/>
        </w:rPr>
        <w:t xml:space="preserve"> </w:t>
      </w:r>
    </w:p>
    <w:p w:rsidR="00B1216F" w:rsidRDefault="00B1216F" w:rsidP="00ED419E">
      <w:pPr>
        <w:rPr>
          <w:lang w:val="es-AR"/>
        </w:rPr>
      </w:pPr>
    </w:p>
    <w:p w:rsidR="005602BC" w:rsidRDefault="00FB6492" w:rsidP="005602BC">
      <w:pPr>
        <w:jc w:val="both"/>
        <w:rPr>
          <w:lang w:val="es-AR"/>
        </w:rPr>
      </w:pPr>
      <w:r>
        <w:rPr>
          <w:lang w:val="es-AR"/>
        </w:rPr>
        <w:t xml:space="preserve">Para realizar estas mediciones se hicieron cinco pruebas </w:t>
      </w:r>
      <w:r w:rsidR="00B1216F">
        <w:rPr>
          <w:lang w:val="es-AR"/>
        </w:rPr>
        <w:t>para cada M</w:t>
      </w:r>
      <w:r>
        <w:rPr>
          <w:lang w:val="es-AR"/>
        </w:rPr>
        <w:t xml:space="preserve"> distinto, se sumaron los resultados de tiempo que daban cada una de las pruebas, y luego se realizó un promedio. </w:t>
      </w:r>
      <w:proofErr w:type="spellStart"/>
      <w:r>
        <w:rPr>
          <w:lang w:val="es-AR"/>
        </w:rPr>
        <w:t>Estan</w:t>
      </w:r>
      <w:proofErr w:type="spellEnd"/>
      <w:r>
        <w:rPr>
          <w:lang w:val="es-AR"/>
        </w:rPr>
        <w:t xml:space="preserve"> marcados en amarillo </w:t>
      </w:r>
      <w:r w:rsidR="005602BC">
        <w:rPr>
          <w:lang w:val="es-AR"/>
        </w:rPr>
        <w:t>los menores tiempos.</w:t>
      </w:r>
    </w:p>
    <w:p w:rsidR="008A0571" w:rsidRDefault="008A0571" w:rsidP="008A0571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EAEC62E" wp14:editId="01F59613">
            <wp:simplePos x="0" y="0"/>
            <wp:positionH relativeFrom="margin">
              <wp:align>left</wp:align>
            </wp:positionH>
            <wp:positionV relativeFrom="margin">
              <wp:posOffset>4271645</wp:posOffset>
            </wp:positionV>
            <wp:extent cx="3467100" cy="2371725"/>
            <wp:effectExtent l="0" t="0" r="0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2BC">
        <w:rPr>
          <w:lang w:val="es-AR"/>
        </w:rPr>
        <w:t xml:space="preserve">En este grafico se puede ver como hasta M = 17 el tiempo se mantiene </w:t>
      </w:r>
      <w:proofErr w:type="spellStart"/>
      <w:r w:rsidR="005602BC">
        <w:rPr>
          <w:lang w:val="es-AR"/>
        </w:rPr>
        <w:t>mas</w:t>
      </w:r>
      <w:proofErr w:type="spellEnd"/>
      <w:r w:rsidR="005602BC">
        <w:rPr>
          <w:lang w:val="es-AR"/>
        </w:rPr>
        <w:t xml:space="preserve"> o menos constante, para luego crecer bruscamente a partir de ese valor de M.</w:t>
      </w:r>
    </w:p>
    <w:p w:rsidR="005602BC" w:rsidRDefault="005602BC" w:rsidP="008A0571">
      <w:pPr>
        <w:jc w:val="both"/>
        <w:rPr>
          <w:lang w:val="es-AR"/>
        </w:rPr>
      </w:pPr>
    </w:p>
    <w:p w:rsidR="005602BC" w:rsidRDefault="00A42F88" w:rsidP="005602BC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7F163D32" wp14:editId="1336984F">
            <wp:simplePos x="0" y="0"/>
            <wp:positionH relativeFrom="margin">
              <wp:posOffset>78105</wp:posOffset>
            </wp:positionH>
            <wp:positionV relativeFrom="margin">
              <wp:posOffset>6710680</wp:posOffset>
            </wp:positionV>
            <wp:extent cx="3324225" cy="2428875"/>
            <wp:effectExtent l="0" t="0" r="9525" b="9525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4474006" wp14:editId="7C6FEE8F">
            <wp:simplePos x="0" y="0"/>
            <wp:positionH relativeFrom="margin">
              <wp:align>right</wp:align>
            </wp:positionH>
            <wp:positionV relativeFrom="page">
              <wp:posOffset>5562600</wp:posOffset>
            </wp:positionV>
            <wp:extent cx="3648075" cy="2409825"/>
            <wp:effectExtent l="0" t="0" r="9525" b="9525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p w:rsidR="00A42F88" w:rsidRDefault="00A42F88" w:rsidP="005602BC">
      <w:pPr>
        <w:rPr>
          <w:lang w:val="es-AR"/>
        </w:rPr>
      </w:pPr>
    </w:p>
    <w:tbl>
      <w:tblPr>
        <w:tblpPr w:leftFromText="141" w:rightFromText="141" w:vertAnchor="text" w:horzAnchor="page" w:tblpXSpec="center" w:tblpY="373"/>
        <w:tblW w:w="7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1647"/>
        <w:gridCol w:w="1647"/>
        <w:gridCol w:w="2434"/>
      </w:tblGrid>
      <w:tr w:rsidR="001B1CE5" w:rsidTr="001B1CE5">
        <w:trPr>
          <w:trHeight w:val="317"/>
        </w:trPr>
        <w:tc>
          <w:tcPr>
            <w:tcW w:w="763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1B1CE5" w:rsidRDefault="001B1CE5" w:rsidP="001B1C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Quicksort-not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recursive</w:t>
            </w:r>
            <w:proofErr w:type="spellEnd"/>
          </w:p>
        </w:tc>
      </w:tr>
      <w:tr w:rsidR="001B1CE5" w:rsidTr="001B1CE5">
        <w:trPr>
          <w:trHeight w:val="317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</w:p>
        </w:tc>
      </w:tr>
      <w:tr w:rsidR="001B1CE5" w:rsidTr="001B1CE5">
        <w:trPr>
          <w:trHeight w:val="317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1455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53574</w:t>
            </w:r>
          </w:p>
        </w:tc>
      </w:tr>
      <w:tr w:rsidR="001B1CE5" w:rsidTr="001B1CE5">
        <w:trPr>
          <w:trHeight w:val="317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14687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4037293</w:t>
            </w:r>
          </w:p>
        </w:tc>
      </w:tr>
      <w:tr w:rsidR="001B1CE5" w:rsidTr="001B1CE5">
        <w:trPr>
          <w:trHeight w:val="317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106706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146643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438229894</w:t>
            </w:r>
          </w:p>
        </w:tc>
      </w:tr>
      <w:tr w:rsidR="001B1CE5" w:rsidTr="001B1CE5">
        <w:trPr>
          <w:trHeight w:val="332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1B1CE5" w:rsidRDefault="005602BC" w:rsidP="001B1CE5">
      <w:pPr>
        <w:ind w:left="567" w:hanging="425"/>
        <w:rPr>
          <w:noProof/>
          <w:lang w:val="es-AR" w:eastAsia="es-AR"/>
        </w:rPr>
      </w:pPr>
      <w:r>
        <w:rPr>
          <w:lang w:val="es-AR"/>
        </w:rPr>
        <w:lastRenderedPageBreak/>
        <w:t>2)</w:t>
      </w:r>
      <w:r w:rsidR="00BA17FF" w:rsidRPr="00BA17FF">
        <w:rPr>
          <w:noProof/>
          <w:lang w:val="es-AR" w:eastAsia="es-AR"/>
        </w:rPr>
        <w:t xml:space="preserve"> </w:t>
      </w:r>
      <w:r w:rsidR="001B1CE5">
        <w:rPr>
          <w:noProof/>
          <w:lang w:val="es-AR" w:eastAsia="es-AR"/>
        </w:rPr>
        <w:t xml:space="preserve">     </w:t>
      </w:r>
    </w:p>
    <w:p w:rsidR="005602BC" w:rsidRDefault="005602BC" w:rsidP="001B1CE5">
      <w:pPr>
        <w:ind w:left="567" w:hanging="425"/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</w:p>
    <w:tbl>
      <w:tblPr>
        <w:tblpPr w:leftFromText="141" w:rightFromText="141" w:vertAnchor="text" w:horzAnchor="margin" w:tblpXSpec="center" w:tblpY="109"/>
        <w:tblW w:w="5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161"/>
        <w:gridCol w:w="1161"/>
        <w:gridCol w:w="1714"/>
      </w:tblGrid>
      <w:tr w:rsidR="001B1CE5" w:rsidTr="001B1CE5">
        <w:trPr>
          <w:trHeight w:val="300"/>
        </w:trPr>
        <w:tc>
          <w:tcPr>
            <w:tcW w:w="538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1B1CE5" w:rsidRDefault="001B1CE5" w:rsidP="001B1C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Quicksort</w:t>
            </w:r>
            <w:proofErr w:type="spellEnd"/>
          </w:p>
        </w:tc>
      </w:tr>
      <w:tr w:rsidR="001B1CE5" w:rsidTr="001B1CE5">
        <w:trPr>
          <w:trHeight w:val="300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</w:p>
        </w:tc>
      </w:tr>
      <w:tr w:rsidR="001B1CE5" w:rsidTr="001B1CE5">
        <w:trPr>
          <w:trHeight w:val="300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1468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52458</w:t>
            </w:r>
          </w:p>
        </w:tc>
      </w:tr>
      <w:tr w:rsidR="001B1CE5" w:rsidTr="001B1CE5">
        <w:trPr>
          <w:trHeight w:val="300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14633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4342024</w:t>
            </w:r>
          </w:p>
        </w:tc>
      </w:tr>
      <w:tr w:rsidR="00AE5062" w:rsidTr="001B1CE5">
        <w:trPr>
          <w:trHeight w:val="300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62" w:rsidRDefault="00AE5062" w:rsidP="00AE50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62" w:rsidRDefault="00AE5062" w:rsidP="00AE50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107059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062" w:rsidRDefault="00AE5062" w:rsidP="00AE50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145835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062" w:rsidRDefault="00AE5062" w:rsidP="00AE50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433920759</w:t>
            </w:r>
          </w:p>
        </w:tc>
      </w:tr>
      <w:tr w:rsidR="001B1CE5" w:rsidTr="001B1CE5">
        <w:trPr>
          <w:trHeight w:val="315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1B1CE5" w:rsidRDefault="001B1CE5" w:rsidP="005602BC">
      <w:pPr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</w:p>
    <w:p w:rsidR="001B1CE5" w:rsidRDefault="001B1CE5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tbl>
      <w:tblPr>
        <w:tblpPr w:leftFromText="141" w:rightFromText="141" w:vertAnchor="text" w:horzAnchor="margin" w:tblpY="38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811"/>
        <w:gridCol w:w="1718"/>
        <w:gridCol w:w="1682"/>
        <w:gridCol w:w="1216"/>
        <w:gridCol w:w="1836"/>
        <w:gridCol w:w="1800"/>
        <w:gridCol w:w="1336"/>
      </w:tblGrid>
      <w:tr w:rsidR="001B1CE5" w:rsidTr="001B1CE5">
        <w:trPr>
          <w:trHeight w:val="300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1B1CE5" w:rsidRDefault="001B1CE5" w:rsidP="001B1C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Quicksort-CutOff</w:t>
            </w:r>
            <w:proofErr w:type="spellEnd"/>
          </w:p>
        </w:tc>
      </w:tr>
      <w:tr w:rsidR="001B1CE5" w:rsidTr="001B1CE5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quicksort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insertion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swaps(sum)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quicksort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insertion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(sum)</w:t>
            </w:r>
          </w:p>
        </w:tc>
      </w:tr>
      <w:tr w:rsidR="001B1CE5" w:rsidTr="001B1CE5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1166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1323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48068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49224</w:t>
            </w:r>
          </w:p>
        </w:tc>
      </w:tr>
      <w:tr w:rsidR="001B1CE5" w:rsidTr="001B1CE5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12800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13016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4148552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10215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4158767</w:t>
            </w:r>
          </w:p>
        </w:tc>
      </w:tr>
      <w:tr w:rsidR="001B1CE5" w:rsidTr="001B1CE5">
        <w:trPr>
          <w:trHeight w:val="300"/>
        </w:trPr>
        <w:tc>
          <w:tcPr>
            <w:tcW w:w="4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116524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137751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137937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469434769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100185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469534954</w:t>
            </w:r>
          </w:p>
        </w:tc>
      </w:tr>
      <w:tr w:rsidR="001B1CE5" w:rsidTr="001B1CE5">
        <w:trPr>
          <w:trHeight w:val="315"/>
        </w:trPr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 w:rsidP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961"/>
        <w:gridCol w:w="1530"/>
        <w:gridCol w:w="1497"/>
      </w:tblGrid>
      <w:tr w:rsidR="001B1CE5" w:rsidTr="001B1CE5">
        <w:trPr>
          <w:trHeight w:val="300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1B1CE5" w:rsidRDefault="001B1C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Quicksort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three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partitioning</w:t>
            </w:r>
            <w:proofErr w:type="spellEnd"/>
          </w:p>
        </w:tc>
      </w:tr>
      <w:tr w:rsidR="001B1CE5" w:rsidTr="001B1CE5">
        <w:trPr>
          <w:trHeight w:val="300"/>
          <w:jc w:val="center"/>
        </w:trPr>
        <w:tc>
          <w:tcPr>
            <w:tcW w:w="17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</w:p>
        </w:tc>
      </w:tr>
      <w:tr w:rsidR="001B1CE5" w:rsidTr="001B1CE5">
        <w:trPr>
          <w:trHeight w:val="300"/>
          <w:jc w:val="center"/>
        </w:trPr>
        <w:tc>
          <w:tcPr>
            <w:tcW w:w="17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B1CE5" w:rsidTr="001B1CE5">
        <w:trPr>
          <w:trHeight w:val="300"/>
          <w:jc w:val="center"/>
        </w:trPr>
        <w:tc>
          <w:tcPr>
            <w:tcW w:w="17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25858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B1CE5" w:rsidTr="001B1CE5">
        <w:trPr>
          <w:trHeight w:val="300"/>
          <w:jc w:val="center"/>
        </w:trPr>
        <w:tc>
          <w:tcPr>
            <w:tcW w:w="17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250184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B1CE5" w:rsidTr="001B1CE5">
        <w:trPr>
          <w:trHeight w:val="315"/>
          <w:jc w:val="center"/>
        </w:trPr>
        <w:tc>
          <w:tcPr>
            <w:tcW w:w="17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CE5" w:rsidRDefault="001B1C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A17FF" w:rsidRDefault="00BA17FF" w:rsidP="005602BC">
      <w:pPr>
        <w:rPr>
          <w:noProof/>
          <w:lang w:val="es-AR" w:eastAsia="es-AR"/>
        </w:rPr>
      </w:pPr>
    </w:p>
    <w:p w:rsidR="00BA17FF" w:rsidRDefault="00DE61A3" w:rsidP="005602BC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8074A3E" wp14:editId="74890C21">
            <wp:extent cx="7067550" cy="3267075"/>
            <wp:effectExtent l="0" t="0" r="0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1B1CE5" w:rsidRDefault="001B1CE5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</w:p>
    <w:p w:rsidR="00BA17FF" w:rsidRDefault="00BA17FF" w:rsidP="005602BC">
      <w:pPr>
        <w:rPr>
          <w:noProof/>
          <w:lang w:val="es-AR" w:eastAsia="es-AR"/>
        </w:rPr>
      </w:pPr>
      <w:r>
        <w:rPr>
          <w:noProof/>
          <w:lang w:val="es-AR" w:eastAsia="es-AR"/>
        </w:rPr>
        <w:tab/>
        <w:t xml:space="preserve">En el grafico se puede ver la comparacion del tiempo que tardan en ordenar los diferentes tipos de quicksort. </w:t>
      </w:r>
    </w:p>
    <w:p w:rsidR="00AE5062" w:rsidRDefault="00BA17FF" w:rsidP="001B1CE5">
      <w:pPr>
        <w:tabs>
          <w:tab w:val="left" w:pos="709"/>
        </w:tabs>
        <w:ind w:left="709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>Podemos observar que el metodo por three way partitioning es muchisimas veces mas rapido que los otros    metodos.</w:t>
      </w:r>
      <w:r w:rsidR="001B1CE5">
        <w:rPr>
          <w:noProof/>
          <w:lang w:val="es-AR" w:eastAsia="es-AR"/>
        </w:rPr>
        <w:t xml:space="preserve"> No se observa en el grafico por la magnitud de la escala, pero si comparamos el tiempo que tarda </w:t>
      </w:r>
      <w:r w:rsidR="00AE5062">
        <w:rPr>
          <w:noProof/>
          <w:lang w:val="es-AR" w:eastAsia="es-AR"/>
        </w:rPr>
        <w:t xml:space="preserve">en ordenar 100000 numeros, por Quicksort </w:t>
      </w:r>
      <w:r w:rsidR="00AE5062" w:rsidRPr="00AE5062">
        <w:rPr>
          <w:noProof/>
          <w:lang w:val="es-AR" w:eastAsia="es-AR"/>
        </w:rPr>
        <w:t xml:space="preserve">normal tarda </w:t>
      </w:r>
      <w:r w:rsidR="00AE5062" w:rsidRPr="00AE5062">
        <w:rPr>
          <w:color w:val="000000"/>
        </w:rPr>
        <w:t>107059</w:t>
      </w:r>
      <w:r w:rsidR="00AE5062">
        <w:rPr>
          <w:color w:val="000000"/>
          <w:sz w:val="22"/>
          <w:szCs w:val="22"/>
        </w:rPr>
        <w:t xml:space="preserve"> milisegundos, mientras que por</w:t>
      </w:r>
      <w:r w:rsidR="00AE5062" w:rsidRPr="00AE5062">
        <w:rPr>
          <w:noProof/>
          <w:lang w:val="es-AR" w:eastAsia="es-AR"/>
        </w:rPr>
        <w:t xml:space="preserve"> three way partitioning</w:t>
      </w:r>
      <w:r w:rsidR="00AE5062">
        <w:rPr>
          <w:noProof/>
          <w:lang w:val="es-AR" w:eastAsia="es-AR"/>
        </w:rPr>
        <w:t xml:space="preserve"> tarda en promedio 151 milisegundos, es decir 700 veces menos, aproximadamente.</w:t>
      </w:r>
      <w:r w:rsidR="001B1CE5">
        <w:rPr>
          <w:noProof/>
          <w:lang w:val="es-AR" w:eastAsia="es-AR"/>
        </w:rPr>
        <w:t xml:space="preserve"> </w:t>
      </w:r>
    </w:p>
    <w:p w:rsidR="00AE5062" w:rsidRDefault="00AE5062" w:rsidP="001B1CE5">
      <w:pPr>
        <w:tabs>
          <w:tab w:val="left" w:pos="709"/>
        </w:tabs>
        <w:ind w:left="709"/>
        <w:jc w:val="both"/>
        <w:rPr>
          <w:noProof/>
          <w:lang w:val="es-AR" w:eastAsia="es-AR"/>
        </w:rPr>
      </w:pPr>
    </w:p>
    <w:p w:rsidR="00BA17FF" w:rsidRDefault="00DE61A3" w:rsidP="001B1CE5">
      <w:pPr>
        <w:tabs>
          <w:tab w:val="left" w:pos="709"/>
        </w:tabs>
        <w:ind w:left="709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>3)</w:t>
      </w:r>
      <w:r w:rsidR="00BA17FF">
        <w:rPr>
          <w:noProof/>
          <w:lang w:val="es-AR" w:eastAsia="es-AR"/>
        </w:rPr>
        <w:t xml:space="preserve">  </w:t>
      </w:r>
      <w:r w:rsidR="008B1D7F">
        <w:rPr>
          <w:noProof/>
          <w:lang w:val="es-AR" w:eastAsia="es-AR"/>
        </w:rPr>
        <w:t>Mergesort- BottomUp-TopDown</w:t>
      </w:r>
    </w:p>
    <w:p w:rsidR="008B1D7F" w:rsidRDefault="008B1D7F" w:rsidP="001B1CE5">
      <w:pPr>
        <w:tabs>
          <w:tab w:val="left" w:pos="709"/>
        </w:tabs>
        <w:ind w:left="709"/>
        <w:jc w:val="both"/>
        <w:rPr>
          <w:noProof/>
          <w:lang w:val="es-AR" w:eastAsia="es-AR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967"/>
        <w:gridCol w:w="1506"/>
        <w:gridCol w:w="1278"/>
      </w:tblGrid>
      <w:tr w:rsidR="00E345A8" w:rsidTr="00E345A8">
        <w:trPr>
          <w:trHeight w:val="300"/>
          <w:jc w:val="center"/>
        </w:trPr>
        <w:tc>
          <w:tcPr>
            <w:tcW w:w="48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E345A8" w:rsidRDefault="00E345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MergeSort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BottomUp</w:t>
            </w:r>
            <w:proofErr w:type="spellEnd"/>
          </w:p>
        </w:tc>
      </w:tr>
      <w:tr w:rsidR="00E345A8" w:rsidTr="00E345A8">
        <w:trPr>
          <w:trHeight w:val="300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</w:t>
            </w:r>
          </w:p>
        </w:tc>
      </w:tr>
      <w:tr w:rsidR="00E345A8" w:rsidTr="00E345A8">
        <w:trPr>
          <w:trHeight w:val="300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rPr>
          <w:trHeight w:val="300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rPr>
          <w:trHeight w:val="300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rPr>
          <w:trHeight w:val="300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rPr>
          <w:trHeight w:val="315"/>
          <w:jc w:val="center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63160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48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:rsidR="00E345A8" w:rsidRDefault="00E345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MergeSort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TopDown</w:t>
            </w:r>
            <w:proofErr w:type="spellEnd"/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greater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swaps</w:t>
            </w:r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blPrEx>
          <w:jc w:val="left"/>
        </w:tblPrEx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28404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E345A8" w:rsidTr="00E345A8">
        <w:tblPrEx>
          <w:jc w:val="left"/>
        </w:tblPrEx>
        <w:trPr>
          <w:trHeight w:val="315"/>
        </w:trPr>
        <w:tc>
          <w:tcPr>
            <w:tcW w:w="10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61808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45A8" w:rsidRDefault="00E345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6A53965A" wp14:editId="23BBDBA8">
            <wp:simplePos x="0" y="0"/>
            <wp:positionH relativeFrom="margin">
              <wp:posOffset>428625</wp:posOffset>
            </wp:positionH>
            <wp:positionV relativeFrom="margin">
              <wp:posOffset>4676775</wp:posOffset>
            </wp:positionV>
            <wp:extent cx="6048375" cy="2771775"/>
            <wp:effectExtent l="0" t="0" r="9525" b="9525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  <w:r>
        <w:rPr>
          <w:lang w:val="es-AR"/>
        </w:rPr>
        <w:t xml:space="preserve">En el grafico se puede observar que el método </w:t>
      </w:r>
      <w:proofErr w:type="spellStart"/>
      <w:r>
        <w:rPr>
          <w:lang w:val="es-AR"/>
        </w:rPr>
        <w:t>BottomUp</w:t>
      </w:r>
      <w:proofErr w:type="spellEnd"/>
      <w:r>
        <w:rPr>
          <w:lang w:val="es-AR"/>
        </w:rPr>
        <w:t xml:space="preserve"> es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rápido, pero esta tendencia va cambiando a medida que N va creciendo. Por otro lado, vemos que el método Top Down es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lento en un principio, para luego, a medida que N crece, volverse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rápido que el método </w:t>
      </w:r>
      <w:proofErr w:type="spellStart"/>
      <w:r>
        <w:rPr>
          <w:lang w:val="es-AR"/>
        </w:rPr>
        <w:t>BottomUp</w:t>
      </w:r>
      <w:proofErr w:type="spellEnd"/>
      <w:r>
        <w:rPr>
          <w:lang w:val="es-AR"/>
        </w:rPr>
        <w:t xml:space="preserve"> para N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grande.</w:t>
      </w: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410D5A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</w:p>
    <w:p w:rsidR="008B1D7F" w:rsidRPr="00ED419E" w:rsidRDefault="00410D5A" w:rsidP="001B1CE5">
      <w:pPr>
        <w:tabs>
          <w:tab w:val="left" w:pos="709"/>
        </w:tabs>
        <w:ind w:left="709"/>
        <w:jc w:val="both"/>
        <w:rPr>
          <w:lang w:val="es-AR"/>
        </w:rPr>
      </w:pPr>
      <w:r>
        <w:rPr>
          <w:lang w:val="es-AR"/>
        </w:rPr>
        <w:t>En el grafico se puede observar que la cantidad de comparaciones que realizan los dos métodos es aproximadamente la misma.</w:t>
      </w:r>
      <w:bookmarkStart w:id="0" w:name="_GoBack"/>
      <w:bookmarkEnd w:id="0"/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3116FEED" wp14:editId="5A3EA2A9">
            <wp:simplePos x="0" y="0"/>
            <wp:positionH relativeFrom="margin">
              <wp:posOffset>1323975</wp:posOffset>
            </wp:positionH>
            <wp:positionV relativeFrom="margin">
              <wp:align>top</wp:align>
            </wp:positionV>
            <wp:extent cx="4572000" cy="2743200"/>
            <wp:effectExtent l="0" t="0" r="0" b="0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8B1D7F" w:rsidRPr="00ED419E" w:rsidSect="00A42F88">
      <w:pgSz w:w="12240" w:h="15840"/>
      <w:pgMar w:top="709" w:right="333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9E"/>
    <w:rsid w:val="000F6A17"/>
    <w:rsid w:val="001B1CE5"/>
    <w:rsid w:val="002E2A10"/>
    <w:rsid w:val="00410D5A"/>
    <w:rsid w:val="005602BC"/>
    <w:rsid w:val="00580428"/>
    <w:rsid w:val="007C39D3"/>
    <w:rsid w:val="008A0571"/>
    <w:rsid w:val="008B1D7F"/>
    <w:rsid w:val="00A42F88"/>
    <w:rsid w:val="00A978A7"/>
    <w:rsid w:val="00AE5062"/>
    <w:rsid w:val="00AF3CA0"/>
    <w:rsid w:val="00B1216F"/>
    <w:rsid w:val="00BA17FF"/>
    <w:rsid w:val="00C96F7B"/>
    <w:rsid w:val="00DE61A3"/>
    <w:rsid w:val="00E345A8"/>
    <w:rsid w:val="00ED419E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5CBDD6-5B07-4B4F-B06C-773E0458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Propietario\Documents\Sorting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N = 1000 -tiempo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Quic_Cut!$B$3:$P$3</c:f>
              <c:numCache>
                <c:formatCode>@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17</c:v>
                </c:pt>
                <c:pt idx="12">
                  <c:v>20</c:v>
                </c:pt>
                <c:pt idx="13">
                  <c:v>23</c:v>
                </c:pt>
                <c:pt idx="14">
                  <c:v>25</c:v>
                </c:pt>
              </c:numCache>
            </c:numRef>
          </c:cat>
          <c:val>
            <c:numRef>
              <c:f>Quic_Cut!$B$4:$P$4</c:f>
              <c:numCache>
                <c:formatCode>General</c:formatCode>
                <c:ptCount val="15"/>
                <c:pt idx="0">
                  <c:v>34</c:v>
                </c:pt>
                <c:pt idx="1">
                  <c:v>34</c:v>
                </c:pt>
                <c:pt idx="2">
                  <c:v>34</c:v>
                </c:pt>
                <c:pt idx="3">
                  <c:v>35</c:v>
                </c:pt>
                <c:pt idx="4">
                  <c:v>36</c:v>
                </c:pt>
                <c:pt idx="5">
                  <c:v>35</c:v>
                </c:pt>
                <c:pt idx="6">
                  <c:v>34</c:v>
                </c:pt>
                <c:pt idx="7">
                  <c:v>37</c:v>
                </c:pt>
                <c:pt idx="8">
                  <c:v>34</c:v>
                </c:pt>
                <c:pt idx="9">
                  <c:v>33</c:v>
                </c:pt>
                <c:pt idx="10">
                  <c:v>34</c:v>
                </c:pt>
                <c:pt idx="11">
                  <c:v>34</c:v>
                </c:pt>
                <c:pt idx="12">
                  <c:v>33</c:v>
                </c:pt>
                <c:pt idx="13">
                  <c:v>35</c:v>
                </c:pt>
                <c:pt idx="14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807088"/>
        <c:axId val="304805912"/>
      </c:lineChart>
      <c:catAx>
        <c:axId val="304807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04805912"/>
        <c:crosses val="autoZero"/>
        <c:auto val="1"/>
        <c:lblAlgn val="ctr"/>
        <c:lblOffset val="100"/>
        <c:noMultiLvlLbl val="0"/>
      </c:catAx>
      <c:valAx>
        <c:axId val="30480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0480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N = 100000 -tiempo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Quic_Cut!$B$3:$P$3</c:f>
              <c:numCache>
                <c:formatCode>@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17</c:v>
                </c:pt>
                <c:pt idx="12">
                  <c:v>20</c:v>
                </c:pt>
                <c:pt idx="13">
                  <c:v>23</c:v>
                </c:pt>
                <c:pt idx="14">
                  <c:v>25</c:v>
                </c:pt>
              </c:numCache>
            </c:numRef>
          </c:cat>
          <c:val>
            <c:numRef>
              <c:f>Quic_Cut!$B$6:$P$6</c:f>
              <c:numCache>
                <c:formatCode>General</c:formatCode>
                <c:ptCount val="15"/>
                <c:pt idx="0">
                  <c:v>97531</c:v>
                </c:pt>
                <c:pt idx="1">
                  <c:v>103158</c:v>
                </c:pt>
                <c:pt idx="2">
                  <c:v>126362</c:v>
                </c:pt>
                <c:pt idx="3">
                  <c:v>96473</c:v>
                </c:pt>
                <c:pt idx="4">
                  <c:v>101013</c:v>
                </c:pt>
                <c:pt idx="5">
                  <c:v>109671</c:v>
                </c:pt>
                <c:pt idx="6">
                  <c:v>109609</c:v>
                </c:pt>
                <c:pt idx="7">
                  <c:v>104772</c:v>
                </c:pt>
                <c:pt idx="8">
                  <c:v>110033</c:v>
                </c:pt>
                <c:pt idx="9">
                  <c:v>99821</c:v>
                </c:pt>
                <c:pt idx="10">
                  <c:v>121425</c:v>
                </c:pt>
                <c:pt idx="11">
                  <c:v>103189</c:v>
                </c:pt>
                <c:pt idx="12">
                  <c:v>113063</c:v>
                </c:pt>
                <c:pt idx="13">
                  <c:v>107469</c:v>
                </c:pt>
                <c:pt idx="14">
                  <c:v>113054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560528"/>
        <c:axId val="316560920"/>
      </c:lineChart>
      <c:catAx>
        <c:axId val="31656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560920"/>
        <c:crosses val="autoZero"/>
        <c:auto val="1"/>
        <c:lblAlgn val="ctr"/>
        <c:lblOffset val="100"/>
        <c:noMultiLvlLbl val="0"/>
      </c:catAx>
      <c:valAx>
        <c:axId val="31656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56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N = 10000 -tiempo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Quic_Cut!$B$3:$P$3</c:f>
              <c:numCache>
                <c:formatCode>@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17</c:v>
                </c:pt>
                <c:pt idx="12">
                  <c:v>20</c:v>
                </c:pt>
                <c:pt idx="13">
                  <c:v>23</c:v>
                </c:pt>
                <c:pt idx="14">
                  <c:v>25</c:v>
                </c:pt>
              </c:numCache>
            </c:numRef>
          </c:cat>
          <c:val>
            <c:numRef>
              <c:f>Quic_Cut!$B$5:$P$5</c:f>
              <c:numCache>
                <c:formatCode>General</c:formatCode>
                <c:ptCount val="15"/>
                <c:pt idx="0">
                  <c:v>1016</c:v>
                </c:pt>
                <c:pt idx="1">
                  <c:v>1042</c:v>
                </c:pt>
                <c:pt idx="2">
                  <c:v>967</c:v>
                </c:pt>
                <c:pt idx="3">
                  <c:v>1017</c:v>
                </c:pt>
                <c:pt idx="4">
                  <c:v>959</c:v>
                </c:pt>
                <c:pt idx="5">
                  <c:v>1010</c:v>
                </c:pt>
                <c:pt idx="6">
                  <c:v>982</c:v>
                </c:pt>
                <c:pt idx="7">
                  <c:v>1024</c:v>
                </c:pt>
                <c:pt idx="8">
                  <c:v>1000</c:v>
                </c:pt>
                <c:pt idx="9">
                  <c:v>1001</c:v>
                </c:pt>
                <c:pt idx="10">
                  <c:v>1002</c:v>
                </c:pt>
                <c:pt idx="11">
                  <c:v>998</c:v>
                </c:pt>
                <c:pt idx="12">
                  <c:v>982</c:v>
                </c:pt>
                <c:pt idx="13">
                  <c:v>981</c:v>
                </c:pt>
                <c:pt idx="14">
                  <c:v>1018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561704"/>
        <c:axId val="316695208"/>
      </c:lineChart>
      <c:catAx>
        <c:axId val="316561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695208"/>
        <c:crosses val="autoZero"/>
        <c:auto val="1"/>
        <c:lblAlgn val="ctr"/>
        <c:lblOffset val="100"/>
        <c:noMultiLvlLbl val="0"/>
      </c:catAx>
      <c:valAx>
        <c:axId val="316695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561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'Quicksorters Analysis'!$A$1</c:f>
              <c:strCache>
                <c:ptCount val="1"/>
                <c:pt idx="0">
                  <c:v>Quicksort-not 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'Quicksorters Analysis'!$A$17:$A$19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'Quicksorters Analysis'!$B$3:$B$5</c:f>
              <c:numCache>
                <c:formatCode>General</c:formatCode>
                <c:ptCount val="3"/>
                <c:pt idx="0">
                  <c:v>35</c:v>
                </c:pt>
                <c:pt idx="1">
                  <c:v>954</c:v>
                </c:pt>
                <c:pt idx="2">
                  <c:v>106706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'Quicksorters Analysis'!$F$1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'Quicksorters Analysis'!$A$17:$A$19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'Quicksorters Analysis'!$G$3:$G$5</c:f>
              <c:numCache>
                <c:formatCode>General</c:formatCode>
                <c:ptCount val="3"/>
                <c:pt idx="0">
                  <c:v>36</c:v>
                </c:pt>
                <c:pt idx="1">
                  <c:v>975</c:v>
                </c:pt>
                <c:pt idx="2">
                  <c:v>107059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'Quicksorters Analysis'!$A$8</c:f>
              <c:strCache>
                <c:ptCount val="1"/>
                <c:pt idx="0">
                  <c:v>Quicksort-CutOff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'Quicksorters Analysis'!$A$17:$A$19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'Quicksorters Analysis'!$B$10:$B$12</c:f>
              <c:numCache>
                <c:formatCode>General</c:formatCode>
                <c:ptCount val="3"/>
                <c:pt idx="0">
                  <c:v>32</c:v>
                </c:pt>
                <c:pt idx="1">
                  <c:v>964</c:v>
                </c:pt>
                <c:pt idx="2">
                  <c:v>116524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'Quicksorters Analysis'!$A$15</c:f>
              <c:strCache>
                <c:ptCount val="1"/>
                <c:pt idx="0">
                  <c:v>Quicksort- three way partitioning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'Quicksorters Analysis'!$A$17:$A$19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'Quicksorters Analysis'!$B$17:$B$19</c:f>
              <c:numCache>
                <c:formatCode>General</c:formatCode>
                <c:ptCount val="3"/>
                <c:pt idx="0">
                  <c:v>19</c:v>
                </c:pt>
                <c:pt idx="1">
                  <c:v>31</c:v>
                </c:pt>
                <c:pt idx="2">
                  <c:v>115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'Quicksorters Analysis'!$A$22</c:f>
              <c:strCache>
                <c:ptCount val="1"/>
                <c:pt idx="0">
                  <c:v>Quicksort-Median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'Quicksorters Analysis'!$A$17:$A$19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'Quicksorters Analysis'!$B$24:$B$26</c:f>
              <c:numCache>
                <c:formatCode>General</c:formatCode>
                <c:ptCount val="3"/>
                <c:pt idx="0">
                  <c:v>34</c:v>
                </c:pt>
                <c:pt idx="1">
                  <c:v>602</c:v>
                </c:pt>
                <c:pt idx="2">
                  <c:v>64810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6695992"/>
        <c:axId val="316696384"/>
      </c:lineChart>
      <c:catAx>
        <c:axId val="316695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696384"/>
        <c:crosses val="autoZero"/>
        <c:auto val="1"/>
        <c:lblAlgn val="ctr"/>
        <c:lblOffset val="100"/>
        <c:tickLblSkip val="1"/>
        <c:noMultiLvlLbl val="0"/>
      </c:catAx>
      <c:valAx>
        <c:axId val="31669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16695992"/>
        <c:crosses val="autoZero"/>
        <c:crossBetween val="between"/>
        <c:majorUnit val="1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'MergeSorters Analysis'!$A$1:$E$1</c:f>
              <c:strCache>
                <c:ptCount val="1"/>
                <c:pt idx="0">
                  <c:v>MergeSort - BottomUp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'MergeSorters Analysis'!$A$3:$A$7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'MergeSorters Analysis'!$B$3:$B$7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30</c:v>
                </c:pt>
                <c:pt idx="3">
                  <c:v>41</c:v>
                </c:pt>
                <c:pt idx="4">
                  <c:v>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'MergeSorters Analysis'!$F$1:$J$1</c:f>
              <c:strCache>
                <c:ptCount val="1"/>
                <c:pt idx="0">
                  <c:v>MergeSort - TopDown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'MergeSorters Analysis'!$A$3:$A$7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'MergeSorters Analysis'!$G$3:$G$7</c:f>
              <c:numCache>
                <c:formatCode>General</c:formatCode>
                <c:ptCount val="5"/>
                <c:pt idx="0">
                  <c:v>13</c:v>
                </c:pt>
                <c:pt idx="1">
                  <c:v>26</c:v>
                </c:pt>
                <c:pt idx="2">
                  <c:v>39</c:v>
                </c:pt>
                <c:pt idx="3">
                  <c:v>43</c:v>
                </c:pt>
                <c:pt idx="4">
                  <c:v>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800096"/>
        <c:axId val="373800488"/>
      </c:lineChart>
      <c:catAx>
        <c:axId val="3738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3800488"/>
        <c:crosses val="autoZero"/>
        <c:auto val="1"/>
        <c:lblAlgn val="ctr"/>
        <c:lblOffset val="100"/>
        <c:noMultiLvlLbl val="0"/>
      </c:catAx>
      <c:valAx>
        <c:axId val="373800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380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Greater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'MergeSorters Analysis'!$A$1:$E$1</c:f>
              <c:strCache>
                <c:ptCount val="1"/>
                <c:pt idx="0">
                  <c:v>MergeSort - BottomUp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'MergeSorters Analysis'!$F$3:$F$7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'MergeSorters Analysis'!$C$3:$C$7</c:f>
              <c:numCache>
                <c:formatCode>General</c:formatCode>
                <c:ptCount val="5"/>
                <c:pt idx="0">
                  <c:v>688</c:v>
                </c:pt>
                <c:pt idx="1">
                  <c:v>4492</c:v>
                </c:pt>
                <c:pt idx="2">
                  <c:v>9984</c:v>
                </c:pt>
                <c:pt idx="3">
                  <c:v>29080</c:v>
                </c:pt>
                <c:pt idx="4">
                  <c:v>63160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'MergeSorters Analysis'!$F$1:$J$1</c:f>
              <c:strCache>
                <c:ptCount val="1"/>
                <c:pt idx="0">
                  <c:v>MergeSort - TopDown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'MergeSorters Analysis'!$F$3:$F$7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'MergeSorters Analysis'!$H$3:$H$7</c:f>
              <c:numCache>
                <c:formatCode>General</c:formatCode>
                <c:ptCount val="5"/>
                <c:pt idx="0">
                  <c:v>672</c:v>
                </c:pt>
                <c:pt idx="1">
                  <c:v>4488</c:v>
                </c:pt>
                <c:pt idx="2">
                  <c:v>9976</c:v>
                </c:pt>
                <c:pt idx="3">
                  <c:v>28404</c:v>
                </c:pt>
                <c:pt idx="4">
                  <c:v>61808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801272"/>
        <c:axId val="373801664"/>
      </c:lineChart>
      <c:catAx>
        <c:axId val="373801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3801664"/>
        <c:crosses val="autoZero"/>
        <c:auto val="1"/>
        <c:lblAlgn val="ctr"/>
        <c:lblOffset val="100"/>
        <c:noMultiLvlLbl val="0"/>
      </c:catAx>
      <c:valAx>
        <c:axId val="37380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3801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cernello</dc:creator>
  <cp:keywords/>
  <dc:description/>
  <cp:lastModifiedBy>manuel cernello</cp:lastModifiedBy>
  <cp:revision>2</cp:revision>
  <dcterms:created xsi:type="dcterms:W3CDTF">2013-09-18T00:56:00Z</dcterms:created>
  <dcterms:modified xsi:type="dcterms:W3CDTF">2013-09-19T04:25:00Z</dcterms:modified>
</cp:coreProperties>
</file>