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CD8A" w14:textId="1F2E7BB1" w:rsidR="009B42A1" w:rsidRDefault="009B42A1" w:rsidP="009B42A1">
      <w:r>
        <w:t xml:space="preserve">Table XX: Results of the investigation of environment-recruitment relationships of the Alabama stock of spotted </w:t>
      </w:r>
      <w:proofErr w:type="gramStart"/>
      <w:r>
        <w:t>seatrout</w:t>
      </w:r>
      <w:proofErr w:type="gramEnd"/>
      <w:r>
        <w:t xml:space="preserve"> </w:t>
      </w:r>
      <w:r>
        <w:rPr>
          <w:i/>
          <w:iCs/>
        </w:rPr>
        <w:t>Cynoscion nebulosus</w:t>
      </w:r>
      <w:r>
        <w:t xml:space="preserve"> using the poor recruitment paradigm. </w:t>
      </w:r>
      <w:r w:rsidRPr="00A82396">
        <w:t xml:space="preserve">An environment-recruitment relationship was considered as “following the </w:t>
      </w:r>
      <w:r>
        <w:t>poor recruitment paradigm</w:t>
      </w:r>
      <w:r w:rsidRPr="00A82396">
        <w:t>” if 1) median recruitment is reduced during extreme conditions when compared to non-extreme, 2) the standard deviation of recruitment is lower during extreme conditions than during non-extreme (following a more predictable pattern), and 3) the proportion of extreme observations (years) with poor recruitment (below the non-extreme median) is greater than 0.5</w:t>
      </w:r>
      <w:r>
        <w:t>. “Following the poor recruitment paradigm” is denoted by green, while failure to do so is denoted by red. Results are presented across a suite of extreme environmental threshold/cutoff percentiles. The Atlantic Multidecadal Oscillation is denoted by “AMO” while the North Atlantic Oscillation is denoted by “NAO”. The Jun-Oct temporal scale represents the settlement season of the Alabama stock of spotted seatrout.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6"/>
        <w:gridCol w:w="1759"/>
        <w:gridCol w:w="1240"/>
        <w:gridCol w:w="1259"/>
        <w:gridCol w:w="1259"/>
        <w:gridCol w:w="1268"/>
        <w:gridCol w:w="1259"/>
      </w:tblGrid>
      <w:tr w:rsidR="009B42A1" w14:paraId="17CE6642" w14:textId="77777777" w:rsidTr="00824EC3">
        <w:trPr>
          <w:jc w:val="center"/>
        </w:trPr>
        <w:tc>
          <w:tcPr>
            <w:tcW w:w="1306" w:type="dxa"/>
          </w:tcPr>
          <w:p w14:paraId="1A86DC91" w14:textId="77777777" w:rsidR="009B42A1" w:rsidRPr="00951A48" w:rsidRDefault="009B42A1" w:rsidP="00824EC3">
            <w:pPr>
              <w:jc w:val="center"/>
              <w:rPr>
                <w:b/>
                <w:bCs/>
              </w:rPr>
            </w:pPr>
            <w:r w:rsidRPr="00951A48">
              <w:rPr>
                <w:b/>
                <w:bCs/>
              </w:rPr>
              <w:t>Temporal scale</w:t>
            </w:r>
          </w:p>
        </w:tc>
        <w:tc>
          <w:tcPr>
            <w:tcW w:w="1759" w:type="dxa"/>
            <w:vAlign w:val="center"/>
          </w:tcPr>
          <w:p w14:paraId="42C86C22" w14:textId="77777777" w:rsidR="009B42A1" w:rsidRPr="00640313" w:rsidRDefault="009B42A1" w:rsidP="00824EC3">
            <w:pPr>
              <w:jc w:val="center"/>
              <w:rPr>
                <w:b/>
                <w:bCs/>
              </w:rPr>
            </w:pPr>
            <w:r w:rsidRPr="00640313">
              <w:rPr>
                <w:b/>
                <w:bCs/>
              </w:rPr>
              <w:t>Environmental variable</w:t>
            </w:r>
          </w:p>
        </w:tc>
        <w:tc>
          <w:tcPr>
            <w:tcW w:w="6285" w:type="dxa"/>
            <w:gridSpan w:val="5"/>
            <w:vAlign w:val="center"/>
          </w:tcPr>
          <w:p w14:paraId="1DE93CCE" w14:textId="77777777" w:rsidR="009B42A1" w:rsidRPr="00640313" w:rsidRDefault="009B42A1" w:rsidP="00824EC3">
            <w:pPr>
              <w:jc w:val="center"/>
              <w:rPr>
                <w:b/>
                <w:bCs/>
              </w:rPr>
            </w:pPr>
            <w:r w:rsidRPr="00640313">
              <w:rPr>
                <w:b/>
                <w:bCs/>
              </w:rPr>
              <w:t>Extreme condition threshold/cutoff percentile</w:t>
            </w:r>
          </w:p>
        </w:tc>
      </w:tr>
      <w:tr w:rsidR="009B42A1" w14:paraId="23F06A0C" w14:textId="77777777" w:rsidTr="00824EC3">
        <w:trPr>
          <w:jc w:val="center"/>
        </w:trPr>
        <w:tc>
          <w:tcPr>
            <w:tcW w:w="1306" w:type="dxa"/>
          </w:tcPr>
          <w:p w14:paraId="6435A706" w14:textId="77777777" w:rsidR="009B42A1" w:rsidRDefault="009B42A1" w:rsidP="00824EC3">
            <w:pPr>
              <w:jc w:val="center"/>
            </w:pPr>
          </w:p>
        </w:tc>
        <w:tc>
          <w:tcPr>
            <w:tcW w:w="1759" w:type="dxa"/>
            <w:vAlign w:val="center"/>
          </w:tcPr>
          <w:p w14:paraId="79558218" w14:textId="77777777" w:rsidR="009B42A1" w:rsidRDefault="009B42A1" w:rsidP="00824EC3">
            <w:pPr>
              <w:jc w:val="center"/>
            </w:pPr>
          </w:p>
        </w:tc>
        <w:tc>
          <w:tcPr>
            <w:tcW w:w="1240" w:type="dxa"/>
            <w:vAlign w:val="center"/>
          </w:tcPr>
          <w:p w14:paraId="606CC8A7" w14:textId="77777777" w:rsidR="009B42A1" w:rsidRDefault="009B42A1" w:rsidP="00824EC3">
            <w:pPr>
              <w:jc w:val="center"/>
            </w:pPr>
            <w:r>
              <w:t>20</w:t>
            </w:r>
            <w:r w:rsidRPr="00B67E30">
              <w:rPr>
                <w:vertAlign w:val="superscript"/>
              </w:rPr>
              <w:t>th</w:t>
            </w:r>
          </w:p>
        </w:tc>
        <w:tc>
          <w:tcPr>
            <w:tcW w:w="1259" w:type="dxa"/>
            <w:vAlign w:val="center"/>
          </w:tcPr>
          <w:p w14:paraId="485AAB46" w14:textId="77777777" w:rsidR="009B42A1" w:rsidRDefault="009B42A1" w:rsidP="00824EC3">
            <w:pPr>
              <w:jc w:val="center"/>
            </w:pPr>
            <w:r>
              <w:t>25</w:t>
            </w:r>
            <w:r w:rsidRPr="004D4D6E">
              <w:rPr>
                <w:vertAlign w:val="superscript"/>
              </w:rPr>
              <w:t>th</w:t>
            </w:r>
          </w:p>
        </w:tc>
        <w:tc>
          <w:tcPr>
            <w:tcW w:w="1259" w:type="dxa"/>
            <w:vAlign w:val="center"/>
          </w:tcPr>
          <w:p w14:paraId="596978E4" w14:textId="77777777" w:rsidR="009B42A1" w:rsidRDefault="009B42A1" w:rsidP="00824EC3">
            <w:pPr>
              <w:jc w:val="center"/>
            </w:pPr>
            <w:r>
              <w:t>30</w:t>
            </w:r>
            <w:r w:rsidRPr="00642367">
              <w:rPr>
                <w:vertAlign w:val="superscript"/>
              </w:rPr>
              <w:t>th</w:t>
            </w:r>
          </w:p>
        </w:tc>
        <w:tc>
          <w:tcPr>
            <w:tcW w:w="1268" w:type="dxa"/>
            <w:vAlign w:val="center"/>
          </w:tcPr>
          <w:p w14:paraId="3E4FA236" w14:textId="77777777" w:rsidR="009B42A1" w:rsidRDefault="009B42A1" w:rsidP="00824EC3">
            <w:pPr>
              <w:jc w:val="center"/>
            </w:pPr>
            <w:r>
              <w:t>33</w:t>
            </w:r>
            <w:r w:rsidRPr="00642367">
              <w:rPr>
                <w:vertAlign w:val="superscript"/>
              </w:rPr>
              <w:t>rd</w:t>
            </w:r>
          </w:p>
        </w:tc>
        <w:tc>
          <w:tcPr>
            <w:tcW w:w="1259" w:type="dxa"/>
            <w:vAlign w:val="center"/>
          </w:tcPr>
          <w:p w14:paraId="100ED43A" w14:textId="77777777" w:rsidR="009B42A1" w:rsidRDefault="009B42A1" w:rsidP="00824EC3">
            <w:pPr>
              <w:jc w:val="center"/>
            </w:pPr>
            <w:r>
              <w:t>40</w:t>
            </w:r>
            <w:r w:rsidRPr="00642367">
              <w:rPr>
                <w:vertAlign w:val="superscript"/>
              </w:rPr>
              <w:t>th</w:t>
            </w:r>
          </w:p>
        </w:tc>
      </w:tr>
      <w:tr w:rsidR="009B42A1" w14:paraId="1463784D" w14:textId="77777777" w:rsidTr="009B42A1">
        <w:trPr>
          <w:jc w:val="center"/>
        </w:trPr>
        <w:tc>
          <w:tcPr>
            <w:tcW w:w="1306" w:type="dxa"/>
            <w:vMerge w:val="restart"/>
          </w:tcPr>
          <w:p w14:paraId="592111F2" w14:textId="77777777" w:rsidR="009B42A1" w:rsidRDefault="009B42A1" w:rsidP="00824EC3">
            <w:pPr>
              <w:jc w:val="center"/>
            </w:pPr>
            <w:r>
              <w:t>Annual</w:t>
            </w:r>
          </w:p>
        </w:tc>
        <w:tc>
          <w:tcPr>
            <w:tcW w:w="1759" w:type="dxa"/>
            <w:vAlign w:val="center"/>
          </w:tcPr>
          <w:p w14:paraId="64BA449B" w14:textId="77777777" w:rsidR="009B42A1" w:rsidRDefault="009B42A1" w:rsidP="00824EC3">
            <w:pPr>
              <w:jc w:val="center"/>
            </w:pPr>
            <w:r>
              <w:t>AMO</w:t>
            </w:r>
          </w:p>
        </w:tc>
        <w:tc>
          <w:tcPr>
            <w:tcW w:w="1240" w:type="dxa"/>
            <w:shd w:val="clear" w:color="auto" w:fill="4EA72E" w:themeFill="accent6"/>
            <w:vAlign w:val="center"/>
          </w:tcPr>
          <w:p w14:paraId="58E6EA63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4EA72E" w:themeFill="accent6"/>
            <w:vAlign w:val="center"/>
          </w:tcPr>
          <w:p w14:paraId="2DBAD060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72D8C8BD" w14:textId="77777777" w:rsidR="009B42A1" w:rsidRDefault="009B42A1" w:rsidP="00824EC3">
            <w:pPr>
              <w:jc w:val="center"/>
            </w:pPr>
          </w:p>
        </w:tc>
        <w:tc>
          <w:tcPr>
            <w:tcW w:w="1268" w:type="dxa"/>
            <w:shd w:val="clear" w:color="auto" w:fill="C00000"/>
            <w:vAlign w:val="center"/>
          </w:tcPr>
          <w:p w14:paraId="019A0103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0C25776E" w14:textId="77777777" w:rsidR="009B42A1" w:rsidRDefault="009B42A1" w:rsidP="00824EC3">
            <w:pPr>
              <w:jc w:val="center"/>
            </w:pPr>
          </w:p>
        </w:tc>
      </w:tr>
      <w:tr w:rsidR="009B42A1" w14:paraId="6C2453B3" w14:textId="77777777" w:rsidTr="00DF2C58">
        <w:trPr>
          <w:jc w:val="center"/>
        </w:trPr>
        <w:tc>
          <w:tcPr>
            <w:tcW w:w="1306" w:type="dxa"/>
            <w:vMerge/>
          </w:tcPr>
          <w:p w14:paraId="470AEFEF" w14:textId="77777777" w:rsidR="009B42A1" w:rsidRDefault="009B42A1" w:rsidP="00824EC3">
            <w:pPr>
              <w:jc w:val="center"/>
            </w:pPr>
          </w:p>
        </w:tc>
        <w:tc>
          <w:tcPr>
            <w:tcW w:w="1759" w:type="dxa"/>
            <w:vAlign w:val="center"/>
          </w:tcPr>
          <w:p w14:paraId="09A390BC" w14:textId="77777777" w:rsidR="009B42A1" w:rsidRDefault="009B42A1" w:rsidP="00824EC3">
            <w:pPr>
              <w:jc w:val="center"/>
            </w:pPr>
            <w:r>
              <w:t>NAO</w:t>
            </w:r>
          </w:p>
        </w:tc>
        <w:tc>
          <w:tcPr>
            <w:tcW w:w="1240" w:type="dxa"/>
            <w:shd w:val="clear" w:color="auto" w:fill="C00000"/>
            <w:vAlign w:val="center"/>
          </w:tcPr>
          <w:p w14:paraId="62F4437A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4FCD8E97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4EA72E" w:themeFill="accent6"/>
            <w:vAlign w:val="center"/>
          </w:tcPr>
          <w:p w14:paraId="1BE40695" w14:textId="77777777" w:rsidR="009B42A1" w:rsidRDefault="009B42A1" w:rsidP="00824EC3">
            <w:pPr>
              <w:jc w:val="center"/>
            </w:pPr>
          </w:p>
        </w:tc>
        <w:tc>
          <w:tcPr>
            <w:tcW w:w="1268" w:type="dxa"/>
            <w:shd w:val="clear" w:color="auto" w:fill="4EA72E" w:themeFill="accent6"/>
            <w:vAlign w:val="center"/>
          </w:tcPr>
          <w:p w14:paraId="15DD3FCC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63E53B64" w14:textId="77777777" w:rsidR="009B42A1" w:rsidRDefault="009B42A1" w:rsidP="00824EC3">
            <w:pPr>
              <w:jc w:val="center"/>
            </w:pPr>
          </w:p>
        </w:tc>
      </w:tr>
      <w:tr w:rsidR="009B42A1" w14:paraId="428FB13F" w14:textId="77777777" w:rsidTr="00393EDF">
        <w:trPr>
          <w:jc w:val="center"/>
        </w:trPr>
        <w:tc>
          <w:tcPr>
            <w:tcW w:w="1306" w:type="dxa"/>
            <w:vMerge w:val="restart"/>
          </w:tcPr>
          <w:p w14:paraId="48ABFB34" w14:textId="77777777" w:rsidR="009B42A1" w:rsidRDefault="009B42A1" w:rsidP="00824EC3">
            <w:pPr>
              <w:jc w:val="center"/>
            </w:pPr>
            <w:r>
              <w:t>Jun-Oct</w:t>
            </w:r>
          </w:p>
        </w:tc>
        <w:tc>
          <w:tcPr>
            <w:tcW w:w="1759" w:type="dxa"/>
            <w:vAlign w:val="center"/>
          </w:tcPr>
          <w:p w14:paraId="08D0D96E" w14:textId="77777777" w:rsidR="009B42A1" w:rsidRDefault="009B42A1" w:rsidP="00824EC3">
            <w:pPr>
              <w:jc w:val="center"/>
            </w:pPr>
            <w:r>
              <w:t>AMO</w:t>
            </w:r>
          </w:p>
        </w:tc>
        <w:tc>
          <w:tcPr>
            <w:tcW w:w="1240" w:type="dxa"/>
            <w:shd w:val="clear" w:color="auto" w:fill="C00000"/>
            <w:vAlign w:val="center"/>
          </w:tcPr>
          <w:p w14:paraId="4F31F4C7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4A884963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697445A9" w14:textId="77777777" w:rsidR="009B42A1" w:rsidRDefault="009B42A1" w:rsidP="00824EC3">
            <w:pPr>
              <w:jc w:val="center"/>
            </w:pPr>
          </w:p>
        </w:tc>
        <w:tc>
          <w:tcPr>
            <w:tcW w:w="1268" w:type="dxa"/>
            <w:shd w:val="clear" w:color="auto" w:fill="C00000"/>
            <w:vAlign w:val="center"/>
          </w:tcPr>
          <w:p w14:paraId="2CA15769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44A32A04" w14:textId="77777777" w:rsidR="009B42A1" w:rsidRDefault="009B42A1" w:rsidP="00824EC3">
            <w:pPr>
              <w:jc w:val="center"/>
            </w:pPr>
          </w:p>
        </w:tc>
      </w:tr>
      <w:tr w:rsidR="009B42A1" w14:paraId="03DD97AA" w14:textId="77777777" w:rsidTr="00BF35C6">
        <w:trPr>
          <w:jc w:val="center"/>
        </w:trPr>
        <w:tc>
          <w:tcPr>
            <w:tcW w:w="1306" w:type="dxa"/>
            <w:vMerge/>
          </w:tcPr>
          <w:p w14:paraId="1D8F96E7" w14:textId="77777777" w:rsidR="009B42A1" w:rsidRDefault="009B42A1" w:rsidP="00824EC3">
            <w:pPr>
              <w:jc w:val="center"/>
            </w:pPr>
          </w:p>
        </w:tc>
        <w:tc>
          <w:tcPr>
            <w:tcW w:w="1759" w:type="dxa"/>
            <w:vAlign w:val="center"/>
          </w:tcPr>
          <w:p w14:paraId="289CEDAB" w14:textId="77777777" w:rsidR="009B42A1" w:rsidRDefault="009B42A1" w:rsidP="00824EC3">
            <w:pPr>
              <w:jc w:val="center"/>
            </w:pPr>
            <w:r>
              <w:t>NAO</w:t>
            </w:r>
          </w:p>
        </w:tc>
        <w:tc>
          <w:tcPr>
            <w:tcW w:w="1240" w:type="dxa"/>
            <w:shd w:val="clear" w:color="auto" w:fill="C00000"/>
            <w:vAlign w:val="center"/>
          </w:tcPr>
          <w:p w14:paraId="2756731E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3A8B1001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03F1C27F" w14:textId="77777777" w:rsidR="009B42A1" w:rsidRDefault="009B42A1" w:rsidP="00824EC3">
            <w:pPr>
              <w:jc w:val="center"/>
            </w:pPr>
          </w:p>
        </w:tc>
        <w:tc>
          <w:tcPr>
            <w:tcW w:w="1268" w:type="dxa"/>
            <w:shd w:val="clear" w:color="auto" w:fill="C00000"/>
            <w:vAlign w:val="center"/>
          </w:tcPr>
          <w:p w14:paraId="6CBF243A" w14:textId="77777777" w:rsidR="009B42A1" w:rsidRDefault="009B42A1" w:rsidP="00824EC3">
            <w:pPr>
              <w:jc w:val="center"/>
            </w:pPr>
          </w:p>
        </w:tc>
        <w:tc>
          <w:tcPr>
            <w:tcW w:w="1259" w:type="dxa"/>
            <w:shd w:val="clear" w:color="auto" w:fill="C00000"/>
            <w:vAlign w:val="center"/>
          </w:tcPr>
          <w:p w14:paraId="7BDDB7B5" w14:textId="77777777" w:rsidR="009B42A1" w:rsidRDefault="009B42A1" w:rsidP="00824EC3">
            <w:pPr>
              <w:jc w:val="center"/>
            </w:pPr>
          </w:p>
        </w:tc>
      </w:tr>
    </w:tbl>
    <w:p w14:paraId="2B973782" w14:textId="77777777" w:rsidR="009B42A1" w:rsidRDefault="009B42A1" w:rsidP="009B42A1"/>
    <w:p w14:paraId="23E4C5D9" w14:textId="77777777" w:rsidR="009B42A1" w:rsidRPr="003562DD" w:rsidRDefault="009B42A1" w:rsidP="009B42A1"/>
    <w:p w14:paraId="56C0BF7C" w14:textId="77777777" w:rsidR="009B42A1" w:rsidRDefault="009B42A1"/>
    <w:sectPr w:rsidR="009B4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A1"/>
    <w:rsid w:val="00386EC1"/>
    <w:rsid w:val="00393EDF"/>
    <w:rsid w:val="00413E14"/>
    <w:rsid w:val="005946BD"/>
    <w:rsid w:val="0083371A"/>
    <w:rsid w:val="0093073F"/>
    <w:rsid w:val="009B42A1"/>
    <w:rsid w:val="00AD04D2"/>
    <w:rsid w:val="00BF35C6"/>
    <w:rsid w:val="00C85620"/>
    <w:rsid w:val="00CA767A"/>
    <w:rsid w:val="00D92048"/>
    <w:rsid w:val="00DB524F"/>
    <w:rsid w:val="00DF2C58"/>
    <w:rsid w:val="00F4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4B84"/>
  <w15:chartTrackingRefBased/>
  <w15:docId w15:val="{FDB479CD-9817-41C8-A6E7-5021E4D2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2A1"/>
  </w:style>
  <w:style w:type="paragraph" w:styleId="Heading1">
    <w:name w:val="heading 1"/>
    <w:basedOn w:val="Normal"/>
    <w:next w:val="Normal"/>
    <w:link w:val="Heading1Char"/>
    <w:uiPriority w:val="9"/>
    <w:qFormat/>
    <w:rsid w:val="009B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2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4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169</Words>
  <Characters>1057</Characters>
  <Application>Microsoft Office Word</Application>
  <DocSecurity>0</DocSecurity>
  <Lines>55</Lines>
  <Paragraphs>17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Coffill-Rivera</dc:creator>
  <cp:keywords/>
  <dc:description/>
  <cp:lastModifiedBy>Manuel Coffill-Rivera</cp:lastModifiedBy>
  <cp:revision>7</cp:revision>
  <dcterms:created xsi:type="dcterms:W3CDTF">2025-12-13T15:41:00Z</dcterms:created>
  <dcterms:modified xsi:type="dcterms:W3CDTF">2025-12-13T16:10:00Z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93a5dedc-6765-4013-85d4-e61a588caf4c</vt:lpwstr>
  </property>
</Properties>
</file>