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8510A" w:rsidRPr="00DD74A0" w:rsidRDefault="0038510A" w:rsidP="00CE080B">
      <w:pPr>
        <w:rPr>
          <w:b/>
          <w:sz w:val="32"/>
          <w:lang w:val="en-US"/>
        </w:rPr>
      </w:pPr>
      <w:r w:rsidRPr="00DD74A0">
        <w:rPr>
          <w:b/>
          <w:sz w:val="32"/>
          <w:lang w:val="en-US"/>
        </w:rPr>
        <w:t xml:space="preserve">Mapping the Conceptual Landscape of Global EHR-Linked Biobanks Through </w:t>
      </w:r>
      <w:proofErr w:type="spellStart"/>
      <w:r w:rsidRPr="00DD74A0">
        <w:rPr>
          <w:b/>
          <w:sz w:val="32"/>
          <w:lang w:val="en-US"/>
        </w:rPr>
        <w:t>MeSH</w:t>
      </w:r>
      <w:proofErr w:type="spellEnd"/>
      <w:r w:rsidRPr="00DD74A0">
        <w:rPr>
          <w:b/>
          <w:sz w:val="32"/>
          <w:lang w:val="en-US"/>
        </w:rPr>
        <w:t xml:space="preserve"> Co-Occurrence Analysis</w:t>
      </w:r>
    </w:p>
    <w:p w:rsidR="00424C6E" w:rsidRPr="00DD74A0" w:rsidRDefault="00424C6E">
      <w:pPr>
        <w:rPr>
          <w:lang w:val="en-US"/>
        </w:rPr>
      </w:pPr>
    </w:p>
    <w:p w:rsidR="0038510A" w:rsidRPr="00DD74A0" w:rsidRDefault="0038510A">
      <w:pPr>
        <w:rPr>
          <w:lang w:val="en-US"/>
        </w:rPr>
      </w:pPr>
    </w:p>
    <w:p w:rsidR="0083280A" w:rsidRPr="00DD74A0" w:rsidRDefault="0083280A" w:rsidP="0083280A">
      <w:pPr>
        <w:rPr>
          <w:rFonts w:eastAsiaTheme="minorHAnsi" w:cstheme="minorBidi"/>
          <w:b/>
          <w:bCs/>
          <w:lang w:val="en-US"/>
        </w:rPr>
      </w:pPr>
    </w:p>
    <w:p w:rsidR="004911BF" w:rsidRPr="00DD74A0" w:rsidRDefault="004911BF" w:rsidP="008742FA">
      <w:pPr>
        <w:pStyle w:val="Heading1"/>
        <w:rPr>
          <w:lang w:val="en-US"/>
        </w:rPr>
      </w:pPr>
      <w:r w:rsidRPr="00DD74A0">
        <w:rPr>
          <w:lang w:val="en-US"/>
        </w:rPr>
        <w:t>Methods</w:t>
      </w:r>
    </w:p>
    <w:p w:rsidR="000C0333" w:rsidRDefault="000C0333" w:rsidP="000C0333">
      <w:pPr>
        <w:pStyle w:val="Heading2"/>
      </w:pPr>
      <w:r>
        <w:t>Data Collection and Processing</w:t>
      </w:r>
    </w:p>
    <w:p w:rsidR="000C0333" w:rsidRDefault="000C0333" w:rsidP="000C0333">
      <w:r>
        <w:t xml:space="preserve">We conducted a systematic analysis of scientific literature at the intersection of biobanking, electronic health records (EHRs), and biomedical informatics. Our investigation focused on five major biobank initiatives: UK Biobank, All of Us, </w:t>
      </w:r>
      <w:proofErr w:type="spellStart"/>
      <w:r>
        <w:t>FinnGen</w:t>
      </w:r>
      <w:proofErr w:type="spellEnd"/>
      <w:r>
        <w:t>, Estonian Biobank, and the Million Veteran Program (MVP). This se</w:t>
      </w:r>
      <w:bookmarkStart w:id="0" w:name="_GoBack"/>
      <w:bookmarkEnd w:id="0"/>
      <w:r>
        <w:t>lection represents diverse geographical contexts, population scales, and institutional frameworks, providing a comprehensive view of global EHR-integrated biobanking.</w:t>
      </w:r>
    </w:p>
    <w:p w:rsidR="000C0333" w:rsidRDefault="000C0333" w:rsidP="000C0333">
      <w:pPr>
        <w:pStyle w:val="Heading3"/>
      </w:pPr>
      <w:r>
        <w:t>Publication Retrieval and Indexing</w:t>
      </w:r>
    </w:p>
    <w:p w:rsidR="000C0333" w:rsidRDefault="000C0333" w:rsidP="000C0333">
      <w:pPr>
        <w:pStyle w:val="NormalWeb"/>
      </w:pPr>
      <w:r>
        <w:t xml:space="preserve">Using the NCBI Entrez API via the </w:t>
      </w:r>
      <w:proofErr w:type="spellStart"/>
      <w:r>
        <w:t>Biopython</w:t>
      </w:r>
      <w:proofErr w:type="spellEnd"/>
      <w:r>
        <w:t xml:space="preserve"> library, we implemented a systematic search strategy to identify PubMed articles mentioning both biobank concepts and electronic health records. Our approach employed year-by-year queries, subdivided into monthly searches when necessary to manage PubMed's query limitations. For each paper, we extracted comprehensive metadata including publication identifiers, title, abstract, author information, institutional affiliations, journal details, publication dates, </w:t>
      </w:r>
      <w:proofErr w:type="spellStart"/>
      <w:r>
        <w:t>MeSH</w:t>
      </w:r>
      <w:proofErr w:type="spellEnd"/>
      <w:r>
        <w:t xml:space="preserve"> terms, and author-supplied keywords. Biobank associations were determined through textual mentions of specific initiatives or related terminology in the article content.</w:t>
      </w:r>
    </w:p>
    <w:p w:rsidR="000C0333" w:rsidRDefault="000C0333" w:rsidP="000C0333">
      <w:pPr>
        <w:pStyle w:val="NormalWeb"/>
      </w:pPr>
      <w:r>
        <w:t>To handle the computational challenges of large-scale bibliometric analysis, we developed a batched processing pipeline that retrieved records in manageable segments (500 articles per batch), with built-in error handling and automatic retry mechanisms. The system included comprehensive logging to ensure reproducibility and facilitate troubleshooting. All data was stored in structured CSV format with consistent encoding to preserve special characters in multiple languages.</w:t>
      </w:r>
    </w:p>
    <w:p w:rsidR="000C0333" w:rsidRDefault="000C0333" w:rsidP="000C0333">
      <w:pPr>
        <w:pStyle w:val="Heading3"/>
      </w:pPr>
      <w:r>
        <w:t>Citation Impact Analysis</w:t>
      </w:r>
    </w:p>
    <w:p w:rsidR="000C0333" w:rsidRDefault="000C0333" w:rsidP="000C0333">
      <w:pPr>
        <w:pStyle w:val="NormalWeb"/>
      </w:pPr>
      <w:r>
        <w:t>To assess scholarly influence, we implemented a two-tiered citation analysis approach. Base citation metrics were extracted directly from PubMed's internal reference tracking system. For each biobank, papers were ranked by citation count to identify the most influential publications, with results saved in both human-readable HTML and machine-processable CSV formats. This methodology allowed us to quantify the relative scholarly impact of different research threads within and across biobanks.</w:t>
      </w:r>
    </w:p>
    <w:p w:rsidR="000C0333" w:rsidRDefault="000C0333" w:rsidP="000C0333">
      <w:pPr>
        <w:pStyle w:val="Heading3"/>
      </w:pPr>
      <w:r>
        <w:t>Institutional Contribution Mapping</w:t>
      </w:r>
    </w:p>
    <w:p w:rsidR="000C0333" w:rsidRDefault="000C0333" w:rsidP="000C0333">
      <w:pPr>
        <w:pStyle w:val="NormalWeb"/>
      </w:pPr>
      <w:r>
        <w:t xml:space="preserve">Institutional affiliations presented significant normalization challenges due to inconsistent naming conventions. We developed an enhanced institution extraction algorithm that identified </w:t>
      </w:r>
      <w:r>
        <w:lastRenderedPageBreak/>
        <w:t xml:space="preserve">organizational entities within affiliation strings using both </w:t>
      </w:r>
      <w:proofErr w:type="gramStart"/>
      <w:r>
        <w:t>pattern</w:t>
      </w:r>
      <w:proofErr w:type="gramEnd"/>
      <w:r>
        <w:t xml:space="preserve"> matching and contextual analysis. Our system recognized common institutional indicators (e.g., "university," "institute," "hospital") and applied normalization rules to standardize variant forms of the same organization. This approach enabled more accurate attribution of research contributions across the institutional landscape.</w:t>
      </w:r>
    </w:p>
    <w:p w:rsidR="000C0333" w:rsidRDefault="000C0333" w:rsidP="000C0333">
      <w:pPr>
        <w:pStyle w:val="Heading2"/>
      </w:pPr>
      <w:r>
        <w:t>Analytical Framework</w:t>
      </w:r>
    </w:p>
    <w:p w:rsidR="000C0333" w:rsidRDefault="000C0333" w:rsidP="000C0333">
      <w:pPr>
        <w:pStyle w:val="Heading3"/>
      </w:pPr>
      <w:r>
        <w:t>Keyword Normalization and Thematic Analysis</w:t>
      </w:r>
    </w:p>
    <w:p w:rsidR="000C0333" w:rsidRDefault="000C0333" w:rsidP="000C0333">
      <w:pPr>
        <w:pStyle w:val="NormalWeb"/>
      </w:pPr>
      <w:r>
        <w:t>Author-supplied keywords provided critical insights into research focus areas but required normalization to account for terminological variations. We implemented a multi-stage normalization process that standardized case, removed filler words, and consolidated variant forms of equivalent concepts. Our keyword processor included special handling for complex terms like "Mendelian randomization" and biobank names, ensuring consistent representation across the dataset.</w:t>
      </w:r>
    </w:p>
    <w:p w:rsidR="000C0333" w:rsidRDefault="000C0333" w:rsidP="000C0333">
      <w:pPr>
        <w:pStyle w:val="NormalWeb"/>
      </w:pPr>
      <w:r>
        <w:t xml:space="preserve">When </w:t>
      </w:r>
      <w:proofErr w:type="spellStart"/>
      <w:r>
        <w:t>analyzing</w:t>
      </w:r>
      <w:proofErr w:type="spellEnd"/>
      <w:r>
        <w:t xml:space="preserve"> </w:t>
      </w:r>
      <w:proofErr w:type="spellStart"/>
      <w:r>
        <w:t>MeSH</w:t>
      </w:r>
      <w:proofErr w:type="spellEnd"/>
      <w:r>
        <w:t xml:space="preserve"> terms, we preserved the controlled vocabulary structure inherent in PubMed's indexing system. For each biobank, we identified the most frequently occurring </w:t>
      </w:r>
      <w:proofErr w:type="spellStart"/>
      <w:r>
        <w:t>MeSH</w:t>
      </w:r>
      <w:proofErr w:type="spellEnd"/>
      <w:r>
        <w:t xml:space="preserve"> terms and keywords, generating frequency distributions that revealed distinctive research priorities and methodological approaches.</w:t>
      </w:r>
    </w:p>
    <w:p w:rsidR="000C0333" w:rsidRDefault="000C0333" w:rsidP="000C0333">
      <w:pPr>
        <w:pStyle w:val="Heading3"/>
      </w:pPr>
      <w:proofErr w:type="spellStart"/>
      <w:r>
        <w:t>MeSH</w:t>
      </w:r>
      <w:proofErr w:type="spellEnd"/>
      <w:r>
        <w:t xml:space="preserve"> Co-occurrence Analysis</w:t>
      </w:r>
    </w:p>
    <w:p w:rsidR="000C0333" w:rsidRDefault="000C0333" w:rsidP="000C0333">
      <w:pPr>
        <w:pStyle w:val="NormalWeb"/>
      </w:pPr>
      <w:r>
        <w:t xml:space="preserve">To uncover latent thematic patterns, we conducted </w:t>
      </w:r>
      <w:proofErr w:type="spellStart"/>
      <w:r>
        <w:t>MeSH</w:t>
      </w:r>
      <w:proofErr w:type="spellEnd"/>
      <w:r>
        <w:t xml:space="preserve"> term co-occurrence analysis for each biobank. Using the top 100 most frequent terms in each corpus, we constructed co-occurrence matrices that captured how often terms appeared together in the same publication. We then applied Principal Component Analysis (PCA) to reduce dimensionality, followed by K-means clustering (with k=10) to identify coherent topic clusters.</w:t>
      </w:r>
    </w:p>
    <w:p w:rsidR="000C0333" w:rsidRDefault="000C0333" w:rsidP="000C0333">
      <w:pPr>
        <w:pStyle w:val="NormalWeb"/>
      </w:pPr>
      <w:r>
        <w:t>For each identified cluster, we extracted the most representative terms based on frequency within the cluster and documented potential interpretations of the thematic focus. This approach revealed both shared infrastructural concepts across biobanks and distinctive thematic signatures unique to each initiative.</w:t>
      </w:r>
    </w:p>
    <w:p w:rsidR="000C0333" w:rsidRDefault="000C0333" w:rsidP="000C0333">
      <w:pPr>
        <w:pStyle w:val="Heading3"/>
      </w:pPr>
      <w:r>
        <w:t>Comparative Literature Profiles</w:t>
      </w:r>
    </w:p>
    <w:p w:rsidR="000C0333" w:rsidRDefault="000C0333" w:rsidP="000C0333">
      <w:pPr>
        <w:pStyle w:val="NormalWeb"/>
      </w:pPr>
      <w:r>
        <w:t>To enable direct comparison between biobanks, we implemented several comparative analyses:</w:t>
      </w:r>
    </w:p>
    <w:p w:rsidR="000C0333" w:rsidRDefault="000C0333" w:rsidP="000C0333">
      <w:pPr>
        <w:pStyle w:val="NormalWeb"/>
        <w:numPr>
          <w:ilvl w:val="0"/>
          <w:numId w:val="21"/>
        </w:numPr>
        <w:jc w:val="left"/>
      </w:pPr>
      <w:r>
        <w:rPr>
          <w:rStyle w:val="Strong"/>
        </w:rPr>
        <w:t>Thematic Classification</w:t>
      </w:r>
      <w:r>
        <w:t>: We categorized normalized keywords into conceptual domains including Genetics, Clinical Applications, Data Science, Epidemiology, Methodology, Diversity &amp; Equity, Informatics, and Disease-Specific Research. This classification quantified the relative emphasis each biobank places on different research domains.</w:t>
      </w:r>
    </w:p>
    <w:p w:rsidR="000C0333" w:rsidRDefault="000C0333" w:rsidP="000C0333">
      <w:pPr>
        <w:pStyle w:val="NormalWeb"/>
        <w:numPr>
          <w:ilvl w:val="0"/>
          <w:numId w:val="21"/>
        </w:numPr>
        <w:jc w:val="left"/>
      </w:pPr>
      <w:r>
        <w:rPr>
          <w:rStyle w:val="Strong"/>
        </w:rPr>
        <w:t>Distinctiveness Metrics</w:t>
      </w:r>
      <w:r>
        <w:t>: We calculated distinctiveness scores for each keyword, defined as the ratio between its prevalence within a specific biobank's literature and its mean prevalence across all other biobanks. Keywords with high distinctiveness scores (&gt;2) and substantial frequency (&gt;10 occurrences) were identified as characteristic research themes.</w:t>
      </w:r>
    </w:p>
    <w:p w:rsidR="000C0333" w:rsidRDefault="000C0333" w:rsidP="000C0333">
      <w:pPr>
        <w:pStyle w:val="NormalWeb"/>
        <w:numPr>
          <w:ilvl w:val="0"/>
          <w:numId w:val="21"/>
        </w:numPr>
        <w:jc w:val="left"/>
      </w:pPr>
      <w:r>
        <w:rPr>
          <w:rStyle w:val="Strong"/>
        </w:rPr>
        <w:lastRenderedPageBreak/>
        <w:t>Cross-Biobank Collaboration Networks</w:t>
      </w:r>
      <w:r>
        <w:t>: We identified researchers publishing across multiple biobanks, creating a network representation of cross-initiative collaboration. Authors were ranked by both total publication count and the number of distinct biobanks in their work.</w:t>
      </w:r>
    </w:p>
    <w:p w:rsidR="000C0333" w:rsidRDefault="000C0333" w:rsidP="000C0333">
      <w:pPr>
        <w:pStyle w:val="Heading3"/>
      </w:pPr>
      <w:r>
        <w:t>Visualization Approach</w:t>
      </w:r>
    </w:p>
    <w:p w:rsidR="000C0333" w:rsidRDefault="000C0333" w:rsidP="000C0333">
      <w:pPr>
        <w:pStyle w:val="NormalWeb"/>
      </w:pPr>
      <w:r>
        <w:t>Our visualization strategy employed multiple complementary formats to represent different aspects of the analysis:</w:t>
      </w:r>
    </w:p>
    <w:p w:rsidR="000C0333" w:rsidRDefault="000C0333" w:rsidP="000C0333">
      <w:pPr>
        <w:pStyle w:val="NormalWeb"/>
        <w:numPr>
          <w:ilvl w:val="0"/>
          <w:numId w:val="22"/>
        </w:numPr>
        <w:jc w:val="left"/>
      </w:pPr>
      <w:r>
        <w:rPr>
          <w:rStyle w:val="Strong"/>
        </w:rPr>
        <w:t>Bar Charts</w:t>
      </w:r>
      <w:r>
        <w:t>: For primary frequency distributions of publications, keywords, and institutions across biobanks.</w:t>
      </w:r>
    </w:p>
    <w:p w:rsidR="000C0333" w:rsidRDefault="000C0333" w:rsidP="000C0333">
      <w:pPr>
        <w:pStyle w:val="NormalWeb"/>
        <w:numPr>
          <w:ilvl w:val="0"/>
          <w:numId w:val="22"/>
        </w:numPr>
        <w:jc w:val="left"/>
      </w:pPr>
      <w:r>
        <w:rPr>
          <w:rStyle w:val="Strong"/>
        </w:rPr>
        <w:t>Heatmaps</w:t>
      </w:r>
      <w:r>
        <w:t>: To represent thematic focus areas and keyword distinctiveness patterns.</w:t>
      </w:r>
    </w:p>
    <w:p w:rsidR="000C0333" w:rsidRDefault="000C0333" w:rsidP="000C0333">
      <w:pPr>
        <w:pStyle w:val="NormalWeb"/>
        <w:numPr>
          <w:ilvl w:val="0"/>
          <w:numId w:val="22"/>
        </w:numPr>
        <w:jc w:val="left"/>
      </w:pPr>
      <w:r>
        <w:rPr>
          <w:rStyle w:val="Strong"/>
        </w:rPr>
        <w:t>Time Series Plots</w:t>
      </w:r>
      <w:r>
        <w:t>: To visualize publication trends over time for each biobank.</w:t>
      </w:r>
    </w:p>
    <w:p w:rsidR="000C0333" w:rsidRDefault="000C0333" w:rsidP="000C0333">
      <w:pPr>
        <w:pStyle w:val="NormalWeb"/>
        <w:numPr>
          <w:ilvl w:val="0"/>
          <w:numId w:val="22"/>
        </w:numPr>
        <w:jc w:val="left"/>
      </w:pPr>
      <w:r>
        <w:rPr>
          <w:rStyle w:val="Strong"/>
        </w:rPr>
        <w:t>Stacked Bar Charts</w:t>
      </w:r>
      <w:r>
        <w:t>: To illustrate cross-biobank author contributions.</w:t>
      </w:r>
    </w:p>
    <w:p w:rsidR="000C0333" w:rsidRDefault="000C0333" w:rsidP="000C0333">
      <w:pPr>
        <w:pStyle w:val="NormalWeb"/>
      </w:pPr>
      <w:r>
        <w:t xml:space="preserve">We optimized all visualizations for clarity and interpretability, using consistent </w:t>
      </w:r>
      <w:proofErr w:type="spellStart"/>
      <w:r>
        <w:t>color</w:t>
      </w:r>
      <w:proofErr w:type="spellEnd"/>
      <w:r>
        <w:t xml:space="preserve"> schemes to enable intuitive cross-comparison between different analytical views.</w:t>
      </w:r>
    </w:p>
    <w:p w:rsidR="000C0333" w:rsidRDefault="000C0333" w:rsidP="000C0333">
      <w:pPr>
        <w:pStyle w:val="Heading2"/>
      </w:pPr>
      <w:r>
        <w:t>Technical Implementation</w:t>
      </w:r>
    </w:p>
    <w:p w:rsidR="000C0333" w:rsidRDefault="000C0333" w:rsidP="000C0333">
      <w:pPr>
        <w:pStyle w:val="NormalWeb"/>
      </w:pPr>
      <w:r>
        <w:t xml:space="preserve">Our analytical pipeline was implemented in Python, leveraging scientific computing libraries including pandas for data manipulation, </w:t>
      </w:r>
      <w:proofErr w:type="spellStart"/>
      <w:r>
        <w:t>scikit</w:t>
      </w:r>
      <w:proofErr w:type="spellEnd"/>
      <w:r>
        <w:t>-learn for dimensionality reduction and clustering, and matplotlib/seaborn for visualization. The system architecture featured modular components for data retrieval, processing, analysis, and visualization, with each component designed for robustness and reproducibility.</w:t>
      </w:r>
    </w:p>
    <w:p w:rsidR="000C0333" w:rsidRDefault="000C0333" w:rsidP="000C0333">
      <w:pPr>
        <w:pStyle w:val="NormalWeb"/>
      </w:pPr>
      <w:r>
        <w:t>The complete processing workflow was divided into logical stages:</w:t>
      </w:r>
    </w:p>
    <w:p w:rsidR="000C0333" w:rsidRDefault="000C0333" w:rsidP="000C0333">
      <w:pPr>
        <w:numPr>
          <w:ilvl w:val="0"/>
          <w:numId w:val="23"/>
        </w:numPr>
        <w:spacing w:before="100" w:beforeAutospacing="1" w:after="100" w:afterAutospacing="1"/>
        <w:jc w:val="left"/>
      </w:pPr>
      <w:r>
        <w:t>Literature retrieval and initial processing (extract-ehr-biobank-literature.py)</w:t>
      </w:r>
    </w:p>
    <w:p w:rsidR="000C0333" w:rsidRDefault="000C0333" w:rsidP="000C0333">
      <w:pPr>
        <w:numPr>
          <w:ilvl w:val="0"/>
          <w:numId w:val="23"/>
        </w:numPr>
        <w:spacing w:before="100" w:beforeAutospacing="1" w:after="100" w:afterAutospacing="1"/>
        <w:jc w:val="left"/>
      </w:pPr>
      <w:r>
        <w:t>Statistical analysis and cluster identification (analyze-publications.py)</w:t>
      </w:r>
    </w:p>
    <w:p w:rsidR="000C0333" w:rsidRDefault="000C0333" w:rsidP="000C0333">
      <w:pPr>
        <w:numPr>
          <w:ilvl w:val="0"/>
          <w:numId w:val="23"/>
        </w:numPr>
        <w:spacing w:before="100" w:beforeAutospacing="1" w:after="100" w:afterAutospacing="1"/>
        <w:jc w:val="left"/>
      </w:pPr>
      <w:r>
        <w:t>Comparative analysis across biobanks (analyze-ehr-biobank-literature.py)</w:t>
      </w:r>
    </w:p>
    <w:p w:rsidR="000C0333" w:rsidRDefault="000C0333" w:rsidP="000C0333">
      <w:pPr>
        <w:pStyle w:val="NormalWeb"/>
      </w:pPr>
      <w:r>
        <w:t>All visualization outputs and statistical summaries were organized in a structured directory hierarchy, with separate folders for plots, tables, and textual analysis results. This organization facilitated both human interpretation and programmatic access to derived insights.</w:t>
      </w:r>
    </w:p>
    <w:p w:rsidR="000C0333" w:rsidRDefault="000C0333" w:rsidP="000C0333">
      <w:pPr>
        <w:pStyle w:val="NormalWeb"/>
      </w:pPr>
      <w:r>
        <w:t xml:space="preserve">By integrating </w:t>
      </w:r>
      <w:proofErr w:type="spellStart"/>
      <w:r>
        <w:t>MeSH</w:t>
      </w:r>
      <w:proofErr w:type="spellEnd"/>
      <w:r>
        <w:t xml:space="preserve"> term analysis with co-occurrence patterns and cross-biobank comparisons, our methodology enabled a multi-dimensional mapping of the conceptual landscape surrounding EHR-linked biobanks, revealing both common infrastructural foundations and distinctive research priorities across these major initiatives.</w:t>
      </w:r>
    </w:p>
    <w:p w:rsidR="0038510A" w:rsidRPr="00DD74A0" w:rsidRDefault="0038510A" w:rsidP="00CE080B">
      <w:pPr>
        <w:pStyle w:val="Heading1"/>
        <w:rPr>
          <w:rFonts w:eastAsia="Times New Roman"/>
          <w:lang w:val="en-US"/>
        </w:rPr>
      </w:pPr>
      <w:r w:rsidRPr="00DD74A0">
        <w:rPr>
          <w:rFonts w:eastAsia="Times New Roman"/>
          <w:lang w:val="en-US"/>
        </w:rPr>
        <w:t>Results</w:t>
      </w:r>
    </w:p>
    <w:p w:rsidR="0038510A" w:rsidRPr="00DD74A0" w:rsidRDefault="0038510A" w:rsidP="00CE080B">
      <w:pPr>
        <w:pStyle w:val="Heading2"/>
        <w:rPr>
          <w:lang w:val="en-US"/>
        </w:rPr>
      </w:pPr>
      <w:r w:rsidRPr="00DD74A0">
        <w:rPr>
          <w:lang w:val="en-US"/>
        </w:rPr>
        <w:t>Common Infrastructure Across Biobanks</w:t>
      </w:r>
    </w:p>
    <w:p w:rsidR="0038510A" w:rsidRPr="00DD74A0" w:rsidRDefault="0038510A" w:rsidP="004911BF">
      <w:pPr>
        <w:rPr>
          <w:lang w:val="en-US"/>
        </w:rPr>
      </w:pPr>
      <w:r w:rsidRPr="00DD74A0">
        <w:rPr>
          <w:lang w:val="en-US"/>
        </w:rPr>
        <w:t xml:space="preserve">A </w:t>
      </w:r>
      <w:proofErr w:type="spellStart"/>
      <w:r w:rsidRPr="00DD74A0">
        <w:rPr>
          <w:lang w:val="en-US"/>
        </w:rPr>
        <w:t>MeSH</w:t>
      </w:r>
      <w:proofErr w:type="spellEnd"/>
      <w:r w:rsidRPr="00DD74A0">
        <w:rPr>
          <w:lang w:val="en-US"/>
        </w:rPr>
        <w:t xml:space="preserve"> co-occurrence analysis of publications associated with five major EHR-linked biobanks—the UK Biobank, Million Veteran Program (MVP), </w:t>
      </w:r>
      <w:proofErr w:type="spellStart"/>
      <w:r w:rsidRPr="00DD74A0">
        <w:rPr>
          <w:lang w:val="en-US"/>
        </w:rPr>
        <w:t>FinnGen</w:t>
      </w:r>
      <w:proofErr w:type="spellEnd"/>
      <w:r w:rsidRPr="00DD74A0">
        <w:rPr>
          <w:lang w:val="en-US"/>
        </w:rPr>
        <w:t xml:space="preserve">, All of Us, and the </w:t>
      </w:r>
      <w:r w:rsidRPr="00DD74A0">
        <w:rPr>
          <w:lang w:val="en-US"/>
        </w:rPr>
        <w:lastRenderedPageBreak/>
        <w:t xml:space="preserve">Estonian Biobank—revealed both convergence and divergence in research themes. Despite differences in geographic scope and population coverage, a core set of shared biomedical topics emerged across all five cohorts. These included </w:t>
      </w:r>
      <w:proofErr w:type="spellStart"/>
      <w:r w:rsidRPr="00DD74A0">
        <w:rPr>
          <w:lang w:val="en-US"/>
        </w:rPr>
        <w:t>MeSH</w:t>
      </w:r>
      <w:proofErr w:type="spellEnd"/>
      <w:r w:rsidRPr="00DD74A0">
        <w:rPr>
          <w:lang w:val="en-US"/>
        </w:rPr>
        <w:t xml:space="preserve"> terms relating to </w:t>
      </w:r>
      <w:r w:rsidRPr="00DD74A0">
        <w:rPr>
          <w:i/>
          <w:iCs/>
          <w:lang w:val="en-US"/>
        </w:rPr>
        <w:t>optic disk imaging</w:t>
      </w:r>
      <w:r w:rsidRPr="00DD74A0">
        <w:rPr>
          <w:lang w:val="en-US"/>
        </w:rPr>
        <w:t xml:space="preserve">, </w:t>
      </w:r>
      <w:r w:rsidRPr="00DD74A0">
        <w:rPr>
          <w:i/>
          <w:iCs/>
          <w:lang w:val="en-US"/>
        </w:rPr>
        <w:t>carotid intima-media thickness</w:t>
      </w:r>
      <w:r w:rsidRPr="00DD74A0">
        <w:rPr>
          <w:lang w:val="en-US"/>
        </w:rPr>
        <w:t xml:space="preserve">, </w:t>
      </w:r>
      <w:r w:rsidRPr="00DD74A0">
        <w:rPr>
          <w:i/>
          <w:iCs/>
          <w:lang w:val="en-US"/>
        </w:rPr>
        <w:t>clonal hematopoiesis</w:t>
      </w:r>
      <w:r w:rsidRPr="00DD74A0">
        <w:rPr>
          <w:lang w:val="en-US"/>
        </w:rPr>
        <w:t xml:space="preserve">, and </w:t>
      </w:r>
      <w:r w:rsidRPr="00DD74A0">
        <w:rPr>
          <w:i/>
          <w:iCs/>
          <w:lang w:val="en-US"/>
        </w:rPr>
        <w:t>rare diseases</w:t>
      </w:r>
      <w:r w:rsidRPr="00DD74A0">
        <w:rPr>
          <w:lang w:val="en-US"/>
        </w:rPr>
        <w:t xml:space="preserve">, alongside technical concepts such as </w:t>
      </w:r>
      <w:r w:rsidRPr="00DD74A0">
        <w:rPr>
          <w:i/>
          <w:iCs/>
          <w:lang w:val="en-US"/>
        </w:rPr>
        <w:t>blood chemical analysis</w:t>
      </w:r>
      <w:r w:rsidRPr="00DD74A0">
        <w:rPr>
          <w:lang w:val="en-US"/>
        </w:rPr>
        <w:t xml:space="preserve">, </w:t>
      </w:r>
      <w:r w:rsidRPr="00DD74A0">
        <w:rPr>
          <w:i/>
          <w:iCs/>
          <w:lang w:val="en-US"/>
        </w:rPr>
        <w:t>urinalysis</w:t>
      </w:r>
      <w:r w:rsidRPr="00DD74A0">
        <w:rPr>
          <w:lang w:val="en-US"/>
        </w:rPr>
        <w:t xml:space="preserve">, </w:t>
      </w:r>
      <w:r w:rsidRPr="00DD74A0">
        <w:rPr>
          <w:i/>
          <w:iCs/>
          <w:lang w:val="en-US"/>
        </w:rPr>
        <w:t>cryopreservation</w:t>
      </w:r>
      <w:r w:rsidRPr="00DD74A0">
        <w:rPr>
          <w:lang w:val="en-US"/>
        </w:rPr>
        <w:t xml:space="preserve">, and </w:t>
      </w:r>
      <w:r w:rsidRPr="00DD74A0">
        <w:rPr>
          <w:i/>
          <w:iCs/>
          <w:lang w:val="en-US"/>
        </w:rPr>
        <w:t>specimen handling</w:t>
      </w:r>
      <w:r w:rsidRPr="00DD74A0">
        <w:rPr>
          <w:lang w:val="en-US"/>
        </w:rPr>
        <w:t>. This recurring co-occurrence suggests a foundational alignment in the use of imaging biomarkers, biospecimen infrastructure, and population-scale phenotyping.</w:t>
      </w:r>
    </w:p>
    <w:p w:rsidR="0038510A" w:rsidRPr="00DD74A0" w:rsidRDefault="0038510A" w:rsidP="00CE080B">
      <w:pPr>
        <w:pStyle w:val="Heading2"/>
        <w:rPr>
          <w:lang w:val="en-US"/>
        </w:rPr>
      </w:pPr>
      <w:r w:rsidRPr="00DD74A0">
        <w:rPr>
          <w:lang w:val="en-US"/>
        </w:rPr>
        <w:t>Divergent Thematic Profiles</w:t>
      </w:r>
    </w:p>
    <w:p w:rsidR="0038510A" w:rsidRPr="00DD74A0" w:rsidRDefault="0038510A" w:rsidP="00CE080B">
      <w:pPr>
        <w:rPr>
          <w:lang w:val="en-US"/>
        </w:rPr>
      </w:pPr>
      <w:r w:rsidRPr="00DD74A0">
        <w:rPr>
          <w:lang w:val="en-US"/>
        </w:rPr>
        <w:t>Although a common infrastructural focus was evident, each biobank exhibited distinct thematic signatures reflective of its unique design and research agenda.</w:t>
      </w:r>
    </w:p>
    <w:p w:rsidR="0038510A" w:rsidRPr="00DD74A0" w:rsidRDefault="0038510A" w:rsidP="00CE080B">
      <w:pPr>
        <w:pStyle w:val="Heading3"/>
        <w:rPr>
          <w:lang w:val="en-US"/>
        </w:rPr>
      </w:pPr>
      <w:r w:rsidRPr="00DD74A0">
        <w:rPr>
          <w:lang w:val="en-US"/>
        </w:rPr>
        <w:t>UK Biobank: Lifestyle, Neuroscience, and Informatics</w:t>
      </w:r>
    </w:p>
    <w:p w:rsidR="0038510A" w:rsidRPr="00DD74A0" w:rsidRDefault="0038510A" w:rsidP="00CE080B">
      <w:pPr>
        <w:rPr>
          <w:lang w:val="en-US"/>
        </w:rPr>
      </w:pPr>
      <w:r w:rsidRPr="00DD74A0">
        <w:rPr>
          <w:lang w:val="en-US"/>
        </w:rPr>
        <w:t xml:space="preserve">Publications linked to the UK Biobank demonstrated wide thematic breadth. Alongside core topics in chronic disease and biospecimen handling, clusters emerged around </w:t>
      </w:r>
      <w:r w:rsidRPr="00DD74A0">
        <w:rPr>
          <w:i/>
          <w:iCs/>
          <w:lang w:val="en-US"/>
        </w:rPr>
        <w:t>cannabis use</w:t>
      </w:r>
      <w:r w:rsidRPr="00DD74A0">
        <w:rPr>
          <w:lang w:val="en-US"/>
        </w:rPr>
        <w:t xml:space="preserve">, </w:t>
      </w:r>
      <w:r w:rsidRPr="00DD74A0">
        <w:rPr>
          <w:i/>
          <w:iCs/>
          <w:lang w:val="en-US"/>
        </w:rPr>
        <w:t>cannabinoid receptor agonists</w:t>
      </w:r>
      <w:r w:rsidRPr="00DD74A0">
        <w:rPr>
          <w:lang w:val="en-US"/>
        </w:rPr>
        <w:t xml:space="preserve">, </w:t>
      </w:r>
      <w:r w:rsidRPr="00DD74A0">
        <w:rPr>
          <w:i/>
          <w:iCs/>
          <w:lang w:val="en-US"/>
        </w:rPr>
        <w:t>white matter</w:t>
      </w:r>
      <w:r w:rsidRPr="00DD74A0">
        <w:rPr>
          <w:lang w:val="en-US"/>
        </w:rPr>
        <w:t xml:space="preserve">, and </w:t>
      </w:r>
      <w:r w:rsidRPr="00DD74A0">
        <w:rPr>
          <w:i/>
          <w:iCs/>
          <w:lang w:val="en-US"/>
        </w:rPr>
        <w:t>hallucinogens</w:t>
      </w:r>
      <w:r w:rsidRPr="00DD74A0">
        <w:rPr>
          <w:lang w:val="en-US"/>
        </w:rPr>
        <w:t xml:space="preserve">, reflecting a strong interest in lifestyle factors and neuropharmacology. Another notable thematic group involved </w:t>
      </w:r>
      <w:r w:rsidRPr="00DD74A0">
        <w:rPr>
          <w:i/>
          <w:iCs/>
          <w:lang w:val="en-US"/>
        </w:rPr>
        <w:t>circadian rhythm biology</w:t>
      </w:r>
      <w:r w:rsidRPr="00DD74A0">
        <w:rPr>
          <w:lang w:val="en-US"/>
        </w:rPr>
        <w:t xml:space="preserve">, with terms such as </w:t>
      </w:r>
      <w:r w:rsidRPr="00DD74A0">
        <w:rPr>
          <w:i/>
          <w:iCs/>
          <w:lang w:val="en-US"/>
        </w:rPr>
        <w:t>circadian clocks</w:t>
      </w:r>
      <w:r w:rsidRPr="00DD74A0">
        <w:rPr>
          <w:lang w:val="en-US"/>
        </w:rPr>
        <w:t xml:space="preserve">, </w:t>
      </w:r>
      <w:r w:rsidRPr="00DD74A0">
        <w:rPr>
          <w:i/>
          <w:iCs/>
          <w:lang w:val="en-US"/>
        </w:rPr>
        <w:t>alveolar epithelial cells</w:t>
      </w:r>
      <w:r w:rsidRPr="00DD74A0">
        <w:rPr>
          <w:lang w:val="en-US"/>
        </w:rPr>
        <w:t xml:space="preserve">, and </w:t>
      </w:r>
      <w:r w:rsidRPr="00DD74A0">
        <w:rPr>
          <w:i/>
          <w:iCs/>
          <w:lang w:val="en-US"/>
        </w:rPr>
        <w:t>influenza A virus</w:t>
      </w:r>
      <w:r w:rsidRPr="00DD74A0">
        <w:rPr>
          <w:lang w:val="en-US"/>
        </w:rPr>
        <w:t xml:space="preserve">, indicating an engagement with chronobiology and infectious disease interactions. Finally, the presence of informatics-oriented terms including </w:t>
      </w:r>
      <w:r w:rsidRPr="00DD74A0">
        <w:rPr>
          <w:i/>
          <w:iCs/>
          <w:lang w:val="en-US"/>
        </w:rPr>
        <w:t>natural language processing</w:t>
      </w:r>
      <w:r w:rsidRPr="00DD74A0">
        <w:rPr>
          <w:lang w:val="en-US"/>
        </w:rPr>
        <w:t xml:space="preserve">, </w:t>
      </w:r>
      <w:r w:rsidRPr="00DD74A0">
        <w:rPr>
          <w:i/>
          <w:iCs/>
          <w:lang w:val="en-US"/>
        </w:rPr>
        <w:t>health information exchange</w:t>
      </w:r>
      <w:r w:rsidRPr="00DD74A0">
        <w:rPr>
          <w:lang w:val="en-US"/>
        </w:rPr>
        <w:t xml:space="preserve">, and </w:t>
      </w:r>
      <w:r w:rsidRPr="00DD74A0">
        <w:rPr>
          <w:i/>
          <w:iCs/>
          <w:lang w:val="en-US"/>
        </w:rPr>
        <w:t>semantic interoperability</w:t>
      </w:r>
      <w:r w:rsidRPr="00DD74A0">
        <w:rPr>
          <w:lang w:val="en-US"/>
        </w:rPr>
        <w:t xml:space="preserve"> highlighted the biobank’s growing integration of digital health and AI-driven tools.</w:t>
      </w:r>
    </w:p>
    <w:p w:rsidR="0038510A" w:rsidRPr="00DD74A0" w:rsidRDefault="0038510A" w:rsidP="00CE080B">
      <w:pPr>
        <w:pStyle w:val="Heading3"/>
        <w:rPr>
          <w:lang w:val="en-US"/>
        </w:rPr>
      </w:pPr>
      <w:r w:rsidRPr="00DD74A0">
        <w:rPr>
          <w:lang w:val="en-US"/>
        </w:rPr>
        <w:t>Million Veteran Program: Molecular Biology and Translational Models</w:t>
      </w:r>
    </w:p>
    <w:p w:rsidR="0038510A" w:rsidRPr="00DD74A0" w:rsidRDefault="0038510A" w:rsidP="00CE080B">
      <w:pPr>
        <w:rPr>
          <w:lang w:val="en-US"/>
        </w:rPr>
      </w:pPr>
      <w:r w:rsidRPr="00DD74A0">
        <w:rPr>
          <w:lang w:val="en-US"/>
        </w:rPr>
        <w:t xml:space="preserve">The MVP showed a distinct translational focus, with clusters </w:t>
      </w:r>
      <w:proofErr w:type="spellStart"/>
      <w:r w:rsidRPr="00DD74A0">
        <w:rPr>
          <w:lang w:val="en-US"/>
        </w:rPr>
        <w:t>centred</w:t>
      </w:r>
      <w:proofErr w:type="spellEnd"/>
      <w:r w:rsidRPr="00DD74A0">
        <w:rPr>
          <w:lang w:val="en-US"/>
        </w:rPr>
        <w:t xml:space="preserve"> on </w:t>
      </w:r>
      <w:r w:rsidRPr="00DD74A0">
        <w:rPr>
          <w:i/>
          <w:iCs/>
          <w:lang w:val="en-US"/>
        </w:rPr>
        <w:t>recombinant proteins</w:t>
      </w:r>
      <w:r w:rsidRPr="00DD74A0">
        <w:rPr>
          <w:lang w:val="en-US"/>
        </w:rPr>
        <w:t xml:space="preserve">, </w:t>
      </w:r>
      <w:r w:rsidRPr="00DD74A0">
        <w:rPr>
          <w:i/>
          <w:iCs/>
          <w:lang w:val="en-US"/>
        </w:rPr>
        <w:t>small interfering RNA</w:t>
      </w:r>
      <w:r w:rsidRPr="00DD74A0">
        <w:rPr>
          <w:lang w:val="en-US"/>
        </w:rPr>
        <w:t xml:space="preserve">, </w:t>
      </w:r>
      <w:r w:rsidRPr="00DD74A0">
        <w:rPr>
          <w:i/>
          <w:iCs/>
          <w:lang w:val="en-US"/>
        </w:rPr>
        <w:t>molecular sequence data</w:t>
      </w:r>
      <w:r w:rsidRPr="00DD74A0">
        <w:rPr>
          <w:lang w:val="en-US"/>
        </w:rPr>
        <w:t xml:space="preserve">, and </w:t>
      </w:r>
      <w:r w:rsidRPr="00DD74A0">
        <w:rPr>
          <w:i/>
          <w:iCs/>
          <w:lang w:val="en-US"/>
        </w:rPr>
        <w:t>transfection</w:t>
      </w:r>
      <w:r w:rsidRPr="00DD74A0">
        <w:rPr>
          <w:lang w:val="en-US"/>
        </w:rPr>
        <w:t xml:space="preserve">. Cardiovascular research was well represented, particularly in connection to </w:t>
      </w:r>
      <w:r w:rsidRPr="00DD74A0">
        <w:rPr>
          <w:i/>
          <w:iCs/>
          <w:lang w:val="en-US"/>
        </w:rPr>
        <w:t>mitral valve disorders</w:t>
      </w:r>
      <w:r w:rsidRPr="00DD74A0">
        <w:rPr>
          <w:lang w:val="en-US"/>
        </w:rPr>
        <w:t xml:space="preserve">, </w:t>
      </w:r>
      <w:r w:rsidRPr="00DD74A0">
        <w:rPr>
          <w:i/>
          <w:iCs/>
          <w:lang w:val="en-US"/>
        </w:rPr>
        <w:t>echocardiography</w:t>
      </w:r>
      <w:r w:rsidRPr="00DD74A0">
        <w:rPr>
          <w:lang w:val="en-US"/>
        </w:rPr>
        <w:t xml:space="preserve">, and </w:t>
      </w:r>
      <w:r w:rsidRPr="00DD74A0">
        <w:rPr>
          <w:i/>
          <w:iCs/>
          <w:lang w:val="en-US"/>
        </w:rPr>
        <w:t>heart valve prosthesis implantation</w:t>
      </w:r>
      <w:r w:rsidRPr="00DD74A0">
        <w:rPr>
          <w:lang w:val="en-US"/>
        </w:rPr>
        <w:t xml:space="preserve">. Several themes involved preclinical animal models, including </w:t>
      </w:r>
      <w:r w:rsidRPr="00DD74A0">
        <w:rPr>
          <w:i/>
          <w:iCs/>
          <w:lang w:val="en-US"/>
        </w:rPr>
        <w:t>rats, Wistar</w:t>
      </w:r>
      <w:r w:rsidRPr="00DD74A0">
        <w:rPr>
          <w:lang w:val="en-US"/>
        </w:rPr>
        <w:t xml:space="preserve">, and </w:t>
      </w:r>
      <w:r w:rsidRPr="00DD74A0">
        <w:rPr>
          <w:i/>
          <w:iCs/>
          <w:lang w:val="en-US"/>
        </w:rPr>
        <w:t>rats, Sprague-Dawley</w:t>
      </w:r>
      <w:r w:rsidRPr="00DD74A0">
        <w:rPr>
          <w:lang w:val="en-US"/>
        </w:rPr>
        <w:t xml:space="preserve">, pointing to a robust body of translational and mechanistic research. Additional areas such as </w:t>
      </w:r>
      <w:r w:rsidRPr="00DD74A0">
        <w:rPr>
          <w:i/>
          <w:iCs/>
          <w:lang w:val="en-US"/>
        </w:rPr>
        <w:t>electric stimulation</w:t>
      </w:r>
      <w:r w:rsidRPr="00DD74A0">
        <w:rPr>
          <w:lang w:val="en-US"/>
        </w:rPr>
        <w:t xml:space="preserve">, </w:t>
      </w:r>
      <w:r w:rsidRPr="00DD74A0">
        <w:rPr>
          <w:i/>
          <w:iCs/>
          <w:lang w:val="en-US"/>
        </w:rPr>
        <w:t>vestibular function</w:t>
      </w:r>
      <w:r w:rsidRPr="00DD74A0">
        <w:rPr>
          <w:lang w:val="en-US"/>
        </w:rPr>
        <w:t xml:space="preserve">, and </w:t>
      </w:r>
      <w:r w:rsidRPr="00DD74A0">
        <w:rPr>
          <w:i/>
          <w:iCs/>
          <w:lang w:val="en-US"/>
        </w:rPr>
        <w:t>prosthesis design</w:t>
      </w:r>
      <w:r w:rsidRPr="00DD74A0">
        <w:rPr>
          <w:lang w:val="en-US"/>
        </w:rPr>
        <w:t xml:space="preserve"> reflect the cohort’s relevance to neurorehabilitation and veteran-specific clinical interventions.</w:t>
      </w:r>
    </w:p>
    <w:p w:rsidR="0038510A" w:rsidRPr="00DD74A0" w:rsidRDefault="0038510A" w:rsidP="00CE080B">
      <w:pPr>
        <w:pStyle w:val="Heading3"/>
        <w:rPr>
          <w:lang w:val="en-US"/>
        </w:rPr>
      </w:pPr>
      <w:proofErr w:type="spellStart"/>
      <w:r w:rsidRPr="00DD74A0">
        <w:rPr>
          <w:lang w:val="en-US"/>
        </w:rPr>
        <w:t>FinnGen</w:t>
      </w:r>
      <w:proofErr w:type="spellEnd"/>
      <w:r w:rsidRPr="00DD74A0">
        <w:rPr>
          <w:lang w:val="en-US"/>
        </w:rPr>
        <w:t>: Genetic Epidemiology and Immune Disorders</w:t>
      </w:r>
    </w:p>
    <w:p w:rsidR="0038510A" w:rsidRPr="00DD74A0" w:rsidRDefault="0038510A" w:rsidP="00CE080B">
      <w:pPr>
        <w:rPr>
          <w:lang w:val="en-US"/>
        </w:rPr>
      </w:pPr>
      <w:proofErr w:type="spellStart"/>
      <w:r w:rsidRPr="00DD74A0">
        <w:rPr>
          <w:lang w:val="en-US"/>
        </w:rPr>
        <w:t>FinnGen's</w:t>
      </w:r>
      <w:proofErr w:type="spellEnd"/>
      <w:r w:rsidRPr="00DD74A0">
        <w:rPr>
          <w:lang w:val="en-US"/>
        </w:rPr>
        <w:t xml:space="preserve"> thematic landscape was dominated by genetic and immunological topics. Key clusters included </w:t>
      </w:r>
      <w:r w:rsidRPr="00DD74A0">
        <w:rPr>
          <w:i/>
          <w:iCs/>
          <w:lang w:val="en-US"/>
        </w:rPr>
        <w:t>Mendelian randomization analysis</w:t>
      </w:r>
      <w:r w:rsidRPr="00DD74A0">
        <w:rPr>
          <w:lang w:val="en-US"/>
        </w:rPr>
        <w:t xml:space="preserve">, </w:t>
      </w:r>
      <w:r w:rsidRPr="00DD74A0">
        <w:rPr>
          <w:i/>
          <w:iCs/>
          <w:lang w:val="en-US"/>
        </w:rPr>
        <w:t>genetic polymorphisms</w:t>
      </w:r>
      <w:r w:rsidRPr="00DD74A0">
        <w:rPr>
          <w:lang w:val="en-US"/>
        </w:rPr>
        <w:t xml:space="preserve">, and </w:t>
      </w:r>
      <w:r w:rsidRPr="00DD74A0">
        <w:rPr>
          <w:i/>
          <w:iCs/>
          <w:lang w:val="en-US"/>
        </w:rPr>
        <w:t>primary immunodeficiency diseases</w:t>
      </w:r>
      <w:r w:rsidRPr="00DD74A0">
        <w:rPr>
          <w:lang w:val="en-US"/>
        </w:rPr>
        <w:t xml:space="preserve">, suggesting a focus on causal inference and rare immune phenotypes. Viral infection pathways also featured prominently, with </w:t>
      </w:r>
      <w:proofErr w:type="spellStart"/>
      <w:r w:rsidRPr="00DD74A0">
        <w:rPr>
          <w:lang w:val="en-US"/>
        </w:rPr>
        <w:t>MeSH</w:t>
      </w:r>
      <w:proofErr w:type="spellEnd"/>
      <w:r w:rsidRPr="00DD74A0">
        <w:rPr>
          <w:lang w:val="en-US"/>
        </w:rPr>
        <w:t xml:space="preserve"> terms related to </w:t>
      </w:r>
      <w:r w:rsidRPr="00DD74A0">
        <w:rPr>
          <w:i/>
          <w:iCs/>
          <w:lang w:val="en-US"/>
        </w:rPr>
        <w:t>cytomegalovirus</w:t>
      </w:r>
      <w:r w:rsidRPr="00DD74A0">
        <w:rPr>
          <w:lang w:val="en-US"/>
        </w:rPr>
        <w:t xml:space="preserve">, </w:t>
      </w:r>
      <w:r w:rsidRPr="00DD74A0">
        <w:rPr>
          <w:i/>
          <w:iCs/>
          <w:lang w:val="en-US"/>
        </w:rPr>
        <w:t>herpes simplex</w:t>
      </w:r>
      <w:r w:rsidRPr="00DD74A0">
        <w:rPr>
          <w:lang w:val="en-US"/>
        </w:rPr>
        <w:t xml:space="preserve">, and </w:t>
      </w:r>
      <w:r w:rsidRPr="00DD74A0">
        <w:rPr>
          <w:i/>
          <w:iCs/>
          <w:lang w:val="en-US"/>
        </w:rPr>
        <w:t>herpes zoster</w:t>
      </w:r>
      <w:r w:rsidRPr="00DD74A0">
        <w:rPr>
          <w:lang w:val="en-US"/>
        </w:rPr>
        <w:t xml:space="preserve">. Additional disease-specific themes, such as </w:t>
      </w:r>
      <w:r w:rsidRPr="00DD74A0">
        <w:rPr>
          <w:i/>
          <w:iCs/>
          <w:lang w:val="en-US"/>
        </w:rPr>
        <w:t>narcolepsy</w:t>
      </w:r>
      <w:r w:rsidRPr="00DD74A0">
        <w:rPr>
          <w:lang w:val="en-US"/>
        </w:rPr>
        <w:t xml:space="preserve"> and </w:t>
      </w:r>
      <w:r w:rsidRPr="00DD74A0">
        <w:rPr>
          <w:i/>
          <w:iCs/>
          <w:lang w:val="en-US"/>
        </w:rPr>
        <w:t>diaphragmatic hernias</w:t>
      </w:r>
      <w:r w:rsidRPr="00DD74A0">
        <w:rPr>
          <w:lang w:val="en-US"/>
        </w:rPr>
        <w:t xml:space="preserve">, coupled with mouse model references (e.g., </w:t>
      </w:r>
      <w:r w:rsidRPr="00DD74A0">
        <w:rPr>
          <w:i/>
          <w:iCs/>
          <w:lang w:val="en-US"/>
        </w:rPr>
        <w:t>inbred NOD</w:t>
      </w:r>
      <w:r w:rsidRPr="00DD74A0">
        <w:rPr>
          <w:lang w:val="en-US"/>
        </w:rPr>
        <w:t xml:space="preserve">, </w:t>
      </w:r>
      <w:r w:rsidRPr="00DD74A0">
        <w:rPr>
          <w:i/>
          <w:iCs/>
          <w:lang w:val="en-US"/>
        </w:rPr>
        <w:t>SCID mice</w:t>
      </w:r>
      <w:r w:rsidRPr="00DD74A0">
        <w:rPr>
          <w:lang w:val="en-US"/>
        </w:rPr>
        <w:t>), indicate strong integration of experimental models with genomic epidemiology.</w:t>
      </w:r>
    </w:p>
    <w:p w:rsidR="0038510A" w:rsidRPr="00DD74A0" w:rsidRDefault="0038510A" w:rsidP="00CE080B">
      <w:pPr>
        <w:pStyle w:val="Heading3"/>
        <w:rPr>
          <w:lang w:val="en-US"/>
        </w:rPr>
      </w:pPr>
      <w:r w:rsidRPr="00DD74A0">
        <w:rPr>
          <w:lang w:val="en-US"/>
        </w:rPr>
        <w:lastRenderedPageBreak/>
        <w:t>All of Us: Health Equity, Services, and Social Themes</w:t>
      </w:r>
    </w:p>
    <w:p w:rsidR="0038510A" w:rsidRPr="00DD74A0" w:rsidRDefault="0038510A" w:rsidP="00CE080B">
      <w:pPr>
        <w:rPr>
          <w:lang w:val="en-US"/>
        </w:rPr>
      </w:pPr>
      <w:r w:rsidRPr="00DD74A0">
        <w:rPr>
          <w:lang w:val="en-US"/>
        </w:rPr>
        <w:t xml:space="preserve">All of Us exhibited a more heterogeneous thematic profile aligned with its diversity and inclusion mission. Clusters included </w:t>
      </w:r>
      <w:r w:rsidRPr="00DD74A0">
        <w:rPr>
          <w:i/>
          <w:iCs/>
          <w:lang w:val="en-US"/>
        </w:rPr>
        <w:t>nursing research</w:t>
      </w:r>
      <w:r w:rsidRPr="00DD74A0">
        <w:rPr>
          <w:lang w:val="en-US"/>
        </w:rPr>
        <w:t xml:space="preserve">, </w:t>
      </w:r>
      <w:r w:rsidRPr="00DD74A0">
        <w:rPr>
          <w:i/>
          <w:iCs/>
          <w:lang w:val="en-US"/>
        </w:rPr>
        <w:t>hospital personnel</w:t>
      </w:r>
      <w:r w:rsidRPr="00DD74A0">
        <w:rPr>
          <w:lang w:val="en-US"/>
        </w:rPr>
        <w:t xml:space="preserve">, </w:t>
      </w:r>
      <w:r w:rsidRPr="00DD74A0">
        <w:rPr>
          <w:i/>
          <w:iCs/>
          <w:lang w:val="en-US"/>
        </w:rPr>
        <w:t>disaster planning</w:t>
      </w:r>
      <w:r w:rsidRPr="00DD74A0">
        <w:rPr>
          <w:lang w:val="en-US"/>
        </w:rPr>
        <w:t xml:space="preserve">, and </w:t>
      </w:r>
      <w:r w:rsidRPr="00DD74A0">
        <w:rPr>
          <w:i/>
          <w:iCs/>
          <w:lang w:val="en-US"/>
        </w:rPr>
        <w:t>health facility closure</w:t>
      </w:r>
      <w:r w:rsidRPr="00DD74A0">
        <w:rPr>
          <w:lang w:val="en-US"/>
        </w:rPr>
        <w:t xml:space="preserve">, pointing to a focus on healthcare delivery and access. Further topics such as </w:t>
      </w:r>
      <w:r w:rsidRPr="00DD74A0">
        <w:rPr>
          <w:i/>
          <w:iCs/>
          <w:lang w:val="en-US"/>
        </w:rPr>
        <w:t>reimbursement mechanisms</w:t>
      </w:r>
      <w:r w:rsidRPr="00DD74A0">
        <w:rPr>
          <w:lang w:val="en-US"/>
        </w:rPr>
        <w:t xml:space="preserve">, </w:t>
      </w:r>
      <w:r w:rsidRPr="00DD74A0">
        <w:rPr>
          <w:i/>
          <w:iCs/>
          <w:lang w:val="en-US"/>
        </w:rPr>
        <w:t>gatekeeping</w:t>
      </w:r>
      <w:r w:rsidRPr="00DD74A0">
        <w:rPr>
          <w:lang w:val="en-US"/>
        </w:rPr>
        <w:t xml:space="preserve">, and </w:t>
      </w:r>
      <w:r w:rsidRPr="00DD74A0">
        <w:rPr>
          <w:i/>
          <w:iCs/>
          <w:lang w:val="en-US"/>
        </w:rPr>
        <w:t>practice management</w:t>
      </w:r>
      <w:r w:rsidRPr="00DD74A0">
        <w:rPr>
          <w:lang w:val="en-US"/>
        </w:rPr>
        <w:t xml:space="preserve"> reflect the biobank’s engagement with systems-level and policy-driven research. Terms related to </w:t>
      </w:r>
      <w:r w:rsidRPr="00DD74A0">
        <w:rPr>
          <w:i/>
          <w:iCs/>
          <w:lang w:val="en-US"/>
        </w:rPr>
        <w:t>consumer product safety</w:t>
      </w:r>
      <w:r w:rsidRPr="00DD74A0">
        <w:rPr>
          <w:lang w:val="en-US"/>
        </w:rPr>
        <w:t xml:space="preserve">, </w:t>
      </w:r>
      <w:r w:rsidRPr="00DD74A0">
        <w:rPr>
          <w:i/>
          <w:iCs/>
          <w:lang w:val="en-US"/>
        </w:rPr>
        <w:t>biotechnology</w:t>
      </w:r>
      <w:r w:rsidRPr="00DD74A0">
        <w:rPr>
          <w:lang w:val="en-US"/>
        </w:rPr>
        <w:t xml:space="preserve">, and </w:t>
      </w:r>
      <w:r w:rsidRPr="00DD74A0">
        <w:rPr>
          <w:i/>
          <w:iCs/>
          <w:lang w:val="en-US"/>
        </w:rPr>
        <w:t>genetically modified foods</w:t>
      </w:r>
      <w:r w:rsidRPr="00DD74A0">
        <w:rPr>
          <w:lang w:val="en-US"/>
        </w:rPr>
        <w:t xml:space="preserve"> highlighted public health and environmental interfaces. Interestingly, a unique thematic presence of </w:t>
      </w:r>
      <w:r w:rsidRPr="00DD74A0">
        <w:rPr>
          <w:i/>
          <w:iCs/>
          <w:lang w:val="en-US"/>
        </w:rPr>
        <w:t>psychoanalytic theory</w:t>
      </w:r>
      <w:r w:rsidRPr="00DD74A0">
        <w:rPr>
          <w:lang w:val="en-US"/>
        </w:rPr>
        <w:t xml:space="preserve"> and </w:t>
      </w:r>
      <w:r w:rsidRPr="00DD74A0">
        <w:rPr>
          <w:i/>
          <w:iCs/>
          <w:lang w:val="en-US"/>
        </w:rPr>
        <w:t>historical analysis</w:t>
      </w:r>
      <w:r w:rsidRPr="00DD74A0">
        <w:rPr>
          <w:lang w:val="en-US"/>
        </w:rPr>
        <w:t xml:space="preserve"> marked this biobank’s broader sociocultural and interdisciplinary reach.</w:t>
      </w:r>
    </w:p>
    <w:p w:rsidR="0038510A" w:rsidRPr="00DD74A0" w:rsidRDefault="0038510A" w:rsidP="00CE080B">
      <w:pPr>
        <w:pStyle w:val="Heading3"/>
        <w:rPr>
          <w:lang w:val="en-US"/>
        </w:rPr>
      </w:pPr>
      <w:r w:rsidRPr="00DD74A0">
        <w:rPr>
          <w:lang w:val="en-US"/>
        </w:rPr>
        <w:t>Estonian Biobank: Gene Regulation and Population-Specific Focus</w:t>
      </w:r>
    </w:p>
    <w:p w:rsidR="0038510A" w:rsidRPr="00DD74A0" w:rsidRDefault="0038510A" w:rsidP="00CE080B">
      <w:pPr>
        <w:rPr>
          <w:lang w:val="en-US"/>
        </w:rPr>
      </w:pPr>
      <w:r w:rsidRPr="00DD74A0">
        <w:rPr>
          <w:lang w:val="en-US"/>
        </w:rPr>
        <w:t xml:space="preserve">Themes associated with the Estonian Biobank were distinctly oriented toward gene regulation and regional health priorities. Publications frequently referenced </w:t>
      </w:r>
      <w:r w:rsidRPr="00DD74A0">
        <w:rPr>
          <w:i/>
          <w:iCs/>
          <w:lang w:val="en-US"/>
        </w:rPr>
        <w:t>methyltransferases</w:t>
      </w:r>
      <w:r w:rsidRPr="00DD74A0">
        <w:rPr>
          <w:lang w:val="en-US"/>
        </w:rPr>
        <w:t xml:space="preserve">, </w:t>
      </w:r>
      <w:r w:rsidRPr="00DD74A0">
        <w:rPr>
          <w:i/>
          <w:iCs/>
          <w:lang w:val="en-US"/>
        </w:rPr>
        <w:t>s-adenosylmethionine</w:t>
      </w:r>
      <w:r w:rsidRPr="00DD74A0">
        <w:rPr>
          <w:lang w:val="en-US"/>
        </w:rPr>
        <w:t xml:space="preserve">, </w:t>
      </w:r>
      <w:r w:rsidRPr="00DD74A0">
        <w:rPr>
          <w:i/>
          <w:iCs/>
          <w:lang w:val="en-US"/>
        </w:rPr>
        <w:t>CCAAT-enhancer-binding proteins</w:t>
      </w:r>
      <w:r w:rsidRPr="00DD74A0">
        <w:rPr>
          <w:lang w:val="en-US"/>
        </w:rPr>
        <w:t xml:space="preserve">, and </w:t>
      </w:r>
      <w:r w:rsidRPr="00DD74A0">
        <w:rPr>
          <w:i/>
          <w:iCs/>
          <w:lang w:val="en-US"/>
        </w:rPr>
        <w:t>GATA2</w:t>
      </w:r>
      <w:r w:rsidRPr="00DD74A0">
        <w:rPr>
          <w:lang w:val="en-US"/>
        </w:rPr>
        <w:t xml:space="preserve">, reflecting an emphasis on transcriptional regulation and gene expression profiling. Another cluster addressed </w:t>
      </w:r>
      <w:r w:rsidRPr="00DD74A0">
        <w:rPr>
          <w:i/>
          <w:iCs/>
          <w:lang w:val="en-US"/>
        </w:rPr>
        <w:t>hereditary breast and ovarian cancer syndromes</w:t>
      </w:r>
      <w:r w:rsidRPr="00DD74A0">
        <w:rPr>
          <w:lang w:val="en-US"/>
        </w:rPr>
        <w:t xml:space="preserve">, including terms such as </w:t>
      </w:r>
      <w:r w:rsidRPr="00DD74A0">
        <w:rPr>
          <w:i/>
          <w:iCs/>
          <w:lang w:val="en-US"/>
        </w:rPr>
        <w:t>BRCA2</w:t>
      </w:r>
      <w:r w:rsidRPr="00DD74A0">
        <w:rPr>
          <w:lang w:val="en-US"/>
        </w:rPr>
        <w:t xml:space="preserve"> and </w:t>
      </w:r>
      <w:r w:rsidRPr="00DD74A0">
        <w:rPr>
          <w:i/>
          <w:iCs/>
          <w:lang w:val="en-US"/>
        </w:rPr>
        <w:t>truth disclosure</w:t>
      </w:r>
      <w:r w:rsidRPr="00DD74A0">
        <w:rPr>
          <w:lang w:val="en-US"/>
        </w:rPr>
        <w:t xml:space="preserve">, highlighting engagement with ethical and preventive aspects of genomic medicine. Infectious disease themes, particularly </w:t>
      </w:r>
      <w:r w:rsidRPr="00DD74A0">
        <w:rPr>
          <w:i/>
          <w:iCs/>
          <w:lang w:val="en-US"/>
        </w:rPr>
        <w:t>Lyme disease</w:t>
      </w:r>
      <w:r w:rsidRPr="00DD74A0">
        <w:rPr>
          <w:lang w:val="en-US"/>
        </w:rPr>
        <w:t xml:space="preserve">, </w:t>
      </w:r>
      <w:proofErr w:type="spellStart"/>
      <w:r w:rsidRPr="00DD74A0">
        <w:rPr>
          <w:i/>
          <w:iCs/>
          <w:lang w:val="en-US"/>
        </w:rPr>
        <w:t>alphapapillomavirus</w:t>
      </w:r>
      <w:proofErr w:type="spellEnd"/>
      <w:r w:rsidRPr="00DD74A0">
        <w:rPr>
          <w:lang w:val="en-US"/>
        </w:rPr>
        <w:t xml:space="preserve">, and </w:t>
      </w:r>
      <w:r w:rsidRPr="00DD74A0">
        <w:rPr>
          <w:i/>
          <w:iCs/>
          <w:lang w:val="en-US"/>
        </w:rPr>
        <w:t>Borrelia burgdorferi</w:t>
      </w:r>
      <w:r w:rsidRPr="00DD74A0">
        <w:rPr>
          <w:lang w:val="en-US"/>
        </w:rPr>
        <w:t xml:space="preserve">, were also prevalent, aligning with local epidemiological concerns. The recurring appearance of the term </w:t>
      </w:r>
      <w:r w:rsidRPr="00DD74A0">
        <w:rPr>
          <w:i/>
          <w:iCs/>
          <w:lang w:val="en-US"/>
        </w:rPr>
        <w:t>Estonia</w:t>
      </w:r>
      <w:r w:rsidRPr="00DD74A0">
        <w:rPr>
          <w:lang w:val="en-US"/>
        </w:rPr>
        <w:t xml:space="preserve"> points to studies grounded in national identity and population-specific outcomes.</w:t>
      </w:r>
    </w:p>
    <w:p w:rsidR="0038510A" w:rsidRPr="00DD74A0" w:rsidRDefault="0038510A" w:rsidP="00CE080B">
      <w:pPr>
        <w:pStyle w:val="Heading2"/>
        <w:rPr>
          <w:lang w:val="en-US"/>
        </w:rPr>
      </w:pPr>
      <w:r w:rsidRPr="00DD74A0">
        <w:rPr>
          <w:lang w:val="en-US"/>
        </w:rPr>
        <w:t>Visualization of Thematic Patterns</w:t>
      </w:r>
    </w:p>
    <w:p w:rsidR="0038510A" w:rsidRPr="00DD74A0" w:rsidRDefault="0038510A" w:rsidP="00CE080B">
      <w:pPr>
        <w:rPr>
          <w:lang w:val="en-US"/>
        </w:rPr>
      </w:pPr>
      <w:r w:rsidRPr="00DD74A0">
        <w:rPr>
          <w:lang w:val="en-US"/>
        </w:rPr>
        <w:t xml:space="preserve">To </w:t>
      </w:r>
      <w:proofErr w:type="spellStart"/>
      <w:r w:rsidRPr="00DD74A0">
        <w:rPr>
          <w:lang w:val="en-US"/>
        </w:rPr>
        <w:t>summarise</w:t>
      </w:r>
      <w:proofErr w:type="spellEnd"/>
      <w:r w:rsidRPr="00DD74A0">
        <w:rPr>
          <w:lang w:val="en-US"/>
        </w:rPr>
        <w:t xml:space="preserve"> these thematic patterns, a heatmap of the thirty most frequently occurring </w:t>
      </w:r>
      <w:proofErr w:type="spellStart"/>
      <w:r w:rsidRPr="00DD74A0">
        <w:rPr>
          <w:lang w:val="en-US"/>
        </w:rPr>
        <w:t>MeSH</w:t>
      </w:r>
      <w:proofErr w:type="spellEnd"/>
      <w:r w:rsidRPr="00DD74A0">
        <w:rPr>
          <w:lang w:val="en-US"/>
        </w:rPr>
        <w:t xml:space="preserve"> terms across biobanks is presented in Figure 1. </w:t>
      </w:r>
      <w:proofErr w:type="gramStart"/>
      <w:r w:rsidRPr="00DD74A0">
        <w:rPr>
          <w:lang w:val="en-US"/>
        </w:rPr>
        <w:t>This highlights</w:t>
      </w:r>
      <w:proofErr w:type="gramEnd"/>
      <w:r w:rsidRPr="00DD74A0">
        <w:rPr>
          <w:lang w:val="en-US"/>
        </w:rPr>
        <w:t xml:space="preserve"> both commonalities and areas of concentrated activity unique to specific cohorts. Supplementary Figures 1–5 feature word clouds for each biobank, offering a lexical overview of dominant research topics and their relative prominence. These visualizations collectively illustrate the conceptual landscapes that have emerged from the global ecosystem of EHR-linked biobanks.</w:t>
      </w:r>
    </w:p>
    <w:p w:rsidR="0038510A" w:rsidRPr="00DD74A0" w:rsidRDefault="0038510A" w:rsidP="00CE080B">
      <w:pPr>
        <w:rPr>
          <w:lang w:val="en-US"/>
        </w:rPr>
      </w:pPr>
    </w:p>
    <w:sectPr w:rsidR="0038510A" w:rsidRPr="00DD74A0" w:rsidSect="002A197B">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52259"/>
    <w:multiLevelType w:val="multilevel"/>
    <w:tmpl w:val="B3BA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6629F"/>
    <w:multiLevelType w:val="multilevel"/>
    <w:tmpl w:val="5BE03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EC3438"/>
    <w:multiLevelType w:val="multilevel"/>
    <w:tmpl w:val="248C5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F21D7E"/>
    <w:multiLevelType w:val="multilevel"/>
    <w:tmpl w:val="5726A9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735083"/>
    <w:multiLevelType w:val="hybridMultilevel"/>
    <w:tmpl w:val="CF3A5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8C12E5"/>
    <w:multiLevelType w:val="multilevel"/>
    <w:tmpl w:val="43D0E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4F1CB4"/>
    <w:multiLevelType w:val="multilevel"/>
    <w:tmpl w:val="C0A0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B51039"/>
    <w:multiLevelType w:val="multilevel"/>
    <w:tmpl w:val="FA80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1E4A91"/>
    <w:multiLevelType w:val="multilevel"/>
    <w:tmpl w:val="3F9005BC"/>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BC23FD"/>
    <w:multiLevelType w:val="multilevel"/>
    <w:tmpl w:val="B34E6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907A5A"/>
    <w:multiLevelType w:val="multilevel"/>
    <w:tmpl w:val="3F9005BC"/>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1C4C39"/>
    <w:multiLevelType w:val="multilevel"/>
    <w:tmpl w:val="DA0EF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A555DB"/>
    <w:multiLevelType w:val="multilevel"/>
    <w:tmpl w:val="FFA40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342305"/>
    <w:multiLevelType w:val="multilevel"/>
    <w:tmpl w:val="39442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050AA3"/>
    <w:multiLevelType w:val="hybridMultilevel"/>
    <w:tmpl w:val="95AEC8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CA6BFB"/>
    <w:multiLevelType w:val="multilevel"/>
    <w:tmpl w:val="3F9005BC"/>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AB79EA"/>
    <w:multiLevelType w:val="multilevel"/>
    <w:tmpl w:val="B4E413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B25E24"/>
    <w:multiLevelType w:val="multilevel"/>
    <w:tmpl w:val="B172F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FB6AAA"/>
    <w:multiLevelType w:val="multilevel"/>
    <w:tmpl w:val="6FFC9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1096350"/>
    <w:multiLevelType w:val="multilevel"/>
    <w:tmpl w:val="7E74C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240A39"/>
    <w:multiLevelType w:val="multilevel"/>
    <w:tmpl w:val="D3C0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A6734D"/>
    <w:multiLevelType w:val="hybridMultilevel"/>
    <w:tmpl w:val="20D27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674097E"/>
    <w:multiLevelType w:val="multilevel"/>
    <w:tmpl w:val="8A988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2"/>
  </w:num>
  <w:num w:numId="3">
    <w:abstractNumId w:val="3"/>
  </w:num>
  <w:num w:numId="4">
    <w:abstractNumId w:val="18"/>
  </w:num>
  <w:num w:numId="5">
    <w:abstractNumId w:val="11"/>
  </w:num>
  <w:num w:numId="6">
    <w:abstractNumId w:val="20"/>
  </w:num>
  <w:num w:numId="7">
    <w:abstractNumId w:val="17"/>
  </w:num>
  <w:num w:numId="8">
    <w:abstractNumId w:val="16"/>
  </w:num>
  <w:num w:numId="9">
    <w:abstractNumId w:val="12"/>
  </w:num>
  <w:num w:numId="10">
    <w:abstractNumId w:val="22"/>
  </w:num>
  <w:num w:numId="11">
    <w:abstractNumId w:val="4"/>
  </w:num>
  <w:num w:numId="12">
    <w:abstractNumId w:val="21"/>
  </w:num>
  <w:num w:numId="13">
    <w:abstractNumId w:val="10"/>
  </w:num>
  <w:num w:numId="14">
    <w:abstractNumId w:val="8"/>
  </w:num>
  <w:num w:numId="15">
    <w:abstractNumId w:val="6"/>
  </w:num>
  <w:num w:numId="16">
    <w:abstractNumId w:val="0"/>
  </w:num>
  <w:num w:numId="17">
    <w:abstractNumId w:val="13"/>
  </w:num>
  <w:num w:numId="18">
    <w:abstractNumId w:val="19"/>
  </w:num>
  <w:num w:numId="19">
    <w:abstractNumId w:val="15"/>
  </w:num>
  <w:num w:numId="20">
    <w:abstractNumId w:val="14"/>
  </w:num>
  <w:num w:numId="21">
    <w:abstractNumId w:val="1"/>
  </w:num>
  <w:num w:numId="22">
    <w:abstractNumId w:val="5"/>
  </w:num>
  <w:num w:numId="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46A"/>
    <w:rsid w:val="000C0333"/>
    <w:rsid w:val="002A197B"/>
    <w:rsid w:val="0038510A"/>
    <w:rsid w:val="00424C6E"/>
    <w:rsid w:val="004911BF"/>
    <w:rsid w:val="0083280A"/>
    <w:rsid w:val="008742FA"/>
    <w:rsid w:val="009C046A"/>
    <w:rsid w:val="00B72A55"/>
    <w:rsid w:val="00CE080B"/>
    <w:rsid w:val="00DD74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4D53197"/>
  <w15:chartTrackingRefBased/>
  <w15:docId w15:val="{33B8E620-9FEC-1945-A1B3-81F6DFE4E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742FA"/>
    <w:pPr>
      <w:jc w:val="both"/>
    </w:pPr>
    <w:rPr>
      <w:rFonts w:eastAsia="Times New Roman" w:cs="Times New Roman"/>
    </w:rPr>
  </w:style>
  <w:style w:type="paragraph" w:styleId="Heading1">
    <w:name w:val="heading 1"/>
    <w:basedOn w:val="Normal"/>
    <w:next w:val="Normal"/>
    <w:link w:val="Heading1Char"/>
    <w:uiPriority w:val="9"/>
    <w:qFormat/>
    <w:rsid w:val="004911BF"/>
    <w:pPr>
      <w:keepNext/>
      <w:keepLines/>
      <w:spacing w:before="240"/>
      <w:outlineLvl w:val="0"/>
    </w:pPr>
    <w:rPr>
      <w:rFonts w:asciiTheme="majorHAnsi" w:eastAsiaTheme="majorEastAsia" w:hAnsiTheme="majorHAnsi" w:cstheme="majorBidi"/>
      <w:b/>
      <w:sz w:val="36"/>
      <w:szCs w:val="32"/>
    </w:rPr>
  </w:style>
  <w:style w:type="paragraph" w:styleId="Heading2">
    <w:name w:val="heading 2"/>
    <w:basedOn w:val="Normal"/>
    <w:link w:val="Heading2Char"/>
    <w:uiPriority w:val="9"/>
    <w:qFormat/>
    <w:rsid w:val="00CE080B"/>
    <w:pPr>
      <w:spacing w:before="100" w:beforeAutospacing="1" w:after="100" w:afterAutospacing="1"/>
      <w:outlineLvl w:val="1"/>
    </w:pPr>
    <w:rPr>
      <w:rFonts w:asciiTheme="majorHAnsi" w:hAnsiTheme="majorHAnsi"/>
      <w:b/>
      <w:bCs/>
      <w:sz w:val="28"/>
      <w:szCs w:val="36"/>
    </w:rPr>
  </w:style>
  <w:style w:type="paragraph" w:styleId="Heading3">
    <w:name w:val="heading 3"/>
    <w:basedOn w:val="Normal"/>
    <w:link w:val="Heading3Char"/>
    <w:uiPriority w:val="9"/>
    <w:qFormat/>
    <w:rsid w:val="00CE080B"/>
    <w:pPr>
      <w:spacing w:before="100" w:beforeAutospacing="1" w:after="100" w:afterAutospacing="1"/>
      <w:outlineLvl w:val="2"/>
    </w:pPr>
    <w:rPr>
      <w:rFonts w:asciiTheme="majorHAnsi" w:hAnsiTheme="majorHAnsi"/>
      <w:b/>
      <w:bCs/>
      <w:szCs w:val="27"/>
    </w:rPr>
  </w:style>
  <w:style w:type="paragraph" w:styleId="Heading4">
    <w:name w:val="heading 4"/>
    <w:basedOn w:val="Normal"/>
    <w:link w:val="Heading4Char"/>
    <w:uiPriority w:val="9"/>
    <w:qFormat/>
    <w:rsid w:val="0038510A"/>
    <w:pPr>
      <w:spacing w:before="100" w:beforeAutospacing="1" w:after="100" w:afterAutospacing="1"/>
      <w:outlineLvl w:val="3"/>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8510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510A"/>
    <w:rPr>
      <w:rFonts w:asciiTheme="majorHAnsi" w:eastAsiaTheme="majorEastAsia" w:hAnsiTheme="majorHAnsi" w:cstheme="majorBidi"/>
      <w:spacing w:val="-10"/>
      <w:kern w:val="28"/>
      <w:sz w:val="56"/>
      <w:szCs w:val="56"/>
      <w:lang w:val="en-US"/>
    </w:rPr>
  </w:style>
  <w:style w:type="character" w:customStyle="1" w:styleId="Heading1Char">
    <w:name w:val="Heading 1 Char"/>
    <w:basedOn w:val="DefaultParagraphFont"/>
    <w:link w:val="Heading1"/>
    <w:uiPriority w:val="9"/>
    <w:rsid w:val="004911BF"/>
    <w:rPr>
      <w:rFonts w:asciiTheme="majorHAnsi" w:eastAsiaTheme="majorEastAsia" w:hAnsiTheme="majorHAnsi" w:cstheme="majorBidi"/>
      <w:b/>
      <w:sz w:val="36"/>
      <w:szCs w:val="32"/>
    </w:rPr>
  </w:style>
  <w:style w:type="character" w:customStyle="1" w:styleId="Heading2Char">
    <w:name w:val="Heading 2 Char"/>
    <w:basedOn w:val="DefaultParagraphFont"/>
    <w:link w:val="Heading2"/>
    <w:uiPriority w:val="9"/>
    <w:rsid w:val="00CE080B"/>
    <w:rPr>
      <w:rFonts w:asciiTheme="majorHAnsi" w:eastAsia="Times New Roman" w:hAnsiTheme="majorHAnsi" w:cs="Times New Roman"/>
      <w:b/>
      <w:bCs/>
      <w:sz w:val="28"/>
      <w:szCs w:val="36"/>
    </w:rPr>
  </w:style>
  <w:style w:type="character" w:customStyle="1" w:styleId="Heading3Char">
    <w:name w:val="Heading 3 Char"/>
    <w:basedOn w:val="DefaultParagraphFont"/>
    <w:link w:val="Heading3"/>
    <w:uiPriority w:val="9"/>
    <w:rsid w:val="00CE080B"/>
    <w:rPr>
      <w:rFonts w:asciiTheme="majorHAnsi" w:eastAsia="Times New Roman" w:hAnsiTheme="majorHAnsi" w:cs="Times New Roman"/>
      <w:b/>
      <w:bCs/>
      <w:szCs w:val="27"/>
    </w:rPr>
  </w:style>
  <w:style w:type="character" w:customStyle="1" w:styleId="Heading4Char">
    <w:name w:val="Heading 4 Char"/>
    <w:basedOn w:val="DefaultParagraphFont"/>
    <w:link w:val="Heading4"/>
    <w:uiPriority w:val="9"/>
    <w:rsid w:val="0038510A"/>
    <w:rPr>
      <w:rFonts w:ascii="Times New Roman" w:eastAsia="Times New Roman" w:hAnsi="Times New Roman" w:cs="Times New Roman"/>
      <w:b/>
      <w:bCs/>
    </w:rPr>
  </w:style>
  <w:style w:type="character" w:styleId="Emphasis">
    <w:name w:val="Emphasis"/>
    <w:basedOn w:val="DefaultParagraphFont"/>
    <w:uiPriority w:val="20"/>
    <w:qFormat/>
    <w:rsid w:val="0038510A"/>
    <w:rPr>
      <w:i/>
      <w:iCs/>
    </w:rPr>
  </w:style>
  <w:style w:type="paragraph" w:styleId="NormalWeb">
    <w:name w:val="Normal (Web)"/>
    <w:basedOn w:val="Normal"/>
    <w:uiPriority w:val="99"/>
    <w:unhideWhenUsed/>
    <w:rsid w:val="004911BF"/>
    <w:pPr>
      <w:spacing w:before="100" w:beforeAutospacing="1" w:after="100" w:afterAutospacing="1"/>
    </w:pPr>
    <w:rPr>
      <w:rFonts w:ascii="Times New Roman" w:hAnsi="Times New Roman"/>
    </w:rPr>
  </w:style>
  <w:style w:type="character" w:styleId="Strong">
    <w:name w:val="Strong"/>
    <w:basedOn w:val="DefaultParagraphFont"/>
    <w:uiPriority w:val="22"/>
    <w:qFormat/>
    <w:rsid w:val="004911BF"/>
    <w:rPr>
      <w:b/>
      <w:bCs/>
    </w:rPr>
  </w:style>
  <w:style w:type="paragraph" w:styleId="ListParagraph">
    <w:name w:val="List Paragraph"/>
    <w:basedOn w:val="Normal"/>
    <w:uiPriority w:val="34"/>
    <w:qFormat/>
    <w:rsid w:val="008742FA"/>
    <w:pPr>
      <w:ind w:left="720"/>
      <w:contextualSpacing/>
    </w:pPr>
  </w:style>
  <w:style w:type="paragraph" w:customStyle="1" w:styleId="whitespace-pre-wrap">
    <w:name w:val="whitespace-pre-wrap"/>
    <w:basedOn w:val="Normal"/>
    <w:rsid w:val="00B72A55"/>
    <w:pPr>
      <w:spacing w:before="100" w:beforeAutospacing="1" w:after="100" w:afterAutospacing="1"/>
      <w:jc w:val="left"/>
    </w:pPr>
    <w:rPr>
      <w:rFonts w:ascii="Times New Roman" w:hAnsi="Times New Roman"/>
    </w:rPr>
  </w:style>
  <w:style w:type="paragraph" w:customStyle="1" w:styleId="whitespace-normal">
    <w:name w:val="whitespace-normal"/>
    <w:basedOn w:val="Normal"/>
    <w:rsid w:val="00B72A55"/>
    <w:pPr>
      <w:spacing w:before="100" w:beforeAutospacing="1" w:after="100" w:afterAutospacing="1"/>
      <w:jc w:val="left"/>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5576723">
      <w:bodyDiv w:val="1"/>
      <w:marLeft w:val="0"/>
      <w:marRight w:val="0"/>
      <w:marTop w:val="0"/>
      <w:marBottom w:val="0"/>
      <w:divBdr>
        <w:top w:val="none" w:sz="0" w:space="0" w:color="auto"/>
        <w:left w:val="none" w:sz="0" w:space="0" w:color="auto"/>
        <w:bottom w:val="none" w:sz="0" w:space="0" w:color="auto"/>
        <w:right w:val="none" w:sz="0" w:space="0" w:color="auto"/>
      </w:divBdr>
    </w:div>
    <w:div w:id="937060740">
      <w:bodyDiv w:val="1"/>
      <w:marLeft w:val="0"/>
      <w:marRight w:val="0"/>
      <w:marTop w:val="0"/>
      <w:marBottom w:val="0"/>
      <w:divBdr>
        <w:top w:val="none" w:sz="0" w:space="0" w:color="auto"/>
        <w:left w:val="none" w:sz="0" w:space="0" w:color="auto"/>
        <w:bottom w:val="none" w:sz="0" w:space="0" w:color="auto"/>
        <w:right w:val="none" w:sz="0" w:space="0" w:color="auto"/>
      </w:divBdr>
    </w:div>
    <w:div w:id="939068703">
      <w:bodyDiv w:val="1"/>
      <w:marLeft w:val="0"/>
      <w:marRight w:val="0"/>
      <w:marTop w:val="0"/>
      <w:marBottom w:val="0"/>
      <w:divBdr>
        <w:top w:val="none" w:sz="0" w:space="0" w:color="auto"/>
        <w:left w:val="none" w:sz="0" w:space="0" w:color="auto"/>
        <w:bottom w:val="none" w:sz="0" w:space="0" w:color="auto"/>
        <w:right w:val="none" w:sz="0" w:space="0" w:color="auto"/>
      </w:divBdr>
    </w:div>
    <w:div w:id="1123156429">
      <w:bodyDiv w:val="1"/>
      <w:marLeft w:val="0"/>
      <w:marRight w:val="0"/>
      <w:marTop w:val="0"/>
      <w:marBottom w:val="0"/>
      <w:divBdr>
        <w:top w:val="none" w:sz="0" w:space="0" w:color="auto"/>
        <w:left w:val="none" w:sz="0" w:space="0" w:color="auto"/>
        <w:bottom w:val="none" w:sz="0" w:space="0" w:color="auto"/>
        <w:right w:val="none" w:sz="0" w:space="0" w:color="auto"/>
      </w:divBdr>
    </w:div>
    <w:div w:id="1383820437">
      <w:bodyDiv w:val="1"/>
      <w:marLeft w:val="0"/>
      <w:marRight w:val="0"/>
      <w:marTop w:val="0"/>
      <w:marBottom w:val="0"/>
      <w:divBdr>
        <w:top w:val="none" w:sz="0" w:space="0" w:color="auto"/>
        <w:left w:val="none" w:sz="0" w:space="0" w:color="auto"/>
        <w:bottom w:val="none" w:sz="0" w:space="0" w:color="auto"/>
        <w:right w:val="none" w:sz="0" w:space="0" w:color="auto"/>
      </w:divBdr>
    </w:div>
    <w:div w:id="1652825083">
      <w:bodyDiv w:val="1"/>
      <w:marLeft w:val="0"/>
      <w:marRight w:val="0"/>
      <w:marTop w:val="0"/>
      <w:marBottom w:val="0"/>
      <w:divBdr>
        <w:top w:val="none" w:sz="0" w:space="0" w:color="auto"/>
        <w:left w:val="none" w:sz="0" w:space="0" w:color="auto"/>
        <w:bottom w:val="none" w:sz="0" w:space="0" w:color="auto"/>
        <w:right w:val="none" w:sz="0" w:space="0" w:color="auto"/>
      </w:divBdr>
    </w:div>
    <w:div w:id="1739016234">
      <w:bodyDiv w:val="1"/>
      <w:marLeft w:val="0"/>
      <w:marRight w:val="0"/>
      <w:marTop w:val="0"/>
      <w:marBottom w:val="0"/>
      <w:divBdr>
        <w:top w:val="none" w:sz="0" w:space="0" w:color="auto"/>
        <w:left w:val="none" w:sz="0" w:space="0" w:color="auto"/>
        <w:bottom w:val="none" w:sz="0" w:space="0" w:color="auto"/>
        <w:right w:val="none" w:sz="0" w:space="0" w:color="auto"/>
      </w:divBdr>
    </w:div>
    <w:div w:id="1884439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5</Pages>
  <Words>1965</Words>
  <Characters>11207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dcterms:created xsi:type="dcterms:W3CDTF">2025-05-03T17:18:00Z</dcterms:created>
  <dcterms:modified xsi:type="dcterms:W3CDTF">2025-05-06T06:48:00Z</dcterms:modified>
</cp:coreProperties>
</file>