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CCE67" w14:textId="2E76D985" w:rsidR="00E51026" w:rsidRPr="005216D8" w:rsidRDefault="00CD62D8" w:rsidP="005875FC">
      <w:pPr>
        <w:pStyle w:val="Heading1"/>
        <w:rPr>
          <w:lang w:val="en-GB"/>
        </w:rPr>
      </w:pPr>
      <w:bookmarkStart w:id="0" w:name="OLE_LINK37"/>
      <w:bookmarkStart w:id="1" w:name="OLE_LINK38"/>
      <w:r>
        <w:rPr>
          <w:lang w:val="en-GB"/>
        </w:rPr>
        <w:t>T</w:t>
      </w:r>
      <w:r w:rsidR="00664D19" w:rsidRPr="00664D19">
        <w:rPr>
          <w:lang w:val="en-GB"/>
        </w:rPr>
        <w:t xml:space="preserve">he Research Footprint of Global </w:t>
      </w:r>
      <w:r w:rsidR="005875FC" w:rsidRPr="005875FC">
        <w:rPr>
          <w:lang w:val="en-GB"/>
        </w:rPr>
        <w:t xml:space="preserve">EHR-Linked </w:t>
      </w:r>
      <w:r w:rsidR="00664D19" w:rsidRPr="00664D19">
        <w:rPr>
          <w:lang w:val="en-GB"/>
        </w:rPr>
        <w:t>Biobank</w:t>
      </w:r>
      <w:r w:rsidR="00A55FB9">
        <w:rPr>
          <w:lang w:val="en-GB"/>
        </w:rPr>
        <w:t>s</w:t>
      </w:r>
    </w:p>
    <w:bookmarkEnd w:id="0"/>
    <w:bookmarkEnd w:id="1"/>
    <w:p w14:paraId="7E7FED04" w14:textId="4EBA9D79" w:rsidR="007B455F" w:rsidRPr="00522C53" w:rsidRDefault="00CD0AEE" w:rsidP="007B455F">
      <w:r w:rsidRPr="00522C53">
        <w:t>Manuel Corpas</w:t>
      </w:r>
      <w:r w:rsidR="00CA69CF" w:rsidRPr="00522C53">
        <w:rPr>
          <w:vertAlign w:val="superscript"/>
        </w:rPr>
        <w:t>1,2</w:t>
      </w:r>
      <w:r w:rsidR="00DC7A29" w:rsidRPr="00522C53">
        <w:rPr>
          <w:vertAlign w:val="superscript"/>
        </w:rPr>
        <w:t>,3</w:t>
      </w:r>
      <w:r w:rsidR="004777D9" w:rsidRPr="00522C53">
        <w:rPr>
          <w:vertAlign w:val="superscript"/>
        </w:rPr>
        <w:t>,4</w:t>
      </w:r>
      <w:r w:rsidRPr="00522C53">
        <w:t xml:space="preserve">, </w:t>
      </w:r>
      <w:proofErr w:type="spellStart"/>
      <w:r w:rsidR="00520559">
        <w:t>Oyesola</w:t>
      </w:r>
      <w:proofErr w:type="spellEnd"/>
      <w:r w:rsidR="00520559">
        <w:t xml:space="preserve"> Ojewunmi</w:t>
      </w:r>
      <w:r w:rsidR="00520559" w:rsidRPr="00085AFE">
        <w:rPr>
          <w:vertAlign w:val="superscript"/>
        </w:rPr>
        <w:t>5</w:t>
      </w:r>
      <w:r w:rsidR="00520559">
        <w:t xml:space="preserve">, </w:t>
      </w:r>
      <w:proofErr w:type="spellStart"/>
      <w:r w:rsidR="00085AFE">
        <w:t>Heinner</w:t>
      </w:r>
      <w:proofErr w:type="spellEnd"/>
      <w:r w:rsidR="00085AFE">
        <w:t xml:space="preserve"> Guio</w:t>
      </w:r>
      <w:r w:rsidR="00520559">
        <w:rPr>
          <w:vertAlign w:val="superscript"/>
        </w:rPr>
        <w:t>6</w:t>
      </w:r>
      <w:r w:rsidR="00085AFE">
        <w:t xml:space="preserve">, </w:t>
      </w:r>
      <w:r w:rsidR="005216D8">
        <w:t>Segun Fatumo</w:t>
      </w:r>
      <w:r w:rsidR="00520559">
        <w:rPr>
          <w:vertAlign w:val="superscript"/>
        </w:rPr>
        <w:t>5</w:t>
      </w:r>
      <w:r w:rsidR="005216D8" w:rsidRPr="005216D8">
        <w:rPr>
          <w:vertAlign w:val="superscript"/>
        </w:rPr>
        <w:t>,</w:t>
      </w:r>
      <w:r w:rsidR="00085AFE">
        <w:rPr>
          <w:vertAlign w:val="superscript"/>
        </w:rPr>
        <w:t>7</w:t>
      </w:r>
    </w:p>
    <w:p w14:paraId="7936C5EC" w14:textId="5C0E596E" w:rsidR="00CD0AEE" w:rsidRPr="00522C53" w:rsidRDefault="00E51026" w:rsidP="00A32B68">
      <w:pPr>
        <w:spacing w:after="0"/>
      </w:pPr>
      <w:r w:rsidRPr="00522C53">
        <w:rPr>
          <w:vertAlign w:val="superscript"/>
        </w:rPr>
        <w:t>1</w:t>
      </w:r>
      <w:r w:rsidR="00451268" w:rsidRPr="00522C53">
        <w:t xml:space="preserve">School of Life Sciences, </w:t>
      </w:r>
      <w:r w:rsidR="00CA69CF" w:rsidRPr="00522C53">
        <w:t>University of Westminster, London, UK</w:t>
      </w:r>
    </w:p>
    <w:p w14:paraId="125007E7" w14:textId="3A2B2B7B" w:rsidR="00CA69CF" w:rsidRPr="005B7B3A" w:rsidRDefault="003B199A" w:rsidP="00A32B68">
      <w:pPr>
        <w:spacing w:after="0"/>
        <w:rPr>
          <w:lang w:val="es-ES"/>
        </w:rPr>
      </w:pPr>
      <w:r w:rsidRPr="005B7B3A">
        <w:rPr>
          <w:vertAlign w:val="superscript"/>
          <w:lang w:val="es-ES"/>
        </w:rPr>
        <w:t>2</w:t>
      </w:r>
      <w:r w:rsidR="00CA69CF" w:rsidRPr="005B7B3A">
        <w:rPr>
          <w:lang w:val="es-ES"/>
        </w:rPr>
        <w:t xml:space="preserve">UNIR </w:t>
      </w:r>
      <w:proofErr w:type="spellStart"/>
      <w:r w:rsidR="00CA69CF" w:rsidRPr="005B7B3A">
        <w:rPr>
          <w:lang w:val="es-ES"/>
        </w:rPr>
        <w:t>Health</w:t>
      </w:r>
      <w:proofErr w:type="spellEnd"/>
      <w:r w:rsidR="00CA69CF" w:rsidRPr="005B7B3A">
        <w:rPr>
          <w:lang w:val="es-ES"/>
        </w:rPr>
        <w:t xml:space="preserve"> </w:t>
      </w:r>
      <w:proofErr w:type="spellStart"/>
      <w:r w:rsidR="00CA69CF" w:rsidRPr="005B7B3A">
        <w:rPr>
          <w:lang w:val="es-ES"/>
        </w:rPr>
        <w:t>Sciences</w:t>
      </w:r>
      <w:proofErr w:type="spellEnd"/>
      <w:r w:rsidR="00CA69CF" w:rsidRPr="005B7B3A">
        <w:rPr>
          <w:lang w:val="es-ES"/>
        </w:rPr>
        <w:t xml:space="preserve"> </w:t>
      </w:r>
      <w:proofErr w:type="spellStart"/>
      <w:r w:rsidR="00CA69CF" w:rsidRPr="005B7B3A">
        <w:rPr>
          <w:lang w:val="es-ES"/>
        </w:rPr>
        <w:t>School</w:t>
      </w:r>
      <w:proofErr w:type="spellEnd"/>
      <w:r w:rsidR="00CA69CF" w:rsidRPr="005B7B3A">
        <w:rPr>
          <w:lang w:val="es-ES"/>
        </w:rPr>
        <w:t xml:space="preserve">, Universidad Internacional de La Rioja (UNIR), Madrid, </w:t>
      </w:r>
      <w:proofErr w:type="spellStart"/>
      <w:r w:rsidR="00CA69CF" w:rsidRPr="005B7B3A">
        <w:rPr>
          <w:lang w:val="es-ES"/>
        </w:rPr>
        <w:t>Spain</w:t>
      </w:r>
      <w:proofErr w:type="spellEnd"/>
    </w:p>
    <w:p w14:paraId="252FDE29" w14:textId="4ABA87D0" w:rsidR="00DC7A29" w:rsidRPr="00522C53" w:rsidRDefault="00DC7A29" w:rsidP="00A32B68">
      <w:pPr>
        <w:spacing w:after="0"/>
      </w:pPr>
      <w:r w:rsidRPr="00522C53">
        <w:rPr>
          <w:vertAlign w:val="superscript"/>
        </w:rPr>
        <w:t>3</w:t>
      </w:r>
      <w:r w:rsidRPr="00522C53">
        <w:t>The Alan Turing Institute, London, UK</w:t>
      </w:r>
    </w:p>
    <w:p w14:paraId="369DF08E" w14:textId="30CADD90" w:rsidR="004777D9" w:rsidRDefault="004777D9" w:rsidP="004777D9">
      <w:pPr>
        <w:spacing w:after="0"/>
      </w:pPr>
      <w:r w:rsidRPr="00522C53">
        <w:rPr>
          <w:vertAlign w:val="superscript"/>
        </w:rPr>
        <w:t>4</w:t>
      </w:r>
      <w:r w:rsidRPr="00522C53">
        <w:t>Cambridge Precision Medicine, London, UK</w:t>
      </w:r>
    </w:p>
    <w:p w14:paraId="71A2B0C8" w14:textId="391B6E10" w:rsidR="00520559" w:rsidRPr="00520559" w:rsidRDefault="00520559" w:rsidP="004777D9">
      <w:pPr>
        <w:spacing w:after="0"/>
        <w:rPr>
          <w:vertAlign w:val="superscript"/>
        </w:rPr>
      </w:pPr>
      <w:r>
        <w:rPr>
          <w:vertAlign w:val="superscript"/>
        </w:rPr>
        <w:t>5</w:t>
      </w:r>
      <w:r w:rsidRPr="005216D8">
        <w:t>Precision Health University Research Institute, Queen Mary University of London, London, UK</w:t>
      </w:r>
    </w:p>
    <w:p w14:paraId="5BB2870D" w14:textId="4792DDFD" w:rsidR="00085AFE" w:rsidRPr="00522C53" w:rsidRDefault="00520559" w:rsidP="004777D9">
      <w:pPr>
        <w:spacing w:after="0"/>
      </w:pPr>
      <w:r>
        <w:rPr>
          <w:vertAlign w:val="superscript"/>
        </w:rPr>
        <w:t>6</w:t>
      </w:r>
      <w:r w:rsidR="00085AFE" w:rsidRPr="00085AFE">
        <w:t>INBIOMEDIC Research and Technological Center, Lima, Peru</w:t>
      </w:r>
    </w:p>
    <w:p w14:paraId="721BD8B1" w14:textId="08D9A9DB" w:rsidR="005216D8" w:rsidRPr="005216D8" w:rsidRDefault="00520559" w:rsidP="005216D8">
      <w:pPr>
        <w:spacing w:after="0"/>
        <w:rPr>
          <w:vertAlign w:val="superscript"/>
        </w:rPr>
      </w:pPr>
      <w:r>
        <w:rPr>
          <w:vertAlign w:val="superscript"/>
        </w:rPr>
        <w:t>7</w:t>
      </w:r>
      <w:r w:rsidR="005216D8" w:rsidRPr="005216D8">
        <w:t>African Computational Genomics (TACG) Research Group, MRC/UVRI and LSHTM Uganda Research Unit</w:t>
      </w:r>
    </w:p>
    <w:p w14:paraId="25300720" w14:textId="77777777" w:rsidR="005216D8" w:rsidRPr="005216D8" w:rsidRDefault="005216D8" w:rsidP="005216D8">
      <w:pPr>
        <w:spacing w:after="0"/>
        <w:rPr>
          <w:vertAlign w:val="superscript"/>
        </w:rPr>
      </w:pPr>
    </w:p>
    <w:p w14:paraId="3E8E2633" w14:textId="209AB330" w:rsidR="005216D8" w:rsidRDefault="005216D8" w:rsidP="005216D8">
      <w:pPr>
        <w:spacing w:after="0"/>
      </w:pPr>
      <w:r w:rsidRPr="005216D8">
        <w:rPr>
          <w:vertAlign w:val="superscript"/>
        </w:rPr>
        <w:t>*</w:t>
      </w:r>
      <w:r w:rsidRPr="005216D8">
        <w:t>Corresponding author</w:t>
      </w:r>
      <w:r w:rsidR="00551CEF">
        <w:t>s</w:t>
      </w:r>
      <w:r w:rsidRPr="005216D8">
        <w:t xml:space="preserve">: </w:t>
      </w:r>
      <w:hyperlink r:id="rId7">
        <w:r w:rsidRPr="005216D8">
          <w:rPr>
            <w:rStyle w:val="Hyperlink"/>
          </w:rPr>
          <w:t>m.corpas@westminster.ac.uk</w:t>
        </w:r>
      </w:hyperlink>
      <w:r w:rsidR="00551CEF">
        <w:t xml:space="preserve">, </w:t>
      </w:r>
      <w:hyperlink r:id="rId8" w:history="1">
        <w:r w:rsidR="00551CEF" w:rsidRPr="00E43B5D">
          <w:rPr>
            <w:rStyle w:val="Hyperlink"/>
          </w:rPr>
          <w:t>s.fatumo@qmul.ac.uk</w:t>
        </w:r>
      </w:hyperlink>
    </w:p>
    <w:p w14:paraId="456E3897" w14:textId="77777777" w:rsidR="009268D5" w:rsidRPr="00522C53" w:rsidRDefault="009268D5" w:rsidP="00A32B68">
      <w:pPr>
        <w:spacing w:after="0"/>
      </w:pPr>
    </w:p>
    <w:p w14:paraId="11EAEFE6" w14:textId="7D020F69" w:rsidR="00104EE5" w:rsidRPr="00104EE5" w:rsidRDefault="007B455F" w:rsidP="003F1BE0">
      <w:pPr>
        <w:jc w:val="both"/>
        <w:rPr>
          <w:lang w:val="en-GB"/>
        </w:rPr>
      </w:pPr>
      <w:r w:rsidRPr="00522C53">
        <w:rPr>
          <w:rStyle w:val="Heading1Char"/>
          <w:b/>
          <w:bCs/>
        </w:rPr>
        <w:t>Abstract</w:t>
      </w:r>
      <w:r w:rsidRPr="00522C53">
        <w:br/>
      </w:r>
      <w:r w:rsidR="00104EE5" w:rsidRPr="00104EE5">
        <w:rPr>
          <w:lang w:val="en-GB"/>
        </w:rPr>
        <w:t xml:space="preserve">Electronic health record (EHR)-linked biobanks have transformed biomedical research by enabling population-scale studies that integrate genomic, clinical, and phenotypic data. Yet as these resources proliferate, it remains unclear how well their research outputs reflect thematic breadth or align with global health priorities. In this review, we present a comprehensive analysis of the research footprint of five globally prominent EHR-linked biobanks: UK Biobank, the Million Veteran Program (MVP), </w:t>
      </w:r>
      <w:proofErr w:type="spellStart"/>
      <w:r w:rsidR="00104EE5" w:rsidRPr="00104EE5">
        <w:rPr>
          <w:lang w:val="en-GB"/>
        </w:rPr>
        <w:t>FinnGen</w:t>
      </w:r>
      <w:proofErr w:type="spellEnd"/>
      <w:r w:rsidR="00104EE5" w:rsidRPr="00104EE5">
        <w:rPr>
          <w:lang w:val="en-GB"/>
        </w:rPr>
        <w:t xml:space="preserve">, the All of Us Research Program, and the Estonian Biobank. Drawing on 14,142 peer-reviewed publications from 2000 to 2024, we combine </w:t>
      </w:r>
      <w:proofErr w:type="spellStart"/>
      <w:r w:rsidR="00104EE5" w:rsidRPr="00104EE5">
        <w:rPr>
          <w:lang w:val="en-GB"/>
        </w:rPr>
        <w:t>MeSH</w:t>
      </w:r>
      <w:proofErr w:type="spellEnd"/>
      <w:r w:rsidR="00104EE5" w:rsidRPr="00104EE5">
        <w:rPr>
          <w:lang w:val="en-GB"/>
        </w:rPr>
        <w:t xml:space="preserve"> term frequency analysis with unsupervised semantic clustering to map the conceptual structure of biobank-enabled research. Each biobank displays a distinct thematic profile, shaped by institutional mandates, population focus, and methodological design. UK Biobank exhibits the broadest semantic range, while MVP and All of Us occupy unique niches rooted in veteran and equity-focused research, respectively. We further evaluate alignment with global disease burden by mapping biobank-linked publications to 25 high-priority disease areas using DALY, mortality, and prevalence data. Our burden-adjusted gap scores and opportunity indices reveal striking underrepresentation of conditions such as malaria, tuberculosis, and diarrheal diseases. These findings expose structural asymmetries in research attention and suggest practical metrics for guiding future biobank investments, cross-biobank coordination, and equitable coverage of global health priorities.</w:t>
      </w:r>
    </w:p>
    <w:p w14:paraId="286FD0EB" w14:textId="1D75313E" w:rsidR="00E51026" w:rsidRPr="00104EE5" w:rsidRDefault="00E51026" w:rsidP="003F1BE0">
      <w:pPr>
        <w:jc w:val="both"/>
        <w:rPr>
          <w:sz w:val="20"/>
          <w:lang w:val="en-GB"/>
        </w:rPr>
      </w:pPr>
      <w:r w:rsidRPr="00104EE5">
        <w:rPr>
          <w:b/>
          <w:bCs/>
          <w:sz w:val="20"/>
        </w:rPr>
        <w:t>Keywords:</w:t>
      </w:r>
      <w:r w:rsidRPr="00104EE5">
        <w:rPr>
          <w:sz w:val="20"/>
        </w:rPr>
        <w:t xml:space="preserve"> </w:t>
      </w:r>
      <w:r w:rsidR="00085AFE" w:rsidRPr="00104EE5">
        <w:rPr>
          <w:sz w:val="20"/>
          <w:lang w:val="en-GB"/>
        </w:rPr>
        <w:t xml:space="preserve">UK Biobank; Million Veteran Program (MVP); </w:t>
      </w:r>
      <w:proofErr w:type="spellStart"/>
      <w:r w:rsidR="00085AFE" w:rsidRPr="00104EE5">
        <w:rPr>
          <w:sz w:val="20"/>
          <w:lang w:val="en-GB"/>
        </w:rPr>
        <w:t>FinnGen</w:t>
      </w:r>
      <w:proofErr w:type="spellEnd"/>
      <w:r w:rsidR="00085AFE" w:rsidRPr="00104EE5">
        <w:rPr>
          <w:sz w:val="20"/>
          <w:lang w:val="en-GB"/>
        </w:rPr>
        <w:t xml:space="preserve">; All of Us Research Program; Estonian Biobank; EHR-linked biobanks; semantic clustering; </w:t>
      </w:r>
      <w:proofErr w:type="spellStart"/>
      <w:r w:rsidR="00085AFE" w:rsidRPr="00104EE5">
        <w:rPr>
          <w:sz w:val="20"/>
          <w:lang w:val="en-GB"/>
        </w:rPr>
        <w:t>MeSH</w:t>
      </w:r>
      <w:proofErr w:type="spellEnd"/>
      <w:r w:rsidR="00085AFE" w:rsidRPr="00104EE5">
        <w:rPr>
          <w:sz w:val="20"/>
          <w:lang w:val="en-GB"/>
        </w:rPr>
        <w:t xml:space="preserve"> terms; TF-IDF; global disease burden; DALYs; research gap analysis; biomedical data science; precision medicine; population genomics.</w:t>
      </w:r>
    </w:p>
    <w:p w14:paraId="0C6233BB" w14:textId="550979EF" w:rsidR="00454EC3" w:rsidRDefault="00454EC3" w:rsidP="00454EC3">
      <w:pPr>
        <w:pStyle w:val="Heading1"/>
        <w:rPr>
          <w:b/>
          <w:bCs/>
        </w:rPr>
      </w:pPr>
      <w:r w:rsidRPr="00522C53">
        <w:rPr>
          <w:b/>
          <w:bCs/>
        </w:rPr>
        <w:lastRenderedPageBreak/>
        <w:t>Introduction</w:t>
      </w:r>
    </w:p>
    <w:p w14:paraId="40E06656" w14:textId="4903B47C" w:rsidR="00B542E0" w:rsidRPr="00B542E0" w:rsidRDefault="00C90485" w:rsidP="00B542E0">
      <w:pPr>
        <w:jc w:val="both"/>
        <w:rPr>
          <w:lang w:val="en-GB"/>
        </w:rPr>
      </w:pPr>
      <w:r w:rsidRPr="00C90485">
        <w:rPr>
          <w:lang w:val="en-GB"/>
        </w:rPr>
        <w:t>The convergence of large-scale population genomics, electronic health records (EHRs), and biobanking infrastructure has fundamentally transformed biomedical research over the past two decades</w:t>
      </w:r>
      <w:r w:rsidR="00B542E0">
        <w:rPr>
          <w:lang w:val="en-GB"/>
        </w:rPr>
        <w:t xml:space="preserve"> </w:t>
      </w:r>
      <w:r w:rsidR="00B542E0">
        <w:rPr>
          <w:lang w:val="en-GB"/>
        </w:rPr>
        <w:fldChar w:fldCharType="begin"/>
      </w:r>
      <w:r w:rsidR="00B542E0">
        <w:rPr>
          <w:lang w:val="en-GB"/>
        </w:rPr>
        <w:instrText xml:space="preserve"> ADDIN ZOTERO_ITEM CSL_CITATION {"citationID":"Xrpn1LWk","properties":{"formattedCitation":"\\super 1,2\\nosupersub{}","plainCitation":"1,2","noteIndex":0},"citationItems":[{"id":799,"uris":["http://zotero.org/users/16405780/items/BQCPUQ4P"],"itemData":{"id":799,"type":"article-journal","abstract":"Biobanks linked to electronic health records provide rich resources for health-related research. With improvements in administrative and informatics infrastructure, the availability and utility of data from biobanks have dramatically increased. In this paper, we first aim to characterize the current landscape of available biobanks and to describe specific biobanks, including their place of origin, size, and data types., The development and accessibility of large-scale biorepositories provide the opportunity to accelerate agnostic searches, expedite discoveries, and conduct hypothesis-generating studies of disease-treatment, disease-exposure, and disease-gene associations. Rather than designing and implementing a single study focused on a few targeted hypotheses, researchers can potentially use biobanks’ existing resources to answer an expanded selection of exploratory questions as quickly as they can analyze them. However, there are many obvious and subtle challenges with design and analysis of biobank-based studies. Our second aim is to discuss statistical issues related to biobank research such as study design, sampling strategy, phenotype identification, and missing data. We focus our discussion on biobanks that are linked to electronic health records. Some of the analytic issues are illustrated using data from the Michigan Genomics Initiative and UK Biobank, two biobanks with two different recruitment mechanisms. We summarize the current body of literature for addressing some of these challenges and discuss some standing open problems. This work complements and extends recent reviews about biobank-based research and serves as a resource catalog with analytical and practical guidance for statisticians, epidemiologists, and other medical researchers pursuing research using biobanks.","container-title":"Statistics in medicine","DOI":"10.1002/sim.8445","ISSN":"0277-6715","issue":"6","journalAbbreviation":"Stat Med","note":"PMID: 31859414\nPMCID: PMC7983809","page":"773-800","source":"PubMed Central","title":"The Emerging Landscape of Health Research Based on Biobanks Linked to Electronic Health Records: Existing Resources, Statistical Challenges and Potential Opportunities","title-short":"The Emerging Landscape of Health Research Based on Biobanks Linked to Electronic Health Records","volume":"39","author":[{"family":"Beesley","given":"Lauren J"},{"family":"Salvatore","given":"Maxwell"},{"family":"Fritsche","given":"Lars G."},{"family":"Pandit","given":"Anita"},{"family":"Rao","given":"Arvind"},{"family":"Brummett","given":"Chad"},{"family":"Willer","given":"Cristen J."},{"family":"Lisabeth","given":"Lynda D."},{"family":"Mukherjee","given":"Bhramar"}],"issued":{"date-parts":[["2020",3,15]]}}},{"id":802,"uris":["http://zotero.org/users/16405780/items/9R6I6V42"],"itemData":{"id":802,"type":"article-journal","abstract":"Large-scale national biobank projects utilizing whole-genome sequencing have emerged as transformative resources for understanding human genetic variation and its relationship to health and disease. These initiatives, which include the UK Biobank, All of Us Research Program, Singapore’s PRECISE, Biobank Japan, and the National Project of Bio-Big Data of Korea, are generating unprecedented volumes of high-resolution genomic data integrated with comprehensive phenotypic, environmental, and clinical information. This review examines the methodologies, contributions, and challenges of major WGS-based national genome projects worldwide. We first discuss the landscape of national biobank initiatives, highlighting their distinct approaches to data collection, participant recruitment, and phenotype characterization. We then introduce recent technological advances that enable efficient processing and analysis of large-scale WGS data, including improvements in variant calling algorithms, innovative methods for creating multi-sample VCFs, optimized data storage formats, and cloud-based computing solutions. The review synthesizes key discoveries from these projects, particularly in identifying expression quantitative trait loci and rare variants associated with complex diseases. Our review introduces the latest findings from the National Project of Bio-Big Data of Korea, which has advanced our understanding of population-specific genetic variation and rare diseases in Korean and East Asian populations. Finally, we discuss future directions and challenges in maximizing the impact of these resources on precision medicine and global health equity. This comprehensive examination demonstrates how large-scale national genome projects are revolutionizing genetic research and healthcare delivery while highlighting the importance of continued investment in diverse, population-specific genomic resources.","container-title":"Genomics &amp; Informatics","DOI":"10.1186/s44342-025-00040-9","ISSN":"2234-0742","issue":"1","journalAbbreviation":"Genomics &amp; Informatics","page":"8","source":"BioMed Central","title":"Lessons from national biobank projects utilizing whole-genome sequencing for population-scale genomics","volume":"23","author":[{"family":"Lee","given":"Hyeji"},{"family":"Kim","given":"Wooheon"},{"family":"Kwon","given":"Nahyeon"},{"family":"Kim","given":"Chanhee"},{"family":"Kim","given":"Sungmin"},{"family":"An","given":"Joon-Yong"}],"issued":{"date-parts":[["2025",3,6]]}}}],"schema":"https://github.com/citation-style-language/schema/raw/master/csl-citation.json"} </w:instrText>
      </w:r>
      <w:r w:rsidR="00B542E0">
        <w:rPr>
          <w:lang w:val="en-GB"/>
        </w:rPr>
        <w:fldChar w:fldCharType="separate"/>
      </w:r>
      <w:r w:rsidR="00B542E0" w:rsidRPr="00B542E0">
        <w:rPr>
          <w:rFonts w:ascii="Aptos" w:cs="Times New Roman"/>
          <w:kern w:val="0"/>
          <w:vertAlign w:val="superscript"/>
        </w:rPr>
        <w:t>1,2</w:t>
      </w:r>
      <w:r w:rsidR="00B542E0">
        <w:rPr>
          <w:lang w:val="en-GB"/>
        </w:rPr>
        <w:fldChar w:fldCharType="end"/>
      </w:r>
      <w:r w:rsidR="00B542E0" w:rsidRPr="00B542E0">
        <w:rPr>
          <w:lang w:val="en-GB"/>
        </w:rPr>
        <w:t xml:space="preserve">. </w:t>
      </w:r>
      <w:r w:rsidRPr="00C90485">
        <w:rPr>
          <w:lang w:val="en-GB"/>
        </w:rPr>
        <w:t>Electronic health record-linked biobanks represent a paradigm shift from traditional epidemiological studies toward comprehensive, longitudinal platforms that integrate genetic, clinical, environmental, and lifestyle data at unprecedented scale</w:t>
      </w:r>
      <w:r>
        <w:rPr>
          <w:lang w:val="en-GB"/>
        </w:rPr>
        <w:t xml:space="preserve"> </w:t>
      </w:r>
      <w:r w:rsidR="005B2BEF">
        <w:rPr>
          <w:lang w:val="en-GB"/>
        </w:rPr>
        <w:fldChar w:fldCharType="begin"/>
      </w:r>
      <w:r w:rsidR="005B2BEF">
        <w:rPr>
          <w:lang w:val="en-GB"/>
        </w:rPr>
        <w:instrText xml:space="preserve"> ADDIN ZOTERO_ITEM CSL_CITATION {"citationID":"8kCpWUX6","properties":{"unsorted":true,"formattedCitation":"\\super 3\\uc0\\u8211{}5\\nosupersub{}","plainCitation":"3–5","noteIndex":0},"citationItems":[{"id":810,"uris":["http://zotero.org/users/16405780/items/3FQA86Y3"],"itemData":{"id":810,"type":"article-journal","abstract":"Biobanks linked to electronic health records provide rich resources for health-related research. With improvements in administrative and informatics infrastructure, the availability and utility of data from biobanks have dramatically increased. In this paper, we first aim to characterize the current landscape of available biobanks and to describe specific biobanks, including their place of origin, size, and data types. The development and accessibility of large-scale biorepositories provide the opportunity to accelerate agnostic searches, expedite discoveries, and conduct hypothesis-generating studies of disease-treatment, disease-exposure, and disease-gene associations. Rather than designing and implementing a single study focused on a few targeted hypotheses, researchers can potentially use biobanks' existing resources to answer an expanded selection of exploratory questions as quickly as they can analyze them. However, there are many obvious and subtle challenges with the design and analysis of biobank-based studies. Our second aim is to discuss statistical issues related to biobank research such as study design, sampling strategy, phenotype identification, and missing data. We focus our discussion on biobanks that are linked to electronic health records. Some of the analytic issues are illustrated using data from the Michigan Genomics Initiative and UK Biobank, two biobanks with two different recruitment mechanisms. We summarize the current body of literature for addressing these challenges and discuss some standing open problems. This work complements and extends recent reviews about biobank-based research and serves as a resource catalog with analytical and practical guidance for statisticians, epidemiologists, and other medical researchers pursuing research using biobanks.","container-title":"Statistics in Medicine","DOI":"10.1002/sim.8445","ISSN":"1097-0258","issue":"6","journalAbbreviation":"Stat Med","language":"eng","note":"PMID: 31859414\nPMCID: PMC7983809","page":"773-800","source":"PubMed","title":"The emerging landscape of health research based on biobanks linked to electronic health records: Existing resources, statistical challenges, and potential opportunities","title-short":"The emerging landscape of health research based on biobanks linked to electronic health records","volume":"39","author":[{"family":"Beesley","given":"Lauren J."},{"family":"Salvatore","given":"Maxwell"},{"family":"Fritsche","given":"Lars G."},{"family":"Pandit","given":"Anita"},{"family":"Rao","given":"Arvind"},{"family":"Brummett","given":"Chad"},{"family":"Willer","given":"Cristen J."},{"family":"Lisabeth","given":"Lynda D."},{"family":"Mukherjee","given":"Bhramar"}],"issued":{"date-parts":[["2020",3,15]]}}},{"id":813,"uris":["http://zotero.org/users/16405780/items/QGSWQG7D"],"itemData":{"id":813,"type":"article-journal","abstract":"Recent advances in genomic technology and widespread adoption of electronic health records (EHRs) have accelerated the development of genomic medicine, bringing promising research findings from genome science into clinical practice. Genomic and phenomic data, accrued across large populations through biobanks linked to EHRs, have enabled the study of genetic variation at a phenome-wide scale. Through new quantitative techniques, pleiotropy can be explored with phenome-wide association studies, the occurrence of common complex diseases can be predicted using the cumulative influence of many genetic variants (polygenic risk scores), and undiagnosed Mendelian syndromes can be identified using EHR-based phenotypic signatures (phenotype risk scores). In this review, we trace the role of EHRs from the development of genome-wide analytic techniques to translational efforts to test these new interventions to the clinic. Throughout, we describe the challenges that remain when combining EHRs with genetics to improve clinical care.","container-title":"Annual Review of Genomics and Human Genetics","DOI":"10.1146/annurev-genom-121120-125204","ISSN":"1545-293X","journalAbbreviation":"Annu Rev Genomics Hum Genet","language":"eng","note":"PMID: 34038146\nPMCID: PMC9297710","page":"219-238","source":"PubMed","title":"The Role of Electronic Health Records in Advancing Genomic Medicine","volume":"22","author":[{"family":"Linder","given":"Jodell E."},{"family":"Bastarache","given":"Lisa"},{"family":"Hughey","given":"Jacob J."},{"family":"Peterson","given":"Josh F."}],"issued":{"date-parts":[["2021",8,31]]}}},{"id":807,"uris":["http://zotero.org/users/16405780/items/L9K2S6B4"],"itemData":{"id":807,"type":"article-journal","abstract":"A long-standing recognition that information from human genetics studies has the potential to accelerate drug discovery has led to decades of research on how to leverage genetic and phenotypic information for drug discovery. Established simple and advanced statistical methods that allow the simultaneous analysis of genotype and clinical phenotype data by genome- and phenome-wide analyses, colocalization analyses with quantitative trait loci data from transcriptomics and proteomics data sets from different tissues, and Mendelian randomization are essential tools for drug development in the postgenomic era. Numerous studies have demonstrated how genomic data provide opportunities for the identification of new drug targets, the repurposing of drugs, and drug safety analyses. With an increase in the number of biobanks that enable linking in-depth omics data with rich repositories of phenotypic traits via electronic health records, more powerful ways for the evaluation and validation of drug targets will continue to expand across different disciplines of clinical research.","container-title":"Annual Review of Pharmacology and Toxicology","DOI":"10.1146/annurev-pharmtox-051421-111324","ISSN":"1545-4304","journalAbbreviation":"Annu Rev Pharmacol Toxicol","language":"eng","note":"PMID: 36662581","page":"65-76","source":"PubMed","title":"Harnessing the Power of Electronic Health Records and Genomics for Drug Discovery","volume":"63","author":[{"family":"Krebs","given":"Kristi"},{"family":"Milani","given":"Lili"}],"issued":{"date-parts":[["2023",1,20]]}}}],"schema":"https://github.com/citation-style-language/schema/raw/master/csl-citation.json"} </w:instrText>
      </w:r>
      <w:r w:rsidR="005B2BEF">
        <w:rPr>
          <w:lang w:val="en-GB"/>
        </w:rPr>
        <w:fldChar w:fldCharType="separate"/>
      </w:r>
      <w:r w:rsidR="005B2BEF" w:rsidRPr="005B2BEF">
        <w:rPr>
          <w:rFonts w:ascii="Aptos" w:cs="Times New Roman"/>
          <w:kern w:val="0"/>
          <w:vertAlign w:val="superscript"/>
        </w:rPr>
        <w:t>3–5</w:t>
      </w:r>
      <w:r w:rsidR="005B2BEF">
        <w:rPr>
          <w:lang w:val="en-GB"/>
        </w:rPr>
        <w:fldChar w:fldCharType="end"/>
      </w:r>
      <w:r w:rsidR="00B542E0" w:rsidRPr="00B542E0">
        <w:rPr>
          <w:lang w:val="en-GB"/>
        </w:rPr>
        <w:t xml:space="preserve">. </w:t>
      </w:r>
      <w:r w:rsidRPr="00C90485">
        <w:rPr>
          <w:lang w:val="en-GB"/>
        </w:rPr>
        <w:t>These initiatives have emerged as critical infrastructure for precision medicine, enabling researchers to interrogate complex disease mechanisms, validate therapeutic targets, and develop predictive models across diverse populations and phenotypes</w:t>
      </w:r>
      <w:r w:rsidR="005B2BEF">
        <w:rPr>
          <w:lang w:val="en-GB"/>
        </w:rPr>
        <w:t xml:space="preserve"> </w:t>
      </w:r>
      <w:r w:rsidR="005B2BEF">
        <w:rPr>
          <w:lang w:val="en-GB"/>
        </w:rPr>
        <w:fldChar w:fldCharType="begin"/>
      </w:r>
      <w:r w:rsidR="005B2BEF">
        <w:rPr>
          <w:lang w:val="en-GB"/>
        </w:rPr>
        <w:instrText xml:space="preserve"> ADDIN ZOTERO_ITEM CSL_CITATION {"citationID":"ldpBlJ5O","properties":{"formattedCitation":"\\super 6\\uc0\\u8211{}8\\nosupersub{}","plainCitation":"6–8","noteIndex":0},"citationItems":[{"id":816,"uris":["http://zotero.org/users/16405780/items/C6QXPAFE"],"itemData":{"id":816,"type":"article-journal","abstract":"Biobanks are an important compound of personalized medicine and\nstrongly support the scientific progress in stratification of population and\nbiomarker discovery and validation due to progress in personalized medicine.\nBiobanks are an essential tool for new drug discoveries and drug development.\nBiobanks play an important role in the whole process of patient prevention and\nprediction, follow-up, and therapy monitoring and optimalization. Biobanks have the\nspecificity in that they cover multidisciplinary approach to the human health\ncombining biological and medical approaches, as well as informative bioinformatics\ntechnologies, computationing, and modeling. The importance of biobanks has during\nthe last decade increased in variety and capacity from small collections of samples\nto large-scale national or international repositories. Collected samples are\npopulation-based, disease-specific or rare diseases originating from a diverse\nprofile of individuals. There are various purposes of biobanks, such as diagnostics,\npharmacology, or research. Biobanks involve, store, and operate with specific\npersonal information, and as a consequence, such a diversity of biobanking is\nassociated with a broad spectrum of ethical and legal issues. Biobanks are an\ninternational phenomenon because any single country, state, or society at the moment\nis not able to cover all issues involving the whole biobank problematic. Biobanks\nhave an enormous innovative potential in the whole process of biomedical research in\nthe twenty-first century.","container-title":"The EPMA Journal","DOI":"10.1186/s13167-016-0053-7","ISSN":"1878-5077","issue":"1","journalAbbreviation":"EPMA J","note":"PMID: 26904153\nPMCID: PMC4762166","page":"4","source":"PubMed Central","title":"Biobanks in the era of personalized medicine: objectives, challenges, and innovation","title-short":"Biobanks in the era of personalized medicine","volume":"7","author":[{"family":"Kinkorová","given":"Judita"}],"issued":{"date-parts":[["2016",2,22]]}}},{"id":819,"uris":["http://zotero.org/users/16405780/items/NC6GJ6BJ"],"itemData":{"id":819,"type":"article-journal","abstract":"In recent years, medicine has undergone profound changes, strongly entering a new phase defined as the “era of precision medicine”. In this context, patient clinical management involves various scientific approaches that allow for a comprehensive pathology evaluation: from preventive processes (where applicable) to genetic and diagnostic studies. In this scenario, biobanks play an important role and, over the years, have gained increasing prestige, moving from small deposits to large collections of samples of various natures. Disease-oriented biobanks are rapidly developing as they provide useful information for the management of complex diseases, such as melanoma. Indeed, melanoma, given its highly heterogeneous characteristics, is one of the oncologic diseases with the greatest clinical and therapeutic management complexity. So, the possibility of extrapolating tissue, genetic and imaging data from dedicated biobanks could result in more selective study approaches. In this review, we specifically analyze the several biobank types to evaluate their role in technology development, patient monitoring and research of new biomarkers, especially in the melanoma context.","container-title":"Journal of Personalized Medicine","DOI":"10.3390/jpm14070731","ISSN":"2075-4426","issue":"7","journalAbbreviation":"J Pers Med","note":"PMID: 39063985\nPMCID: PMC11278009","page":"731","source":"PubMed Central","title":"Biobanks as an Indispensable Tool in the “Era” of Precision Medicine: Key Role in the Management of Complex Diseases, Such as Melanoma","title-short":"Biobanks as an Indispensable Tool in the “Era” of Precision Medicine","volume":"14","author":[{"family":"Valenti","given":"Alessandro"},{"family":"Falcone","given":"Italia"},{"family":"Valenti","given":"Fabio"},{"family":"Ricciardi","given":"Elena"},{"family":"Di Martino","given":"Simona"},{"family":"Maccallini","given":"Maria Teresa"},{"family":"Cerro","given":"Marianna"},{"family":"Desiderio","given":"Flora"},{"family":"Miseo","given":"Ludovica"},{"family":"Russillo","given":"Michelangelo"},{"family":"Guerrisi","given":"Antonino"}],"issued":{"date-parts":[["2024",7,6]]}}},{"id":822,"uris":["http://zotero.org/users/16405780/items/TDTC6W4C"],"itemData":{"id":822,"type":"article-journal","abstract":"Precision health extends beyond the scope of precision medicine and involves a broader range of activities, including the prediction, prevention, treatment, and management of diseases. Tailored to specific populations, precision health offers personalized treatment and preventive measures considering genetics, lifestyle behaviors, social determinants of health, and environmental factors. Precision medicine focuses on the personalized treatment of diseases, whereas precision health aims to promote health and prevent diseases using tools such as big data and advanced analytics to predict health risks and prevent diseases at the population level. Biobanks play a crucial role in achieving precision health because they provide well-characterized biological samples and related data for disease prediction, diagnosis, and treatment. Challenges in integrating different biobanks include data format consistency, privacy concerns, and legal constraints. Standardized methodologies and digitalization can mitigate these challenges. The integration of biobanks can facilitate comprehensive analyses across multiple datasets to achieve various research goals. This study proposes strategies to address these challenges, including the development of a dynamic consent mechanism for population-based biobanks using digitalization and blockchain technology. This study recommends the following: 1) integrating population-based biobanks, 2) introducing dynamic consent tools for human biobanks, and 3) using large human biobanks with dynamic consent for research on diverse diseases. These recommendations can increase the utility of biobanks in realizing precision health. A case study implemented at Taoyuan Tiansheng Hospital demonstrated the effectiveness of these recommendations for achieving precision health and enhancing the value of biobanks. Through a comprehensive examination of precision health and biobanks, this study provides valuable insights for researchers, healthcare professionals, and policymakers in the precision healthcare sector.","container-title":"Computational and Structural Biotechnology Journal","DOI":"10.1016/j.csbj.2024.10.049","ISSN":"2001-0370","journalAbbreviation":"Computational and Structural Biotechnology Journal","page":"690-698","source":"ScienceDirect","title":"Integrating population-based biobanks: Catalyst for advances in precision health","title-short":"Integrating population-based biobanks","volume":"24","author":[{"family":"Lin","given":"Jui-Chu"},{"family":"Liu","given":"Yi-Lien"},{"family":"Hsiao","given":"Wesley Wei-Wen"},{"family":"Fan","given":"Chien-Te"}],"issued":{"date-parts":[["2024",12,1]]}}}],"schema":"https://github.com/citation-style-language/schema/raw/master/csl-citation.json"} </w:instrText>
      </w:r>
      <w:r w:rsidR="005B2BEF">
        <w:rPr>
          <w:lang w:val="en-GB"/>
        </w:rPr>
        <w:fldChar w:fldCharType="separate"/>
      </w:r>
      <w:r w:rsidR="005B2BEF" w:rsidRPr="005B2BEF">
        <w:rPr>
          <w:rFonts w:ascii="Aptos" w:cs="Times New Roman"/>
          <w:kern w:val="0"/>
          <w:vertAlign w:val="superscript"/>
        </w:rPr>
        <w:t>6–8</w:t>
      </w:r>
      <w:r w:rsidR="005B2BEF">
        <w:rPr>
          <w:lang w:val="en-GB"/>
        </w:rPr>
        <w:fldChar w:fldCharType="end"/>
      </w:r>
      <w:r w:rsidR="00B542E0" w:rsidRPr="00B542E0">
        <w:rPr>
          <w:lang w:val="en-GB"/>
        </w:rPr>
        <w:t>.</w:t>
      </w:r>
    </w:p>
    <w:p w14:paraId="7BC2C9E1" w14:textId="3EB73496" w:rsidR="00B542E0" w:rsidRPr="00B542E0" w:rsidRDefault="00B542E0" w:rsidP="00B542E0">
      <w:pPr>
        <w:jc w:val="both"/>
        <w:rPr>
          <w:lang w:val="en-GB"/>
        </w:rPr>
      </w:pPr>
      <w:r w:rsidRPr="00B542E0">
        <w:rPr>
          <w:lang w:val="en-GB"/>
        </w:rPr>
        <w:t>Major EHR-linked biobank initiatives worldwide</w:t>
      </w:r>
      <w:r w:rsidR="005B2BEF">
        <w:rPr>
          <w:lang w:val="en-GB"/>
        </w:rPr>
        <w:t xml:space="preserve"> </w:t>
      </w:r>
      <w:r w:rsidRPr="00B542E0">
        <w:rPr>
          <w:lang w:val="en-GB"/>
        </w:rPr>
        <w:t>includ</w:t>
      </w:r>
      <w:r w:rsidR="00B95938">
        <w:rPr>
          <w:lang w:val="en-GB"/>
        </w:rPr>
        <w:t>e</w:t>
      </w:r>
      <w:r w:rsidRPr="00B542E0">
        <w:rPr>
          <w:lang w:val="en-GB"/>
        </w:rPr>
        <w:t xml:space="preserve"> the UK Biobank</w:t>
      </w:r>
      <w:r w:rsidR="005B2BEF">
        <w:rPr>
          <w:lang w:val="en-GB"/>
        </w:rPr>
        <w:t xml:space="preserve"> </w:t>
      </w:r>
      <w:r w:rsidR="005B2BEF">
        <w:rPr>
          <w:lang w:val="en-GB"/>
        </w:rPr>
        <w:fldChar w:fldCharType="begin"/>
      </w:r>
      <w:r w:rsidR="005B2BEF">
        <w:rPr>
          <w:lang w:val="en-GB"/>
        </w:rPr>
        <w:instrText xml:space="preserve"> ADDIN ZOTERO_ITEM CSL_CITATION {"citationID":"cauRIFPA","properties":{"formattedCitation":"\\super 9,10\\nosupersub{}","plainCitation":"9,10","noteIndex":0},"citationItems":[{"id":72,"uris":["http://zotero.org/users/16405780/items/K7DKU6A3"],"itemData":{"id":72,"type":"article-journal","abstract":"Cathie Sudlow and colleagues describe the UK Biobank, a large population-based prospective study, established to allow investigation of the genetic and non-genetic determinants of the diseases of middle and old age.","container-title":"PLoS Med.","DOI":"10.1371/journal.pmed.1001779","ISSN":"1549-1277","issue":"3","page":"e1001779","title":"UK biobank: an open access resource for identifying the causes of a wide range of complex diseases of middle and old age","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id":26,"uris":["http://zotero.org/users/16405780/items/S5NHCFRY"],"itemData":{"id":26,"type":"article-journal","abstract":"The UK Biobank project is a prospective cohort study with deep genetic and phenotypic data collected on approximately 500,000 individuals from across the United Kingdom, aged between 40 and 69 at recruitment. The open resource is unique in its size and scope. A rich variety of phenotypic and health-related information is available on each participant, including biological measurements, lifestyle indicators, biomarkers in blood and urine, and imaging of the body and brain. Follow-up information is provided by linking health and medical records. Genome-wide genotype data have been collected on all participants, providing many opportunities for the discovery of new genetic associations and the genetic bases of complex traits. Here we describe the centralized analysis of the genetic data, including genotype quality, properties of population structure and relatedness of the genetic data, and efficient phasing and genotype imputation that increases the number of testable variants to around 96 million. Classical allelic variation at 11 human leukocyte antigen genes was imputed, resulting in the recovery of signals with known associations between human leukocyte antigen alleles and many diseases.","container-title":"Nature","DOI":"10.1038/s41586-018-0579-z","ISSN":"1476-4687","issue":"7726","language":"en","license":"2018 Springer Nature Limited","note":"publisher: Nature Publishing Group","page":"203-209","source":"www.nature.com","title":"The UK Biobank resource with deep phenotyping and genomic data","volume":"562","author":[{"family":"Bycroft","given":"Clare"},{"family":"Freeman","given":"Colin"},{"family":"Petkova","given":"Desislava"},{"family":"Band","given":"Gavin"},{"family":"Elliott","given":"Lloyd T."},{"family":"Sharp","given":"Kevin"},{"family":"Motyer","given":"Allan"},{"family":"Vukcevic","given":"Damjan"},{"family":"Delaneau","given":"Olivier"},{"family":"O’Connell","given":"Jared"},{"family":"Cortes","given":"Adrian"},{"family":"Welsh","given":"Samantha"},{"family":"Young","given":"Alan"},{"family":"Effingham","given":"Mark"},{"family":"McVean","given":"Gil"},{"family":"Leslie","given":"Stephen"},{"family":"Allen","given":"Naomi"},{"family":"Donnelly","given":"Peter"},{"family":"Marchini","given":"Jonathan"}],"issued":{"date-parts":[["2018",10]]}}}],"schema":"https://github.com/citation-style-language/schema/raw/master/csl-citation.json"} </w:instrText>
      </w:r>
      <w:r w:rsidR="005B2BEF">
        <w:rPr>
          <w:lang w:val="en-GB"/>
        </w:rPr>
        <w:fldChar w:fldCharType="separate"/>
      </w:r>
      <w:r w:rsidR="005B2BEF" w:rsidRPr="005B2BEF">
        <w:rPr>
          <w:rFonts w:ascii="Aptos" w:cs="Times New Roman"/>
          <w:kern w:val="0"/>
          <w:vertAlign w:val="superscript"/>
        </w:rPr>
        <w:t>9,10</w:t>
      </w:r>
      <w:r w:rsidR="005B2BEF">
        <w:rPr>
          <w:lang w:val="en-GB"/>
        </w:rPr>
        <w:fldChar w:fldCharType="end"/>
      </w:r>
      <w:r w:rsidRPr="00B542E0">
        <w:rPr>
          <w:lang w:val="en-GB"/>
        </w:rPr>
        <w:t xml:space="preserve">, </w:t>
      </w:r>
      <w:bookmarkStart w:id="2" w:name="OLE_LINK7"/>
      <w:bookmarkStart w:id="3" w:name="OLE_LINK8"/>
      <w:r w:rsidR="00E568C9">
        <w:rPr>
          <w:lang w:val="en-GB"/>
        </w:rPr>
        <w:t xml:space="preserve">the </w:t>
      </w:r>
      <w:r w:rsidRPr="00B542E0">
        <w:rPr>
          <w:lang w:val="en-GB"/>
        </w:rPr>
        <w:t>Million Veteran Program</w:t>
      </w:r>
      <w:bookmarkEnd w:id="2"/>
      <w:bookmarkEnd w:id="3"/>
      <w:r w:rsidRPr="00B542E0">
        <w:rPr>
          <w:lang w:val="en-GB"/>
        </w:rPr>
        <w:t xml:space="preserve"> (MVP)</w:t>
      </w:r>
      <w:r w:rsidR="005B2BEF">
        <w:rPr>
          <w:lang w:val="en-GB"/>
        </w:rPr>
        <w:t xml:space="preserve"> </w:t>
      </w:r>
      <w:r w:rsidR="005B2BEF">
        <w:rPr>
          <w:lang w:val="en-GB"/>
        </w:rPr>
        <w:fldChar w:fldCharType="begin"/>
      </w:r>
      <w:r w:rsidR="005B2BEF">
        <w:rPr>
          <w:lang w:val="en-GB"/>
        </w:rPr>
        <w:instrText xml:space="preserve"> ADDIN ZOTERO_ITEM CSL_CITATION {"citationID":"i0KFX9dF","properties":{"formattedCitation":"\\super 11\\nosupersub{}","plainCitation":"11","noteIndex":0},"citationItems":[{"id":825,"uris":["http://zotero.org/users/16405780/items/2CK3BP9S"],"itemData":{"id":825,"type":"article-journal","abstract":"OBJECTIVE: To describe the design and ongoing conduct of the Million Veteran Program (MVP), as an observational cohort study and mega-biobank in the Department of Veterans Affairs (VA) health care system.\nSTUDY DESIGN AND SETTING: Data are being collected from participants using questionnaires, the VA electronic health record, and a blood sample for genomic and other testing. Several ongoing projects are linked to MVP, both as peer-reviewed research studies and </w:instrText>
      </w:r>
      <w:r w:rsidR="005B2BEF">
        <w:rPr>
          <w:rFonts w:hint="eastAsia"/>
          <w:lang w:val="en-GB"/>
        </w:rPr>
        <w:instrText xml:space="preserve">as activities to help develop an infrastructure for future, broad-based research uses.\nRESULTS: Formal planning for MVP commenced in 2009; the protocol was approved in 2010, and enrollment began in 2011. As of August 3, 2015, and with a steady state of </w:instrText>
      </w:r>
      <w:r w:rsidR="005B2BEF">
        <w:rPr>
          <w:rFonts w:hint="eastAsia"/>
          <w:lang w:val="en-GB"/>
        </w:rPr>
        <w:instrText>≈</w:instrText>
      </w:r>
      <w:r w:rsidR="005B2BEF">
        <w:rPr>
          <w:lang w:val="en-GB"/>
        </w:rPr>
        <w:instrText xml:space="preserve">50 recruiting sites nationwide, N = 397,104 veterans have been enrolled. Among N = 199,348 with currently available genotyping data, most participants (as expected) are male (92.0%) between the ages of 50 and 69 years (55.0%). On the basis of self-reported race, white (77.2%) and African American (13.5%) populations are well represented.\nCONCLUSIONS: By helping to promote the future integration of genetic testing in health care delivery, including clinical decision making, the MVP is designed to contribute to the development of precision medicine.","container-title":"Journal of Clinical Epidemiology","DOI":"10.1016/j.jclinepi.2015.09.016","ISSN":"1878-5921","journalAbbreviation":"J Clin Epidemiol","language":"eng","note":"PMID: 26441289","page":"214-223","source":"PubMed","title":"Million Veteran Program: A mega-biobank to study genetic influences on health and disease","title-short":"Million Veteran Program","volume":"70","author":[{"family":"Gaziano","given":"John Michael"},{"family":"Concato","given":"John"},{"family":"Brophy","given":"Mary"},{"family":"Fiore","given":"Louis"},{"family":"Pyarajan","given":"Saiju"},{"family":"Breeling","given":"James"},{"family":"Whitbourne","given":"Stacey"},{"family":"Deen","given":"Jennifer"},{"family":"Shannon","given":"Colleen"},{"family":"Humphries","given":"Donald"},{"family":"Guarino","given":"Peter"},{"family":"Aslan","given":"Mihaela"},{"family":"Anderson","given":"Daniel"},{"family":"LaFleur","given":"Rene"},{"family":"Hammond","given":"Timothy"},{"family":"Schaa","given":"Kendra"},{"family":"Moser","given":"Jennifer"},{"family":"Huang","given":"Grant"},{"family":"Muralidhar","given":"Sumitra"},{"family":"Przygodzki","given":"Ronald"},{"family":"O'Leary","given":"Timothy J."}],"issued":{"date-parts":[["2016",2]]}}}],"schema":"https://github.com/citation-style-language/schema/raw/master/csl-citation.json"} </w:instrText>
      </w:r>
      <w:r w:rsidR="005B2BEF">
        <w:rPr>
          <w:lang w:val="en-GB"/>
        </w:rPr>
        <w:fldChar w:fldCharType="separate"/>
      </w:r>
      <w:r w:rsidR="005B2BEF" w:rsidRPr="005B2BEF">
        <w:rPr>
          <w:rFonts w:ascii="Aptos" w:cs="Times New Roman"/>
          <w:kern w:val="0"/>
          <w:vertAlign w:val="superscript"/>
        </w:rPr>
        <w:t>11</w:t>
      </w:r>
      <w:r w:rsidR="005B2BEF">
        <w:rPr>
          <w:lang w:val="en-GB"/>
        </w:rPr>
        <w:fldChar w:fldCharType="end"/>
      </w:r>
      <w:r w:rsidRPr="00B542E0">
        <w:rPr>
          <w:lang w:val="en-GB"/>
        </w:rPr>
        <w:t xml:space="preserve">, </w:t>
      </w:r>
      <w:bookmarkStart w:id="4" w:name="OLE_LINK9"/>
      <w:bookmarkStart w:id="5" w:name="OLE_LINK10"/>
      <w:proofErr w:type="spellStart"/>
      <w:r w:rsidRPr="00B542E0">
        <w:rPr>
          <w:lang w:val="en-GB"/>
        </w:rPr>
        <w:t>FinnGen</w:t>
      </w:r>
      <w:bookmarkEnd w:id="4"/>
      <w:bookmarkEnd w:id="5"/>
      <w:proofErr w:type="spellEnd"/>
      <w:r w:rsidR="005B2BEF">
        <w:rPr>
          <w:lang w:val="en-GB"/>
        </w:rPr>
        <w:t xml:space="preserve"> </w:t>
      </w:r>
      <w:r w:rsidR="005B2BEF">
        <w:rPr>
          <w:lang w:val="en-GB"/>
        </w:rPr>
        <w:fldChar w:fldCharType="begin"/>
      </w:r>
      <w:r w:rsidR="005B2BEF">
        <w:rPr>
          <w:lang w:val="en-GB"/>
        </w:rPr>
        <w:instrText xml:space="preserve"> ADDIN ZOTERO_ITEM CSL_CITATION {"citationID":"jkdzCHJy","properties":{"formattedCitation":"\\super 12\\nosupersub{}","plainCitation":"12","noteIndex":0},"citationItems":[{"id":828,"uris":["http://zotero.org/users/16405780/items/JR9SWZV4"],"itemData":{"id":828,"type":"article-journal","abstract":"Population isolates such as those in Finland benefit genetic research because deleterious alleles are often concentrated on a small number of low-frequency variants (0.1% </w:instrText>
      </w:r>
      <w:r w:rsidR="005B2BEF">
        <w:rPr>
          <w:rFonts w:hint="eastAsia"/>
          <w:lang w:val="en-GB"/>
        </w:rPr>
        <w:instrText>≤</w:instrText>
      </w:r>
      <w:r w:rsidR="005B2BEF">
        <w:rPr>
          <w:lang w:val="en-GB"/>
        </w:rPr>
        <w:instrText xml:space="preserve"> minor allele frequency &lt; 5%). These variants survived the founding bottleneck rather than being distributed over a large number of ultrarare variants. Although this effect is well established in Mendelian genetics, its value in common disease genetics is less explored1,2. FinnGen aims to study the genome and national health register data of 500,000 Finnish individuals. Given the relatively high median age of participants (63 years) and the substantial fraction of hospital-based recruitment, FinnGen is enriched for disease end points. Here we analyse data from 224,737 participants from FinnGen and study 15 diseases that have previously been investigated in large genome-wide association studies (GWASs). We also include meta-analyses of biobank data from Estonia and the United Kingdom. We identified 30 new associations, primarily low-frequency variants, enriched in the Finnish population. A GWAS of 1,932 diseases also identified 2,733 genome-wide significant associations (893 phenome-wide significant (PWS), P &lt; 2.6 × 10–11) at 2,496 (771 PWS) independent loci with 807 (247 PWS) end points. Among these, fine-mapping implicated 148 (73 PWS) coding variants associated with 83 (42 PWS) end points. Moreover, 91 (47 PWS) had an allele frequency of &lt;5% in non-Finnish European individuals, of which 62 (32 PWS) were enriched by more than twofold in Finland. These findings demonstrate the power of bottlenecked populations to find entry points into the biology of common diseases through low-frequency, high impact variants.","container-title":"Nature","DOI":"10.1038/s41586-022-05473-8","ISSN":"1476-4687","issue":"7944","language":"en","license":"2023 The Author(s)","note":"publisher: Nature Publishing Group","page":"508-518","source":"www.nature.com","title":"FinnGen provides genetic insights from a well-phenotyped isolated population","volume":"613","author":[{"family":"Kurki","given":"Mitja I."},{"family":"Karjalainen","given":"Juha"},{"family":"Palta","given":"Priit"},{"family":"Sipilä","given":"Timo P."},{"family":"Kristiansson","given":"Kati"},{"family":"Donner","given":"Kati M."},{"family":"Reeve","given":"Mary P."},{"family":"Laivuori","given":"Hannele"},{"family":"Aavikko","given":"Mervi"},{"family":"Kaunisto","given":"Mari A."},{"family":"Loukola","given":"Anu"},{"family":"Lahtela","given":"Elisa"},{"family":"Mattsson","given":"Hannele"},{"family":"Laiho","given":"Päivi"},{"family":"Della Briotta Parolo","given":"Pietro"},{"family":"Lehisto","given":"Arto A."},{"family":"Kanai","given":"Masahiro"},{"family":"Mars","given":"Nina"},{"family":"Rämö","given":"Joel"},{"family":"Kiiskinen","given":"Tuomo"},{"family":"Heyne","given":"Henrike O."},{"family":"Veerapen","given":"Kumar"},{"family":"Rüeger","given":"Sina"},{"family":"Lemmelä","given":"Susanna"},{"family":"Zhou","given":"Wei"},{"family":"Ruotsalainen","given":"Sanni"},{"family":"Pärn","given":"Kalle"},{"family":"Hiekkalinna","given":"Tero"},{"family":"Koskelainen","given":"Sami"},{"family":"Paajanen","given":"Teemu"},{"family":"Llorens","given":"Vincent"},{"family":"Gracia-Tabuenca","given":"Javier"},{"family":"Siirtola","given":"Harri"},{"family":"Reis","given":"Kadri"},{"family":"Elnahas","given":"Abdelrahman G."},{"family":"Sun","given":"Benjamin"},{"family":"Foley","given":"Christopher N."},{"family":"Aalto-Setälä","given":"Katriina"},{"family":"Alasoo","given":"Kaur"},{"family":"Arvas","given":"Mikko"},{"family":"Auro","given":"Kirsi"},{"family":"Biswas","given":"Shameek"},{"family":"Bizaki-Vallaskangas","given":"Argyro"},{"family":"Carpen","given":"Olli"},{"family":"Chen","given":"Chia-Yen"},{"family":"Dada","given":"Oluwaseun A."},{"family":"Ding","given":"Zhihao"},{"family":"Ehm","given":"Margaret G."},{"family":"Eklund","given":"Kari"},{"family":"Färkkilä","given":"Martti"},{"family":"Finucane","given":"Hilary"},{"family":"Ganna","given":"Andrea"},{"family":"Ghazal","given":"Awaisa"},{"family":"Graham","given":"Robert R."},{"family":"Green","given":"Eric M."},{"family":"Hakanen","given":"Antti"},{"family":"Hautalahti","given":"Marco"},{"family":"Hedman","given":"Åsa K."},{"family":"Hiltunen","given":"Mikko"},{"family":"Hinttala","given":"Reetta"},{"family":"Hovatta","given":"Iiris"},{"family":"Hu","given":"Xinli"},{"family":"Huertas-Vazquez","given":"Adriana"},{"family":"Huilaja","given":"Laura"},{"family":"Hunkapiller","given":"Julie"},{"family":"Jacob","given":"Howard"},{"family":"Jensen","given":"Jan-Nygaard"},{"family":"Joensuu","given":"Heikki"},{"family":"John","given":"Sally"},{"family":"Julkunen","given":"Valtteri"},{"family":"Jung","given":"Marc"},{"family":"Junttila","given":"Juhani"},{"family":"Kaarniranta","given":"Kai"},{"family":"Kähönen","given":"Mika"},{"family":"Kajanne","given":"Risto"},{"family":"Kallio","given":"Lila"},{"family":"Kälviäinen","given":"Reetta"},{"family":"Kaprio","given":"Jaakko"},{"family":"Kerimov","given":"Nurlan"},{"family":"Kettunen","given":"Johannes"},{"family":"Kilpeläinen","given":"Elina"},{"family":"Kilpi","given":"Terhi"},{"family":"Klinger","given":"Katherine"},{"family":"Kosma","given":"Veli-Matti"},{"family":"Kuopio","given":"Teijo"},{"family":"Kurra","given":"Venla"},{"family":"Laisk","given":"Triin"},{"family":"Laukkanen","given":"Jari"},{"family":"Lawless","given":"Nathan"},{"family":"Liu","given":"Aoxing"},{"family":"Longerich","given":"Simonne"},{"family":"Mägi","given":"Reedik"},{"family":"Mäkelä","given":"Johanna"},{"family":"Mäkitie","given":"Antti"},{"family":"Malarstig","given":"Anders"},{"family":"Mannermaa","given":"Arto"},{"family":"Maranville","given":"Joseph"},{"family":"Matakidou","given":"Athena"},{"family":"Meretoja","given":"Tuomo"},{"family":"Mozaffari","given":"Sahar V."},{"family":"Niemi","given":"Mari E. K."},{"family":"Niemi","given":"Marianna"},{"family":"Niiranen","given":"Teemu"},{"family":"O´Donnell","given":"Christopher J."},{"family":"Obeidat","given":"Ma´en"},{"family":"Okafo","given":"George"},{"family":"Ollila","given":"Hanna M."},{"family":"Palomäki","given":"Antti"},{"family":"Palotie","given":"Tuula"},{"family":"Partanen","given":"Jukka"},{"family":"Paul","given":"Dirk S."},{"family":"Pelkonen","given":"Margit"},{"family":"Pendergrass","given":"Rion K."},{"family":"Petrovski","given":"Slavé"},{"family":"Pitkäranta","given":"Anne"},{"family":"Platt","given":"Adam"},{"family":"Pulford","given":"David"},{"family":"Punkka","given":"Eero"},{"family":"Pussinen","given":"Pirkko"},{"family":"Raghavan","given":"Neha"},{"family":"Rahimov","given":"Fedik"},{"family":"Rajpal","given":"Deepak"},{"family":"Renaud","given":"Nicole A."},{"family":"Riley-Gillis","given":"Bridget"},{"family":"Rodosthenous","given":"Rodosthenis"},{"family":"Saarentaus","given":"Elmo"},{"family":"Salminen","given":"Aino"},{"family":"Salminen","given":"Eveliina"},{"family":"Salomaa","given":"Veikko"},{"family":"Schleutker","given":"Johanna"},{"family":"Serpi","given":"Raisa"},{"family":"Shen","given":"Huei-yi"},{"family":"Siegel","given":"Richard"},{"family":"Silander","given":"Kaisa"},{"family":"Siltanen","given":"Sanna"},{"family":"Soini","given":"Sirpa"},{"family":"Soininen","given":"Hilkka"},{"family":"Sul","given":"Jae Hoon"},{"family":"Tachmazidou","given":"Ioanna"},{"family":"Tasanen","given":"Kaisa"},{"family":"Tienari","given":"Pentti"},{"family":"Toppila-Salmi","given":"Sanna"},{"family":"Tukiainen","given":"Taru"},{"family":"Tuomi","given":"Tiinamaija"},{"family":"Turunen","given":"Joni A."},{"family":"Ulirsch","given":"Jacob C."},{"family":"Vaura","given":"Felix"},{"family":"Virolainen","given":"Petri"},{"family":"Waring","given":"Jeffrey"},{"family":"Waterworth","given":"Dawn"},{"family":"Yang","given":"Robert"},{"family":"Nelis","given":"Mari"},{"family":"Reigo","given":"Anu"},{"family":"Metspalu","given":"Andres"},{"family":"Milani","given":"Lili"},{"family":"Esko","given":"Tõnu"},{"family":"Fox","given":"Caroline"},{"family":"Havulinna","given":"Aki S."},{"family":"Perola","given":"Markus"},{"family":"Ripatti","given":"Samuli"},{"family":"Jalanko","given":"Anu"},{"family":"Laitinen","given":"Tarja"},{"family":"Mäkelä","given":"Tomi P."},{"family":"Plenge","given":"Robert"},{"family":"McCarthy","given":"Mark"},{"family":"Runz","given":"Heiko"},{"family":"Daly","given":"Mark J."},{"family":"Palotie","given":"Aarno"}],"issued":{"date-parts":[["2023",1]]}}}],"schema":"https://github.com/citation-style-language/schema/raw/master/csl-citation.json"} </w:instrText>
      </w:r>
      <w:r w:rsidR="005B2BEF">
        <w:rPr>
          <w:lang w:val="en-GB"/>
        </w:rPr>
        <w:fldChar w:fldCharType="separate"/>
      </w:r>
      <w:r w:rsidR="005B2BEF" w:rsidRPr="005B2BEF">
        <w:rPr>
          <w:rFonts w:ascii="Aptos" w:cs="Times New Roman"/>
          <w:kern w:val="0"/>
          <w:vertAlign w:val="superscript"/>
        </w:rPr>
        <w:t>12</w:t>
      </w:r>
      <w:r w:rsidR="005B2BEF">
        <w:rPr>
          <w:lang w:val="en-GB"/>
        </w:rPr>
        <w:fldChar w:fldCharType="end"/>
      </w:r>
      <w:r w:rsidRPr="00B542E0">
        <w:rPr>
          <w:lang w:val="en-GB"/>
        </w:rPr>
        <w:t xml:space="preserve">, </w:t>
      </w:r>
      <w:bookmarkStart w:id="6" w:name="OLE_LINK11"/>
      <w:bookmarkStart w:id="7" w:name="OLE_LINK12"/>
      <w:r w:rsidR="00E568C9">
        <w:rPr>
          <w:lang w:val="en-GB"/>
        </w:rPr>
        <w:t xml:space="preserve">the </w:t>
      </w:r>
      <w:r w:rsidRPr="00B542E0">
        <w:rPr>
          <w:lang w:val="en-GB"/>
        </w:rPr>
        <w:t>All of Us Research Program</w:t>
      </w:r>
      <w:bookmarkEnd w:id="6"/>
      <w:bookmarkEnd w:id="7"/>
      <w:r w:rsidR="005B2BEF">
        <w:rPr>
          <w:lang w:val="en-GB"/>
        </w:rPr>
        <w:t xml:space="preserve"> </w:t>
      </w:r>
      <w:r w:rsidR="005B2BEF">
        <w:rPr>
          <w:lang w:val="en-GB"/>
        </w:rPr>
        <w:fldChar w:fldCharType="begin"/>
      </w:r>
      <w:r w:rsidR="005B2BEF">
        <w:rPr>
          <w:lang w:val="en-GB"/>
        </w:rPr>
        <w:instrText xml:space="preserve"> ADDIN ZOTERO_ITEM CSL_CITATION {"citationID":"wk6hNxda","properties":{"formattedCitation":"\\super 13,14\\nosupersub{}","plainCitation":"13,14","noteIndex":0},"citationItems":[{"id":832,"uris":["http://zotero.org/users/16405780/items/C8MRPWE6"],"itemData":{"id":832,"type":"article-journal","abstract":"Knowledge gained from observational cohort studies has dramatically advanced the prevention and treatment of diseases. Many of these cohorts, however, are small, lack diversity, or do not provide comprehensive phenotype data. The All of Us Research Program plans to enroll a diverse group of at least 1 million persons in the United States in order to accelerate biomedical research and improve health. The program aims to make the research results accessible to participants, and it is developing new approaches to generate, access, and make data broadly available to approved researchers. All of Us opened for enrollment in May 2018 and currently enrolls participants 18 years of age or older from a network of more than 340 recruitment sites. Elements of the program protocol include health questionnaires, electronic health records (EHRs), physical measurements, the use of digital health technology, and the collection and analysis of biospecimens. As of July 2019, more than 175,000 participants had contributed biospecimens. More than 80% of these participants are from groups that have been historically underrepresented in biomedical research. EHR data on more than 112,000 participants from 34 sites have been collected. The All of Us data repository should permit researchers to take into account individual differences in lifestyle, socioeconomic factors, environment, and biologic characteristics in order to advance precision diagnosis, prevention, and treatment. The U.S. research cohort All of Us was announced in 2015 and launched last year. With more than one fifth of the target enrollment now completed, the investigators report on progress and challenges.","container-title":"New England Journal of Medicine","DOI":"10.1056/NEJMsr1809937","ISSN":"0028-4793","issue":"7","note":"publisher: Massachusetts Medical Society\n_eprint: https://www.nejm.org/doi/pdf/10.1056/NEJMsr1809937","page":"668-676","source":"Taylor and Francis+NEJM","title":"The “All of Us” Research Program","volume":"381","author":[{"family":"null","given":"null"}],"issued":{"date-parts":[["2019",8,15]]}}},{"id":830,"uris":["http://zotero.org/users/16405780/items/GT4HS3V3"],"itemData":{"id":830,"type":"article-journal","abstract":"Comprehensively mapping the genetic basis of human disease across diverse individuals is a long-standing goal for the field of human genetics1–4. The All of Us Research Program is a longitudinal cohort study aiming to enrol a diverse group of at least one million individuals across the USA to accelerate biomedical research and improve human health5,6. Here we describe the programme’s genomics data release of 245,388 clinical-grade genome sequences. This resource is unique in its diversity as 77% of participants are from communities that are historically under-represented in biomedical research and 46% are individuals from under-represented racial and ethnic minorities. All of Us identified more than 1 billion genetic variants, including more than 275 million previously unreported genetic variants, more than 3.9 million of which had coding consequences. Leveraging linkage between genomic data and the longitudinal electronic health record, we evaluated 3,724 genetic variants associated with 117 diseases and found high replication rates across both participants of European ancestry and participants of African ancestry. Summary-level data are publicly available, and individual-level data can be accessed by researchers through the All of Us Researcher Workbench using a unique data passport model with a median time from initial researcher registration to data access of 29 hours. We anticipate that this diverse dataset will advance the promise of genomic medicine for all.","container-title":"Nature","DOI":"10.1038/s41586-023-06957-x","ISSN":"1476-4687","issue":"8003","language":"en","license":"2024 The Author(s)","note":"publisher: Nature Publishing Group","page":"340-346","source":"www.nature.com","title":"Genomic data in the All of Us Research Program","volume":"627","author":[{"family":"Bick","given":"Alexander G."},{"family":"Metcalf","given":"Ginger A."},{"family":"Mayo","given":"Kelsey R."},{"family":"Lichtenstein","given":"Lee"},{"family":"Rura","given":"Shimon"},{"family":"Carroll","given":"Robert J."},{"family":"Musick","given":"Anjene"},{"family":"Linder","given":"Jodell E."},{"family":"Jordan","given":"I. King"},{"family":"Nagar","given":"Shashwat Deepali"},{"family":"Sharma","given":"Shivam"},{"family":"Meller","given":"Robert"},{"family":"Basford","given":"Melissa"},{"family":"Boerwinkle","given":"Eric"},{"family":"Cicek","given":"Mine S."},{"family":"Doheny","given":"Kimberly F."},{"family":"Eichler","given":"Evan E."},{"family":"Gabriel","given":"Stacey"},{"family":"Gibbs","given":"Richard A."},{"family":"Glazer","given":"David"},{"family":"Harris","given":"Paul A."},{"family":"Jarvik","given":"Gail P."},{"family":"Philippakis","given":"Anthony"},{"family":"Rehm","given":"Heidi L."},{"family":"Roden","given":"Dan M."},{"family":"Thibodeau","given":"Stephen N."},{"family":"Topper","given":"Scott"},{"family":"Blegen","given":"Ashley L."},{"family":"Wirkus","given":"Samantha J."},{"family":"Wagner","given":"Victoria A."},{"family":"Meyer","given":"Jeffrey G."},{"family":"Cicek","given":"Mine S."},{"family":"Muzny","given":"Donna M."},{"family":"Venner","given":"Eric"},{"family":"Mawhinney","given":"Michelle Z."},{"family":"Griffith","given":"Sean M. L."},{"family":"Hsu","given":"Elvin"},{"family":"Ling","given":"Hua"},{"family":"Adams","given":"Marcia K."},{"family":"Walker","given":"Kimberly"},{"family":"Hu","given":"Jianhong"},{"family":"Doddapaneni","given":"Harsha"},{"family":"Kovar","given":"Christie L."},{"family":"Murugan","given":"Mullai"},{"family":"Dugan","given":"Shannon"},{"family":"Khan","given":"Ziad"},{"family":"Boerwinkle","given":"Eric"},{"family":"Lennon","given":"Niall J."},{"family":"Austin-Tse","given":"Christina"},{"family":"Banks","given":"Eric"},{"family":"Gatzen","given":"Michael"},{"family":"Gupta","given":"Namrata"},{"family":"Henricks","given":"Emma"},{"family":"Larsson","given":"Katie"},{"family":"McDonough","given":"Sheli"},{"family":"Harrison","given":"Steven M."},{"family":"Kachulis","given":"Christopher"},{"family":"Lebo","given":"Matthew S."},{"family":"Neben","given":"Cynthia L."},{"family":"Steeves","given":"Marcie"},{"family":"Zhou","given":"Alicia Y."},{"family":"Smith","given":"Joshua D."},{"family":"Frazar","given":"Christian D."},{"family":"Davis","given":"Colleen P."},{"family":"Patterson","given":"Karynne E."},{"family":"Wheeler","given":"Marsha M."},{"family":"McGee","given":"Sean"},{"family":"Lockwood","given":"Christina M."},{"family":"Shirts","given":"Brian H."},{"family":"Pritchard","given":"Colin C."},{"family":"Murray","given":"Mitzi L."},{"family":"Vasta","given":"Valeria"},{"family":"Leistritz","given":"Dru"},{"family":"Richardson","given":"Matthew A."},{"family":"Buchan","given":"Jillian G."},{"family":"Radhakrishnan","given":"Aparna"},{"family":"Krumm","given":"Niklas"},{"family":"Ehmen","given":"Brenna W."},{"family":"Schwartz","given":"Sophie"},{"family":"Aster","given":"M. Morgan T."},{"family":"Cibulskis","given":"Kristian"},{"family":"Haessly","given":"Andrea"},{"family":"Asch","given":"Rebecca"},{"family":"Cremer","given":"Aurora"},{"family":"Degatano","given":"Kylee"},{"family":"Shergill","given":"Akum"},{"family":"Gauthier","given":"Laura D."},{"family":"Lee","given":"Samuel K."},{"family":"Hatcher","given":"Aaron"},{"family":"Grant","given":"George B."},{"family":"Brandt","given":"Genevieve R."},{"family":"Covarrubias","given":"Miguel"},{"family":"Banks","given":"Eric"},{"family":"Able","given":"Ashley"},{"family":"Green","given":"Ashley E."},{"family":"Carroll","given":"Robert J."},{"family":"Zhang","given":"Jennifer"},{"family":"Condon","given":"Henry R."},{"family":"Wang","given":"Yuanyuan"},{"family":"Dillon","given":"Moira K."},{"family":"Albach","given":"C. H."},{"family":"Baalawi","given":"Wail"},{"family":"Choi","given":"Seung Hoan"},{"family":"Wang","given":"Xin"},{"family":"Rosenthal","given":"Elisabeth A."},{"family":"Ramirez","given":"Andrea H."},{"family":"Lim","given":"Sokny"},{"family":"Nambiar","given":"Siddhartha"},{"family":"Ozenberger","given":"Bradley"},{"family":"Wise","given":"Anastasia L."},{"family":"Lunt","given":"Chris"},{"family":"Ginsburg","given":"Geoffrey S."},{"family":"Denny","given":"Joshua C."},{"literal":"The All of Us Research Program Genomics Investigators"},{"literal":"Manuscript Writing Group"},{"literal":"All of Us Research Program Genomics Principal Investigators"},{"family":"Biobank","given":"Mayo"},{"literal":"Genome Center: Baylor-Hopkins Clinical Genome Center"},{"family":"Genome Center: Broad","given":"Color","suffix":"and Mass General Brigham Laboratory for Molecular Medicine"},{"literal":"Genome Center: University of Washington"},{"literal":"Data and Research Center"},{"literal":"All of Us Research Demonstration Project Teams"},{"literal":"NIH All of Us Research Program Staff"}],"issued":{"date-parts":[["2024",3]]}}}],"schema":"https://github.com/citation-style-language/schema/raw/master/csl-citation.json"} </w:instrText>
      </w:r>
      <w:r w:rsidR="005B2BEF">
        <w:rPr>
          <w:lang w:val="en-GB"/>
        </w:rPr>
        <w:fldChar w:fldCharType="separate"/>
      </w:r>
      <w:r w:rsidR="005B2BEF" w:rsidRPr="005B2BEF">
        <w:rPr>
          <w:rFonts w:ascii="Aptos" w:cs="Times New Roman"/>
          <w:kern w:val="0"/>
          <w:vertAlign w:val="superscript"/>
        </w:rPr>
        <w:t>13,14</w:t>
      </w:r>
      <w:r w:rsidR="005B2BEF">
        <w:rPr>
          <w:lang w:val="en-GB"/>
        </w:rPr>
        <w:fldChar w:fldCharType="end"/>
      </w:r>
      <w:r w:rsidRPr="00B542E0">
        <w:rPr>
          <w:lang w:val="en-GB"/>
        </w:rPr>
        <w:t xml:space="preserve">, and </w:t>
      </w:r>
      <w:bookmarkStart w:id="8" w:name="OLE_LINK13"/>
      <w:bookmarkStart w:id="9" w:name="OLE_LINK14"/>
      <w:r w:rsidR="00E568C9">
        <w:rPr>
          <w:lang w:val="en-GB"/>
        </w:rPr>
        <w:t xml:space="preserve">the </w:t>
      </w:r>
      <w:r w:rsidRPr="00B542E0">
        <w:rPr>
          <w:lang w:val="en-GB"/>
        </w:rPr>
        <w:t>Estonian Biobank</w:t>
      </w:r>
      <w:bookmarkEnd w:id="8"/>
      <w:bookmarkEnd w:id="9"/>
      <w:r w:rsidR="005B2BEF">
        <w:rPr>
          <w:lang w:val="en-GB"/>
        </w:rPr>
        <w:t xml:space="preserve"> </w:t>
      </w:r>
      <w:r w:rsidR="005B2BEF">
        <w:rPr>
          <w:lang w:val="en-GB"/>
        </w:rPr>
        <w:fldChar w:fldCharType="begin"/>
      </w:r>
      <w:r w:rsidR="005B2BEF">
        <w:rPr>
          <w:lang w:val="en-GB"/>
        </w:rPr>
        <w:instrText xml:space="preserve"> ADDIN ZOTERO_ITEM CSL_CITATION {"citationID":"fGOBJHVG","properties":{"formattedCitation":"\\super 15\\nosupersub{}","plainCitation":"15","noteIndex":0},"citationItems":[{"id":834,"uris":["http://zotero.org/users/16405780/items/QI2XGJ29"],"itemData":{"id":834,"type":"article-journal","abstract":"Large biobanks have set a new standard for research and innovation in human genomics and implementation of personalized medicine. The Estonian Biobank was founded a quarter of a century ago, and its biological specimens, clinical, health, omics, and lifestyle data have been included in over 800 publications to date. What makes the biobank unique internationally is its translational focus, with active efforts to conduct clinical studies based on genetic findings, and to explore the effects of return of results on participants. In this review, we provide an overview of the Estonian Biobank, highlight its strengths for studying the effects of genetic variation and quantitative phenotypes on health-related traits, development of methods and frameworks for bringing genomics into the clinic, and its role as a driving force for implementing personalized medicine on a national level and beyond.","container-title":"Nature Communications","DOI":"10.1038/s41467-025-58465-3","ISSN":"2041-1723","issue":"1","journalAbbreviation":"Nat Commun","language":"en","license":"2025 The Author(s)","note":"publisher: Nature Publishing Group","page":"3270","source":"www.nature.com","title":"The Estonian Biobank’s journey from biobanking to personalized medicine","volume":"16","author":[{"family":"Milani","given":"Lili"},{"family":"Alver","given":"Maris"},{"family":"Laur","given":"Sven"},{"family":"Reisberg","given":"Sulev"},{"family":"Haller","given":"Toomas"},{"family":"Aasmets","given":"Oliver"},{"family":"Abner","given":"Erik"},{"family":"Alavere","given":"Helene"},{"family":"Allik","given":"Annely"},{"family":"Annilo","given":"Tarmo"},{"family":"Fischer","given":"Krista"},{"family":"Hofmeister","given":"Robin"},{"family":"Hudjashov","given":"Georgi"},{"family":"Jõeloo","given":"Maarja"},{"family":"Kals","given":"Mart"},{"family":"Karo-Astover","given":"Liis"},{"family":"Kasela","given":"Silva"},{"family":"Kolde","given":"Anastassia"},{"family":"Krebs","given":"Kristi"},{"family":"Krigul","given":"Kertu Liis"},{"family":"Kronberg","given":"Jaanika"},{"family":"Kruusmaa","given":"Karoliina"},{"family":"Kukuškina","given":"Viktorija"},{"family":"Kõiv","given":"Kadri"},{"family":"Lehto","given":"Kelli"},{"family":"Leitsalu","given":"Liis"},{"family":"Lind","given":"Sirje"},{"family":"Luitva","given":"Laura Birgit"},{"family":"Läll","given":"Kristi"},{"family":"Lüll","given":"Kreete"},{"family":"Metsalu","given":"Kristjan"},{"family":"Metspalu","given":"Mait"},{"family":"Mõttus","given":"René"},{"family":"Nelis","given":"Mari"},{"family":"Nikopensius","given":"Tiit"},{"family":"Nurm","given":"Miriam"},{"family":"Nõukas","given":"Margit"},{"family":"Oja","given":"Marek"},{"family":"Org","given":"Elin"},{"family":"Palover","given":"Marili"},{"family":"Palta","given":"Priit"},{"family":"Pankratov","given":"Vasili"},{"family":"Pantiukh","given":"Kateryna"},{"family":"Pervjakova","given":"Natalia"},{"family":"Pujol-Gualdo","given":"Natàlia"},{"family":"Reigo","given":"Anu"},{"family":"Reimann","given":"Ene"},{"family":"Smit","given":"Steven"},{"family":"Rogozina","given":"Diana"},{"family":"Särg","given":"Dage"},{"family":"Taba","given":"Nele"},{"family":"Talvik","given":"Harry-Anton"},{"family":"Teder-Laving","given":"Maris"},{"family":"Tõnisson","given":"Neeme"},{"family":"Vaht","given":"Mariliis"},{"family":"Vainik","given":"Uku"},{"family":"Võsa","given":"Urmo"},{"family":"Yelmen","given":"Burak"},{"family":"Esko","given":"Tõnu"},{"family":"Kolde","given":"Raivo"},{"family":"Mägi","given":"Reedik"},{"family":"Vilo","given":"Jaak"},{"family":"Laisk","given":"Triin"},{"family":"Metspalu","given":"Andres"}],"issued":{"date-parts":[["2025",4,5]]}}}],"schema":"https://github.com/citation-style-language/schema/raw/master/csl-citation.json"} </w:instrText>
      </w:r>
      <w:r w:rsidR="005B2BEF">
        <w:rPr>
          <w:lang w:val="en-GB"/>
        </w:rPr>
        <w:fldChar w:fldCharType="separate"/>
      </w:r>
      <w:r w:rsidR="005B2BEF" w:rsidRPr="005B2BEF">
        <w:rPr>
          <w:rFonts w:ascii="Aptos" w:cs="Times New Roman"/>
          <w:kern w:val="0"/>
          <w:vertAlign w:val="superscript"/>
        </w:rPr>
        <w:t>15</w:t>
      </w:r>
      <w:r w:rsidR="005B2BEF">
        <w:rPr>
          <w:lang w:val="en-GB"/>
        </w:rPr>
        <w:fldChar w:fldCharType="end"/>
      </w:r>
      <w:r w:rsidR="00E568C9">
        <w:rPr>
          <w:lang w:val="en-GB"/>
        </w:rPr>
        <w:t xml:space="preserve">. </w:t>
      </w:r>
      <w:r w:rsidR="00C90485" w:rsidRPr="00C90485">
        <w:rPr>
          <w:lang w:val="en-GB"/>
        </w:rPr>
        <w:t>These biobanks have each adopted distinct approaches to data collection, participant recruitment, and research access policies. Despite their shared foundation in linking genomic data with longitudinal health records, they differ substantially in their demographic composition, phenotyping strategies, data-sharing frameworks, and institutional mandates. The UK Biobank has pioneered open-access models and deep phenotyping through imaging and environmental monitoring</w:t>
      </w:r>
      <w:r w:rsidR="008D6088">
        <w:rPr>
          <w:lang w:val="en-GB"/>
        </w:rPr>
        <w:t xml:space="preserve"> </w:t>
      </w:r>
      <w:r w:rsidR="008D6088">
        <w:rPr>
          <w:lang w:val="en-GB"/>
        </w:rPr>
        <w:fldChar w:fldCharType="begin"/>
      </w:r>
      <w:r w:rsidR="008D6088">
        <w:rPr>
          <w:lang w:val="en-GB"/>
        </w:rPr>
        <w:instrText xml:space="preserve"> ADDIN ZOTERO_ITEM CSL_CITATION {"citationID":"HepHpsj2","properties":{"formattedCitation":"\\super 10\\nosupersub{}","plainCitation":"10","noteIndex":0},"citationItems":[{"id":26,"uris":["http://zotero.org/users/16405780/items/S5NHCFRY"],"itemData":{"id":26,"type":"article-journal","abstract":"The UK Biobank project is a prospective cohort study with deep genetic and phenotypic data collected on approximately 500,000 individuals from across the United Kingdom, aged between 40 and 69 at recruitment. The open resource is unique in its size and scope. A rich variety of phenotypic and health-related information is available on each participant, including biological measurements, lifestyle indicators, biomarkers in blood and urine, and imaging of the body and brain. Follow-up information is provided by linking health and medical records. Genome-wide genotype data have been collected on all participants, providing many opportunities for the discovery of new genetic associations and the genetic bases of complex traits. Here we describe the centralized analysis of the genetic data, including genotype quality, properties of population structure and relatedness of the genetic data, and efficient phasing and genotype imputation that increases the number of testable variants to around 96 million. Classical allelic variation at 11 human leukocyte antigen genes was imputed, resulting in the recovery of signals with known associations between human leukocyte antigen alleles and many diseases.","container-title":"Nature","DOI":"10.1038/s41586-018-0579-z","ISSN":"1476-4687","issue":"7726","language":"en","license":"2018 Springer Nature Limited","note":"publisher: Nature Publishing Group","page":"203-209","source":"www.nature.com","title":"The UK Biobank resource with deep phenotyping and genomic data","volume":"562","author":[{"family":"Bycroft","given":"Clare"},{"family":"Freeman","given":"Colin"},{"family":"Petkova","given":"Desislava"},{"family":"Band","given":"Gavin"},{"family":"Elliott","given":"Lloyd T."},{"family":"Sharp","given":"Kevin"},{"family":"Motyer","given":"Allan"},{"family":"Vukcevic","given":"Damjan"},{"family":"Delaneau","given":"Olivier"},{"family":"O’Connell","given":"Jared"},{"family":"Cortes","given":"Adrian"},{"family":"Welsh","given":"Samantha"},{"family":"Young","given":"Alan"},{"family":"Effingham","given":"Mark"},{"family":"McVean","given":"Gil"},{"family":"Leslie","given":"Stephen"},{"family":"Allen","given":"Naomi"},{"family":"Donnelly","given":"Peter"},{"family":"Marchini","given":"Jonathan"}],"issued":{"date-parts":[["2018",10]]}}}],"schema":"https://github.com/citation-style-language/schema/raw/master/csl-citation.json"} </w:instrText>
      </w:r>
      <w:r w:rsidR="008D6088">
        <w:rPr>
          <w:lang w:val="en-GB"/>
        </w:rPr>
        <w:fldChar w:fldCharType="separate"/>
      </w:r>
      <w:r w:rsidR="008D6088" w:rsidRPr="008D6088">
        <w:rPr>
          <w:rFonts w:ascii="Aptos" w:cs="Times New Roman"/>
          <w:kern w:val="0"/>
          <w:vertAlign w:val="superscript"/>
        </w:rPr>
        <w:t>10</w:t>
      </w:r>
      <w:r w:rsidR="008D6088">
        <w:rPr>
          <w:lang w:val="en-GB"/>
        </w:rPr>
        <w:fldChar w:fldCharType="end"/>
      </w:r>
      <w:r w:rsidRPr="00B542E0">
        <w:rPr>
          <w:lang w:val="en-GB"/>
        </w:rPr>
        <w:t>, while initiatives like All of Us prioritize diversity and health equity</w:t>
      </w:r>
      <w:r w:rsidR="008D6088">
        <w:rPr>
          <w:lang w:val="en-GB"/>
        </w:rPr>
        <w:t xml:space="preserve"> </w:t>
      </w:r>
      <w:r w:rsidR="008D6088">
        <w:rPr>
          <w:lang w:val="en-GB"/>
        </w:rPr>
        <w:fldChar w:fldCharType="begin"/>
      </w:r>
      <w:r w:rsidR="008D6088">
        <w:rPr>
          <w:lang w:val="en-GB"/>
        </w:rPr>
        <w:instrText xml:space="preserve"> ADDIN ZOTERO_ITEM CSL_CITATION {"citationID":"Ck6eHbWq","properties":{"formattedCitation":"\\super 16\\nosupersub{}","plainCitation":"16","noteIndex":0},"citationItems":[{"id":836,"uris":["http://zotero.org/users/16405780/items/CSTB9R4Z"],"itemData":{"id":836,"type":"article-journal","abstract":"The All of Us Research Program (All of Us) is a national effort to accelerate health research by exploring the relationship between lifestyle, environment, and genetics. It is set to become one of the largest research efforts in U.S. history, aiming to build a national resource of data from at least one million participants. All of Us aims to address the need for more diversity in research and set the stage for that diversity to be leveraged in precision medicine research to come. This paper describes how the program assessed demographic characteristics of participants who have enrolled in other U.S. biomedical research cohorts to better understand which groups are traditionally represented or underrepresented in biomedical research. We 1) reviewed the enrollment characteristics of national cohort studies like All of Us, and 2) surveyed the literature, focusing on key diversity categories essential to the program’s enrollment aims. Based on these efforts, All of Us emphasizes enrollment of racial and ethnic minorities, and has formally designated the following additional groups as historically underrepresented: individuals—with inadequate access to medical care; under the age of 18 or over 65; with an annual household income at or below 200% of the federal poverty level; who have a cognitive or physical disability; have less than a high school education or equivalent; are intersex; identify as a sexual or gender minority; or live in rural or non-metropolitan areas. Research accounting for wider demographic variability is critical. Only by ensuring diversity and by addressing the very barriers that limit it, can we position All of Us to better understand and tackle health disparities.","container-title":"PLOS ONE","DOI":"10.1371/journal.pone.0234962","ISSN":"1932-6203","issue":"7","journalAbbreviation":"PLOS ONE","language":"en","note":"publisher: Public Library of Science","page":"e0234962","source":"PLoS Journals","title":"Diversity and inclusion for the All of Us research program: A scoping review","title-short":"Diversity and inclusion for the All of Us research program","volume":"15","author":[{"family":"Mapes","given":"Brandy M."},{"family":"Foster","given":"Christopher S."},{"family":"Kusnoor","given":"Sheila V."},{"family":"Epelbaum","given":"Marcia I."},{"family":"AuYoung","given":"Mona"},{"family":"Jenkins","given":"Gwynne"},{"family":"Lopez-Class","given":"Maria"},{"family":"Richardson-Heron","given":"Dara"},{"family":"Elmi","given":"Ahmed"},{"family":"Surkan","given":"Karl"},{"family":"Cronin","given":"Robert M."},{"family":"Wilkins","given":"Consuelo H."},{"family":"Pérez-Stable","given":"Eliseo J."},{"family":"Dishman","given":"Eric"},{"family":"Denny","given":"Joshua C."},{"family":"Rutter","given":"Joni L."},{"family":"Program","given":"the All of Us Research"}],"issued":{"date-parts":[["2020",7,1]]}}}],"schema":"https://github.com/citation-style-language/schema/raw/master/csl-citation.json"} </w:instrText>
      </w:r>
      <w:r w:rsidR="008D6088">
        <w:rPr>
          <w:lang w:val="en-GB"/>
        </w:rPr>
        <w:fldChar w:fldCharType="separate"/>
      </w:r>
      <w:r w:rsidR="008D6088" w:rsidRPr="008D6088">
        <w:rPr>
          <w:rFonts w:ascii="Aptos" w:cs="Times New Roman"/>
          <w:kern w:val="0"/>
          <w:vertAlign w:val="superscript"/>
        </w:rPr>
        <w:t>16</w:t>
      </w:r>
      <w:r w:rsidR="008D6088">
        <w:rPr>
          <w:lang w:val="en-GB"/>
        </w:rPr>
        <w:fldChar w:fldCharType="end"/>
      </w:r>
      <w:r w:rsidRPr="00B542E0">
        <w:rPr>
          <w:lang w:val="en-GB"/>
        </w:rPr>
        <w:t>, and specialized programs like MVP focus on veteran populations with unique exposure profiles.</w:t>
      </w:r>
    </w:p>
    <w:p w14:paraId="7AC7B85E" w14:textId="3D0F5825" w:rsidR="00B542E0" w:rsidRPr="00B542E0" w:rsidRDefault="00B542E0" w:rsidP="00B542E0">
      <w:pPr>
        <w:jc w:val="both"/>
        <w:rPr>
          <w:lang w:val="en-GB"/>
        </w:rPr>
      </w:pPr>
      <w:r w:rsidRPr="00B542E0">
        <w:rPr>
          <w:lang w:val="en-GB"/>
        </w:rPr>
        <w:t xml:space="preserve">The </w:t>
      </w:r>
      <w:bookmarkStart w:id="10" w:name="OLE_LINK19"/>
      <w:bookmarkStart w:id="11" w:name="OLE_LINK20"/>
      <w:r w:rsidRPr="00B542E0">
        <w:rPr>
          <w:lang w:val="en-GB"/>
        </w:rPr>
        <w:t>scientific impact of these biobanks has grown exponentially</w:t>
      </w:r>
      <w:bookmarkEnd w:id="10"/>
      <w:bookmarkEnd w:id="11"/>
      <w:r w:rsidR="0007505F">
        <w:rPr>
          <w:lang w:val="en-GB"/>
        </w:rPr>
        <w:t xml:space="preserve"> </w:t>
      </w:r>
      <w:r w:rsidR="0007505F">
        <w:rPr>
          <w:lang w:val="en-GB"/>
        </w:rPr>
        <w:fldChar w:fldCharType="begin"/>
      </w:r>
      <w:r w:rsidR="0007505F">
        <w:rPr>
          <w:lang w:val="en-GB"/>
        </w:rPr>
        <w:instrText xml:space="preserve"> ADDIN ZOTERO_ITEM CSL_CITATION {"citationID":"LZqFcpIu","properties":{"unsorted":true,"formattedCitation":"\\super 17\\uc0\\u8211{}19\\nosupersub{}","plainCitation":"17–19","noteIndex":0},"citationItems":[{"id":846,"uris":["http://zotero.org/users/16405780/items/EM3BQKJT"],"itemData":{"id":846,"type":"article-journal","abstract":"The aim of the present review is to discuss how the promising field of biobanking can support health care research strategies. As the concept has evolved over time, biobanks have grown from simple biological sample repositories to complex and dynamic units belonging to large infrastructure networks, such as the Pan-European Biobanking and Biomolecular Resources Research Infrastructure (BBMRI). Biobanks were established to support scientific knowledge. Different professional figures with varied expertise collaborate to obtain and collect biological and clinical data from human subjects. At same time biobanks preserve the human and legal rights of each person that offers biomaterial for research.","container-title":"Journal of Translational Medicine","DOI":"10.1186/s12967-019-1922-3","ISSN":"1479-5876","issue":"1","journalAbbreviation":"Journal of Translational Medicine","page":"172","source":"BioMed Central","title":"Biobanking in health care: evolution and future directions","title-short":"Biobanking in health care","volume":"17","author":[{"family":"Coppola","given":"Luigi"},{"family":"Cianflone","given":"Alessandra"},{"family":"Grimaldi","given":"Anna Maria"},{"family":"Incoronato","given":"Mariarosaria"},{"family":"Bevilacqua","given":"Paolo"},{"family":"Messina","given":"Francesco"},{"family":"Baselice","given":"Simona"},{"family":"Soricelli","given":"Andrea"},{"family":"Mirabelli","given":"Peppino"},{"family":"Salvatore","given":"Marco"}],"issued":{"date-parts":[["2019",5,22]]}}},{"id":844,"uris":["http://zotero.org/users/16405780/items/Z6YV4CQW"],"itemData":{"id":844,"type":"article-journal","abstract":"Biobanking is entering the new era—era of big data. New technologies, techniques, and knowledge opened the potential of the whole domain of biobanking. Biobanks collect, analyse, store, and share the samples and associated data. Both samples and especially associated data are growing enormously, and new innovative approaches are required to handle samples and to utilize the potential of biobanking data. The data reached the quantity and quality of big data, and the scientists are facing the questions how to use them more efficiently, both retrospectively and prospectively with the aim to discover new preventive methods, optimize treatment, and follow up and to optimize healthcare processes. Biobanking in the era of big data contribute to the development of predictive, preventive, and personalised medicine, for every patient providing the right treatment at the right time. Biobanking in the era of big data contributes to the paradigm shift towards personalising of healthcare.","container-title":"The EPMA Journal","DOI":"10.1007/s13167-020-00213-2","ISSN":"1878-5077","issue":"3","journalAbbreviation":"EPMA J","note":"PMID: 32849924\nPMCID: PMC7429593","page":"333-341","source":"PubMed Central","title":"Biobanks in the era of big data: objectives, challenges, perspectives, and innovations for predictive, preventive, and personalised medicine","title-short":"Biobanks in the era of big data","volume":"11","author":[{"family":"Kinkorová","given":"Judita"},{"family":"Topolčan","given":"Ondřej"}],"issued":{"date-parts":[["2020",6,18]]}}},{"id":842,"uris":["http://zotero.org/users/16405780/items/MNDDHV2C"],"itemData":{"id":842,"type":"article-journal","abstract":"The importance and utility of biobanks has increased exponentially since their inception and creation. Initially used as part of translational research, they now contribute over 40% of data for all cancer research papers in the United States of America and play a crucial role in all aspects of healthcare. Multiple classification systems exist but a simplified approach is to either classify as population-based or disease-oriented entities. Whilst historically publicly funded institutions, there has been a significant increase in industry funded entities across the world which has changed the dynamic of biobanks offering new possibilities but also new challenges. Biobanks face legal questions over data sharing and intellectual property as well as ethical and sustainability questions particularly as the world attempts to move to a low-carbon economy. International collaboration is required to address some of these challenges but this in itself is fraught with complexity and difficulty. This review will examine the current utility of biobanks in the modern healthcare setting as well as the current and future challenges these vital institutions face.","container-title":"World Journal of Methodology","DOI":"10.5662/wjm.v14.i4.91387","ISSN":"2222-0682","issue":"4","journalAbbreviation":"World J Methodol","note":"PMID: 39712565\nPMCID: PMC11287535","page":"91387","source":"PubMed Central","title":"Biobanks and biomarkers: Their current and future role in biomedical research","title-short":"Biobanks and biomarkers","volume":"14","author":[{"family":"Colwill","given":"Michael"},{"family":"Baillie","given":"Samantha"},{"family":"Pollok","given":"Richard"},{"family":"Poullis","given":"Andrew"}],"issued":{"date-parts":[["2024",12,20]]}}}],"schema":"https://github.com/citation-style-language/schema/raw/master/csl-citation.json"} </w:instrText>
      </w:r>
      <w:r w:rsidR="0007505F">
        <w:rPr>
          <w:lang w:val="en-GB"/>
        </w:rPr>
        <w:fldChar w:fldCharType="separate"/>
      </w:r>
      <w:r w:rsidR="0007505F" w:rsidRPr="0007505F">
        <w:rPr>
          <w:rFonts w:ascii="Aptos" w:cs="Times New Roman"/>
          <w:kern w:val="0"/>
          <w:vertAlign w:val="superscript"/>
        </w:rPr>
        <w:t>17–19</w:t>
      </w:r>
      <w:r w:rsidR="0007505F">
        <w:rPr>
          <w:lang w:val="en-GB"/>
        </w:rPr>
        <w:fldChar w:fldCharType="end"/>
      </w:r>
      <w:r w:rsidRPr="00B542E0">
        <w:rPr>
          <w:lang w:val="en-GB"/>
        </w:rPr>
        <w:t xml:space="preserve">, generating thousands of publications across disciplines ranging from genomic epidemiology to environmental health. </w:t>
      </w:r>
      <w:r w:rsidR="00C90485" w:rsidRPr="00C90485">
        <w:rPr>
          <w:lang w:val="en-GB"/>
        </w:rPr>
        <w:t>However, the rapid proliferation of biobank-enabled research has made it increasingly difficult to comprehensively assess the thematic landscape, identify research priorities, and understand how different biobanks contribute to distinct areas of biomedical knowledge. Traditional bibliometric approaches, however, often fail to capture the semantic complexity of biobank research, which spans multiple methodological frameworks, disease domains, and population contexts</w:t>
      </w:r>
      <w:r w:rsidRPr="00B542E0">
        <w:rPr>
          <w:lang w:val="en-GB"/>
        </w:rPr>
        <w:t>.</w:t>
      </w:r>
    </w:p>
    <w:p w14:paraId="5AF8E343" w14:textId="18EB2C18" w:rsidR="00B542E0" w:rsidRPr="00B542E0" w:rsidRDefault="00B542E0" w:rsidP="00B542E0">
      <w:pPr>
        <w:jc w:val="both"/>
        <w:rPr>
          <w:lang w:val="en-GB"/>
        </w:rPr>
      </w:pPr>
      <w:r w:rsidRPr="00B542E0">
        <w:rPr>
          <w:lang w:val="en-GB"/>
        </w:rPr>
        <w:t>Understanding the research footprint of global biobank initiatives is crucial for several reasons. First, it enables funding agencies and research institutions to identify gaps and opportunities in the biobank research ecosystem. Second, it helps researchers navigate the complex landscape of available resources and identify the most appropriate biobank for specific research questions. Third, it provides insights into how different design philosophies and access policies translate into research outputs and thematic focus. Finally, comprehensive mapping of biobank research can inform future biobank development and highlight emerging</w:t>
      </w:r>
      <w:r w:rsidR="00D621C9">
        <w:rPr>
          <w:lang w:val="en-GB"/>
        </w:rPr>
        <w:t xml:space="preserve"> </w:t>
      </w:r>
      <w:r w:rsidRPr="00B542E0">
        <w:rPr>
          <w:lang w:val="en-GB"/>
        </w:rPr>
        <w:t>areas of scientific convergence or divergence.</w:t>
      </w:r>
    </w:p>
    <w:p w14:paraId="14F85072" w14:textId="77777777" w:rsidR="00C90485" w:rsidRPr="00C90485" w:rsidRDefault="00B542E0" w:rsidP="00C90485">
      <w:pPr>
        <w:jc w:val="both"/>
        <w:rPr>
          <w:lang w:val="en-GB"/>
        </w:rPr>
      </w:pPr>
      <w:r w:rsidRPr="00B542E0">
        <w:rPr>
          <w:lang w:val="en-GB"/>
        </w:rPr>
        <w:t xml:space="preserve">Previous efforts to characterize biobank research have typically focused on single initiatives </w:t>
      </w:r>
      <w:r w:rsidR="00934CD6">
        <w:rPr>
          <w:lang w:val="en-GB"/>
        </w:rPr>
        <w:t xml:space="preserve"> </w:t>
      </w:r>
      <w:r w:rsidRPr="00B542E0">
        <w:rPr>
          <w:lang w:val="en-GB"/>
        </w:rPr>
        <w:t>or specific disease domains</w:t>
      </w:r>
      <w:r w:rsidR="00934CD6">
        <w:rPr>
          <w:lang w:val="en-GB"/>
        </w:rPr>
        <w:t xml:space="preserve"> (e.g., </w:t>
      </w:r>
      <w:r w:rsidR="00934CD6">
        <w:rPr>
          <w:lang w:val="en-GB"/>
        </w:rPr>
        <w:fldChar w:fldCharType="begin"/>
      </w:r>
      <w:r w:rsidR="0007505F">
        <w:rPr>
          <w:lang w:val="en-GB"/>
        </w:rPr>
        <w:instrText xml:space="preserve"> ADDIN ZOTERO_ITEM CSL_CITATION {"citationID":"ylNACvmO","properties":{"unsorted":true,"formattedCitation":"\\super 20,21\\nosupersub{}","plainCitation":"20,21","noteIndex":0},"citationItems":[{"id":840,"uris":["http://zotero.org/users/16405780/items/XYDL</w:instrText>
      </w:r>
      <w:r w:rsidR="0007505F">
        <w:rPr>
          <w:rFonts w:hint="eastAsia"/>
          <w:lang w:val="en-GB"/>
        </w:rPr>
        <w:instrText>ESYI"],"itemData":{"id":840,"type":"article-journal","abstract":"BackgroundCardiovascular diseases (CVDs) are a leading global health concern. Emerging evidence suggests a potential protective role of well</w:instrText>
      </w:r>
      <w:r w:rsidR="0007505F">
        <w:rPr>
          <w:rFonts w:hint="eastAsia"/>
          <w:lang w:val="en-GB"/>
        </w:rPr>
        <w:instrText>‐</w:instrText>
      </w:r>
      <w:r w:rsidR="0007505F">
        <w:rPr>
          <w:rFonts w:hint="eastAsia"/>
          <w:lang w:val="en-GB"/>
        </w:rPr>
        <w:instrText xml:space="preserve">being in reducing CVD risk.Methods and ResultsWe </w:instrText>
      </w:r>
      <w:r w:rsidR="0007505F">
        <w:rPr>
          <w:lang w:val="en-GB"/>
        </w:rPr>
        <w:instrText>conducted a cohort analysis using the UK Biobank data set, encompassing 121 317 participants. We assessed the well</w:instrText>
      </w:r>
      <w:r w:rsidR="0007505F">
        <w:rPr>
          <w:rFonts w:hint="eastAsia"/>
          <w:lang w:val="en-GB"/>
        </w:rPr>
        <w:instrText>‐</w:instrText>
      </w:r>
      <w:r w:rsidR="0007505F">
        <w:rPr>
          <w:lang w:val="en-GB"/>
        </w:rPr>
        <w:instrText>being of participants using a well</w:instrText>
      </w:r>
      <w:r w:rsidR="0007505F">
        <w:rPr>
          <w:rFonts w:hint="eastAsia"/>
          <w:lang w:val="en-GB"/>
        </w:rPr>
        <w:instrText>‐</w:instrText>
      </w:r>
      <w:r w:rsidR="0007505F">
        <w:rPr>
          <w:lang w:val="en-GB"/>
        </w:rPr>
        <w:instrText>being index derived from baseline questionnaires. Well</w:instrText>
      </w:r>
      <w:r w:rsidR="0007505F">
        <w:rPr>
          <w:rFonts w:hint="eastAsia"/>
          <w:lang w:val="en-GB"/>
        </w:rPr>
        <w:instrText>‐</w:instrText>
      </w:r>
      <w:r w:rsidR="0007505F">
        <w:rPr>
          <w:lang w:val="en-GB"/>
        </w:rPr>
        <w:instrText>being categories were derived by latent class anal</w:instrText>
      </w:r>
      <w:r w:rsidR="0007505F">
        <w:rPr>
          <w:rFonts w:hint="eastAsia"/>
          <w:lang w:val="en-GB"/>
        </w:rPr>
        <w:instrText>ysis using general happiness and satisfaction with family, friendships, health, and finance situations. The relationship between well</w:instrText>
      </w:r>
      <w:r w:rsidR="0007505F">
        <w:rPr>
          <w:rFonts w:hint="eastAsia"/>
          <w:lang w:val="en-GB"/>
        </w:rPr>
        <w:instrText>‐</w:instrText>
      </w:r>
      <w:r w:rsidR="0007505F">
        <w:rPr>
          <w:rFonts w:hint="eastAsia"/>
          <w:lang w:val="en-GB"/>
        </w:rPr>
        <w:instrText>being and 4 major CVDs was analyzed using Cox proportional hazards models and Mendelian randomization. The study also examined the impacts of well</w:instrText>
      </w:r>
      <w:r w:rsidR="0007505F">
        <w:rPr>
          <w:rFonts w:hint="eastAsia"/>
          <w:lang w:val="en-GB"/>
        </w:rPr>
        <w:instrText>‐</w:instrText>
      </w:r>
      <w:r w:rsidR="0007505F">
        <w:rPr>
          <w:rFonts w:hint="eastAsia"/>
          <w:lang w:val="en-GB"/>
        </w:rPr>
        <w:instrText>being on lifestyle factors and inflammatory markers, and its mediating role in the well</w:instrText>
      </w:r>
      <w:r w:rsidR="0007505F">
        <w:rPr>
          <w:rFonts w:hint="eastAsia"/>
          <w:lang w:val="en-GB"/>
        </w:rPr>
        <w:instrText>‐</w:instrText>
      </w:r>
      <w:r w:rsidR="0007505F">
        <w:rPr>
          <w:rFonts w:hint="eastAsia"/>
          <w:lang w:val="en-GB"/>
        </w:rPr>
        <w:instrText>being</w:instrText>
      </w:r>
      <w:r w:rsidR="0007505F">
        <w:rPr>
          <w:rFonts w:hint="eastAsia"/>
          <w:lang w:val="en-GB"/>
        </w:rPr>
        <w:instrText>–</w:instrText>
      </w:r>
      <w:r w:rsidR="0007505F">
        <w:rPr>
          <w:rFonts w:hint="eastAsia"/>
          <w:lang w:val="en-GB"/>
        </w:rPr>
        <w:instrText>CVD relationship. Higher well</w:instrText>
      </w:r>
      <w:r w:rsidR="0007505F">
        <w:rPr>
          <w:rFonts w:hint="eastAsia"/>
          <w:lang w:val="en-GB"/>
        </w:rPr>
        <w:instrText>‐</w:instrText>
      </w:r>
      <w:r w:rsidR="0007505F">
        <w:rPr>
          <w:rFonts w:hint="eastAsia"/>
          <w:lang w:val="en-GB"/>
        </w:rPr>
        <w:instrText>being was associated with a significantly reduced risk of various CVDs. Latent class analysis identified 4 distinct well</w:instrText>
      </w:r>
      <w:r w:rsidR="0007505F">
        <w:rPr>
          <w:rFonts w:hint="eastAsia"/>
          <w:lang w:val="en-GB"/>
        </w:rPr>
        <w:instrText>‐</w:instrText>
      </w:r>
      <w:r w:rsidR="0007505F">
        <w:rPr>
          <w:rFonts w:hint="eastAsia"/>
          <w:lang w:val="en-GB"/>
        </w:rPr>
        <w:instrText>being groups (low, variable, moderate</w:instrText>
      </w:r>
      <w:r w:rsidR="0007505F">
        <w:rPr>
          <w:rFonts w:hint="eastAsia"/>
          <w:lang w:val="en-GB"/>
        </w:rPr>
        <w:instrText>‐</w:instrText>
      </w:r>
      <w:r w:rsidR="0007505F">
        <w:rPr>
          <w:rFonts w:hint="eastAsia"/>
          <w:lang w:val="en-GB"/>
        </w:rPr>
        <w:instrText>to</w:instrText>
      </w:r>
      <w:r w:rsidR="0007505F">
        <w:rPr>
          <w:rFonts w:hint="eastAsia"/>
          <w:lang w:val="en-GB"/>
        </w:rPr>
        <w:instrText>‐</w:instrText>
      </w:r>
      <w:r w:rsidR="0007505F">
        <w:rPr>
          <w:rFonts w:hint="eastAsia"/>
          <w:lang w:val="en-GB"/>
        </w:rPr>
        <w:instrText>high, and high satisfaction), with higher satisfaction levels generally associated with lower risk of CVDs. Mendelian randomization suggested potential causal relationships between well</w:instrText>
      </w:r>
      <w:r w:rsidR="0007505F">
        <w:rPr>
          <w:rFonts w:hint="eastAsia"/>
          <w:lang w:val="en-GB"/>
        </w:rPr>
        <w:instrText>‐</w:instrText>
      </w:r>
      <w:r w:rsidR="0007505F">
        <w:rPr>
          <w:rFonts w:hint="eastAsia"/>
          <w:lang w:val="en-GB"/>
        </w:rPr>
        <w:instrText>being and reduced risk of CVDs. Participants with greater well</w:instrText>
      </w:r>
      <w:r w:rsidR="0007505F">
        <w:rPr>
          <w:rFonts w:hint="eastAsia"/>
          <w:lang w:val="en-GB"/>
        </w:rPr>
        <w:instrText>‐</w:instrText>
      </w:r>
      <w:r w:rsidR="0007505F">
        <w:rPr>
          <w:rFonts w:hint="eastAsia"/>
          <w:lang w:val="en-GB"/>
        </w:rPr>
        <w:instrText>being demonstrated healthier behaviors and lower levels of inflammatory markers. Mediation analysis indicated that lifestyle and inflammatory markers partially mediated the relationship between well</w:instrText>
      </w:r>
      <w:r w:rsidR="0007505F">
        <w:rPr>
          <w:rFonts w:hint="eastAsia"/>
          <w:lang w:val="en-GB"/>
        </w:rPr>
        <w:instrText>‐</w:instrText>
      </w:r>
      <w:r w:rsidR="0007505F">
        <w:rPr>
          <w:rFonts w:hint="eastAsia"/>
          <w:lang w:val="en-GB"/>
        </w:rPr>
        <w:instrText>being and CVDs.ConclusionsThis study demonstrates a robust inverse association between well</w:instrText>
      </w:r>
      <w:r w:rsidR="0007505F">
        <w:rPr>
          <w:rFonts w:hint="eastAsia"/>
          <w:lang w:val="en-GB"/>
        </w:rPr>
        <w:instrText>‐</w:instrText>
      </w:r>
      <w:r w:rsidR="0007505F">
        <w:rPr>
          <w:rFonts w:hint="eastAsia"/>
          <w:lang w:val="en-GB"/>
        </w:rPr>
        <w:instrText>being and the risks of CVDs, suggesting that enhancing well</w:instrText>
      </w:r>
      <w:r w:rsidR="0007505F">
        <w:rPr>
          <w:rFonts w:hint="eastAsia"/>
          <w:lang w:val="en-GB"/>
        </w:rPr>
        <w:instrText>‐</w:instrText>
      </w:r>
      <w:r w:rsidR="0007505F">
        <w:rPr>
          <w:rFonts w:hint="eastAsia"/>
          <w:lang w:val="en-GB"/>
        </w:rPr>
        <w:instrText>being may be a viable strategy for CVD prevention. The role of lifestyle factors and inflammation as a media</w:instrText>
      </w:r>
      <w:r w:rsidR="0007505F">
        <w:rPr>
          <w:lang w:val="en-GB"/>
        </w:rPr>
        <w:instrText>tor provides insight into possible biological pathways linking psychological states and cardiovascular health.","container-title":"Journal of the American Heart Association","DOI":"10.1161/JAHA.124.035225","issue":"19","note":"publisher: Wiley","page":"e0</w:instrText>
      </w:r>
      <w:r w:rsidR="0007505F">
        <w:rPr>
          <w:rFonts w:hint="eastAsia"/>
          <w:lang w:val="en-GB"/>
        </w:rPr>
        <w:instrText>35225","source":"ahajournals.org (Atypon)","title":"Well</w:instrText>
      </w:r>
      <w:r w:rsidR="0007505F">
        <w:rPr>
          <w:rFonts w:hint="eastAsia"/>
          <w:lang w:val="en-GB"/>
        </w:rPr>
        <w:instrText>‐</w:instrText>
      </w:r>
      <w:r w:rsidR="0007505F">
        <w:rPr>
          <w:rFonts w:hint="eastAsia"/>
          <w:lang w:val="en-GB"/>
        </w:rPr>
        <w:instrText>Being and Cardiovascular Health: Insights From the UK Biobank Study","title-short":"Well</w:instrText>
      </w:r>
      <w:r w:rsidR="0007505F">
        <w:rPr>
          <w:rFonts w:hint="eastAsia"/>
          <w:lang w:val="en-GB"/>
        </w:rPr>
        <w:instrText>‐</w:instrText>
      </w:r>
      <w:r w:rsidR="0007505F">
        <w:rPr>
          <w:rFonts w:hint="eastAsia"/>
          <w:lang w:val="en-GB"/>
        </w:rPr>
        <w:instrText>Being and Cardiovascular Health","volume":"13","author":[{"family":"Zhong","given":"Jinghui"},{"family":"Zhan</w:instrText>
      </w:r>
      <w:r w:rsidR="0007505F">
        <w:rPr>
          <w:lang w:val="en-GB"/>
        </w:rPr>
        <w:instrText xml:space="preserve">g","given":"Pan"},{"family":"Dong","given":"Yiran"},{"family":"Xu","given":"Yingjie"},{"family":"Huang","given":"Hongmei"},{"family":"Ye","given":"Ruidong"},{"family":"Liu","given":"Xinfeng"},{"family":"Sun","given":"Wen"}],"issued":{"date-parts":[["2024",10]]}}},{"id":838,"uris":["http://zotero.org/users/16405780/items/HMCGJQJ4"],"itemData":{"id":838,"type":"article","abstract":"Large Language Models (LLMs) offer transformative potential for analysing biobank-derived datasets, facilitating knowledge extraction, patient stratification, and predictive modelling. This study benchmarks multiple LLMs in retrieving biomedical insights from a leading biobank, the UK Biobank. UK Biobank-related literature is used as gold standard for assessing coverage and retrieval of some of the best known LLMs, including GPT, Claude, Gemini, Mistral, Llama and DeekSeek. The findings highlight each model&amp;amp;rsquo;s strengths and limitations, emphasising challenges in data heterogeneity and accessibility. We suggest future research should take advantage of the power of LLMs for enhanced precision in biobank knowledge extraction.","DOI":"10.21203/rs.3.rs-6098960/v1","note":"ISSN: 2693-5015","publisher":"Research Square","source":"Research Square","title":"Large Language Models for Mining Biobank-Derived Insights into Health and Disease","URL":"https://www.researchsquare.com/article/rs-6098960/v1","author":[{"family":"Corpas","given":"Manuel"},{"family":"Iacoangeli","given":"Alfredo"}],"accessed":{"date-parts":[["2025",7,2]]},"issued":{"date-parts":[["2025",3,10]]}}}],"schema":"https://github.com/citation-style-language/schema/raw/master/csl-citation.json"} </w:instrText>
      </w:r>
      <w:r w:rsidR="00934CD6">
        <w:rPr>
          <w:lang w:val="en-GB"/>
        </w:rPr>
        <w:fldChar w:fldCharType="separate"/>
      </w:r>
      <w:r w:rsidR="0007505F" w:rsidRPr="0007505F">
        <w:rPr>
          <w:rFonts w:ascii="Aptos" w:cs="Times New Roman"/>
          <w:kern w:val="0"/>
          <w:vertAlign w:val="superscript"/>
        </w:rPr>
        <w:t>20,21</w:t>
      </w:r>
      <w:r w:rsidR="00934CD6">
        <w:rPr>
          <w:lang w:val="en-GB"/>
        </w:rPr>
        <w:fldChar w:fldCharType="end"/>
      </w:r>
      <w:r w:rsidR="00934CD6">
        <w:rPr>
          <w:lang w:val="en-GB"/>
        </w:rPr>
        <w:t>),</w:t>
      </w:r>
      <w:r w:rsidRPr="00B542E0">
        <w:rPr>
          <w:lang w:val="en-GB"/>
        </w:rPr>
        <w:t xml:space="preserve"> </w:t>
      </w:r>
      <w:r w:rsidR="00C90485" w:rsidRPr="00C90485">
        <w:rPr>
          <w:lang w:val="en-GB"/>
        </w:rPr>
        <w:t xml:space="preserve">leaving gaps in our understanding of the </w:t>
      </w:r>
      <w:r w:rsidR="00C90485" w:rsidRPr="00C90485">
        <w:rPr>
          <w:lang w:val="en-GB"/>
        </w:rPr>
        <w:lastRenderedPageBreak/>
        <w:t>broader ecosystem. Moreover, existing analyses may not capture the full semantic complexity of biobank research themes or provide a systematic basis for cross-biobank comparison. However, with the advent of advanced computational methods for semantic analysis, new opportunities arise to identify latent thematic structures, compare institutional focus areas, and quantify alignment with global health needs.</w:t>
      </w:r>
    </w:p>
    <w:p w14:paraId="1532D991" w14:textId="77777777" w:rsidR="00C90485" w:rsidRPr="00C90485" w:rsidRDefault="00C90485" w:rsidP="00C90485">
      <w:pPr>
        <w:jc w:val="both"/>
        <w:rPr>
          <w:lang w:val="en-GB"/>
        </w:rPr>
      </w:pPr>
      <w:r w:rsidRPr="00C90485">
        <w:rPr>
          <w:lang w:val="en-GB"/>
        </w:rPr>
        <w:t xml:space="preserve">In this study, we present a comprehensive, semantics-based review of the research footprint of the UK Biobank, the Million Veteran Program (MVP), </w:t>
      </w:r>
      <w:proofErr w:type="spellStart"/>
      <w:r w:rsidRPr="00C90485">
        <w:rPr>
          <w:lang w:val="en-GB"/>
        </w:rPr>
        <w:t>FinnGen</w:t>
      </w:r>
      <w:proofErr w:type="spellEnd"/>
      <w:r w:rsidRPr="00C90485">
        <w:rPr>
          <w:lang w:val="en-GB"/>
        </w:rPr>
        <w:t xml:space="preserve">, the All of Us Research Program, and the Estonian Biobank. We chose these five EHR-linked biobanks for their recognized global biomedical research impact. We retrieved 14,142 peer-reviewed publications spanning 2000 to 2024, and employed automated </w:t>
      </w:r>
      <w:proofErr w:type="spellStart"/>
      <w:r w:rsidRPr="00C90485">
        <w:rPr>
          <w:lang w:val="en-GB"/>
        </w:rPr>
        <w:t>MeSH</w:t>
      </w:r>
      <w:proofErr w:type="spellEnd"/>
      <w:r w:rsidRPr="00C90485">
        <w:rPr>
          <w:lang w:val="en-GB"/>
        </w:rPr>
        <w:t xml:space="preserve"> term extraction, TF-IDF vectorization, and unsupervised clustering to reveal distinct research signatures within those biobanks. Our approach uncovers the semantic architecture of published research, highlights key thematic divergences between biobanks, and surfaces conceptual blind spots in the ecosystem.</w:t>
      </w:r>
    </w:p>
    <w:p w14:paraId="5AD15356" w14:textId="395369B1" w:rsidR="00C90485" w:rsidRPr="00C90485" w:rsidRDefault="00C90485" w:rsidP="00C90485">
      <w:pPr>
        <w:jc w:val="both"/>
        <w:rPr>
          <w:lang w:val="en-GB"/>
        </w:rPr>
      </w:pPr>
      <w:r w:rsidRPr="00C90485">
        <w:rPr>
          <w:lang w:val="en-GB"/>
        </w:rPr>
        <w:t>In addition to exploring thematic diversity, we evaluated how biobank research aligns with global health priorities. Using DALYs, mortality, and prevalence data from the Global Burden of Disease (GBD) 2021 study</w:t>
      </w:r>
      <w:r>
        <w:rPr>
          <w:lang w:val="en-GB"/>
        </w:rPr>
        <w:t xml:space="preserve"> </w:t>
      </w:r>
      <w:r>
        <w:rPr>
          <w:lang w:val="en-GB"/>
        </w:rPr>
        <w:fldChar w:fldCharType="begin"/>
      </w:r>
      <w:r>
        <w:rPr>
          <w:lang w:val="en-GB"/>
        </w:rPr>
        <w:instrText xml:space="preserve"> ADDIN ZOTERO_ITEM CSL_CITATION {"citationID":"8EySKnOq","properties":{"formattedCitation":"\\super 22\\nosupersub{}","plainCitation":"22","noteIndex":0},"citationItems":[{"id":903,"uris":["http://zotero.org/users/16405780/items/C7YJGUGG"],"itemData":{"id":903,"type":"webpage","container-title":"Institute for Health Metrics and Evaluation","language":"en","title":"GBD Results","URL":"https://vizhub.healthdata.org/gbd-results","accessed":{"date-parts":[["2025",7,7]]}}}],"schema":"https://github.com/citation-style-language/schema/raw/master/csl-citation.json"} </w:instrText>
      </w:r>
      <w:r>
        <w:rPr>
          <w:lang w:val="en-GB"/>
        </w:rPr>
        <w:fldChar w:fldCharType="separate"/>
      </w:r>
      <w:r w:rsidRPr="00C90485">
        <w:rPr>
          <w:rFonts w:ascii="Aptos" w:cs="Times New Roman"/>
          <w:kern w:val="0"/>
          <w:vertAlign w:val="superscript"/>
        </w:rPr>
        <w:t>22</w:t>
      </w:r>
      <w:r>
        <w:rPr>
          <w:lang w:val="en-GB"/>
        </w:rPr>
        <w:fldChar w:fldCharType="end"/>
      </w:r>
      <w:r w:rsidR="00480063">
        <w:rPr>
          <w:lang w:val="en-GB"/>
        </w:rPr>
        <w:t xml:space="preserve"> and</w:t>
      </w:r>
      <w:r w:rsidRPr="00C90485">
        <w:rPr>
          <w:lang w:val="en-GB"/>
        </w:rPr>
        <w:t xml:space="preserve"> WHO Global Health Observator</w:t>
      </w:r>
      <w:r>
        <w:rPr>
          <w:lang w:val="en-GB"/>
        </w:rPr>
        <w:t xml:space="preserve">y </w:t>
      </w:r>
      <w:r>
        <w:rPr>
          <w:lang w:val="en-GB"/>
        </w:rPr>
        <w:fldChar w:fldCharType="begin"/>
      </w:r>
      <w:r>
        <w:rPr>
          <w:lang w:val="en-GB"/>
        </w:rPr>
        <w:instrText xml:space="preserve"> ADDIN ZOTERO_ITEM CSL_CITATION {"citationID":"M85gqszs","properties":{"formattedCitation":"\\super 23\\nosupersub{}","plainCitation":"23","noteIndex":0},"citationItems":[{"id":895,"uris":["http://zotero.org/users/16405780/items/JPNU4QJL"],"itemData":{"id":895,"type":"webpage","abstract":"The GHO data repository is WHO's gateway to health-related statistics for its 194 Member States. It provides access to over 1000 health topics indicators","language":"en","title":"Global Health Observatory","URL":"https://www.who.int/data/gho","accessed":{"date-parts":[["2025",7,6]]}}}],"schema":"https://github.com/citation-style-language/schema/raw/master/csl-citation.json"} </w:instrText>
      </w:r>
      <w:r>
        <w:rPr>
          <w:lang w:val="en-GB"/>
        </w:rPr>
        <w:fldChar w:fldCharType="separate"/>
      </w:r>
      <w:r w:rsidRPr="00C90485">
        <w:rPr>
          <w:rFonts w:ascii="Aptos" w:cs="Times New Roman"/>
          <w:kern w:val="0"/>
          <w:vertAlign w:val="superscript"/>
        </w:rPr>
        <w:t>23</w:t>
      </w:r>
      <w:r>
        <w:rPr>
          <w:lang w:val="en-GB"/>
        </w:rPr>
        <w:fldChar w:fldCharType="end"/>
      </w:r>
      <w:r w:rsidRPr="00C90485">
        <w:rPr>
          <w:lang w:val="en-GB"/>
        </w:rPr>
        <w:t>, we constructed burden-weighted research gap scores across 25 high-burden, policy-relevant diseases. We also developed biobank-specific research opportunity indices to quantify unrealized potential. These findings allow us to assess not only where biobank research is focused, but also where it is absent</w:t>
      </w:r>
      <w:r w:rsidR="00480063">
        <w:rPr>
          <w:lang w:val="en-GB"/>
        </w:rPr>
        <w:t xml:space="preserve">, </w:t>
      </w:r>
      <w:r w:rsidRPr="00C90485">
        <w:rPr>
          <w:lang w:val="en-GB"/>
        </w:rPr>
        <w:t>despite high global need.</w:t>
      </w:r>
    </w:p>
    <w:p w14:paraId="6797B6F7" w14:textId="51B6F28D" w:rsidR="00B542E0" w:rsidRPr="00B542E0" w:rsidRDefault="00C90485" w:rsidP="00C90485">
      <w:pPr>
        <w:jc w:val="both"/>
        <w:rPr>
          <w:lang w:val="en-GB"/>
        </w:rPr>
      </w:pPr>
      <w:r w:rsidRPr="00C90485">
        <w:rPr>
          <w:lang w:val="en-GB"/>
        </w:rPr>
        <w:t>Overall, this review provides a multidimensional, equity-aware mapping of global biobank research activity. It highlights both the complementary strengths and structural asymmetries of the current ecosystem and introduces practical metrics</w:t>
      </w:r>
      <w:r w:rsidR="00480063">
        <w:rPr>
          <w:lang w:val="en-GB"/>
        </w:rPr>
        <w:t xml:space="preserve"> (</w:t>
      </w:r>
      <w:r w:rsidRPr="00C90485">
        <w:rPr>
          <w:lang w:val="en-GB"/>
        </w:rPr>
        <w:t>such as semantic clustering, burden-adjusted gap scores, and research opportunity indices</w:t>
      </w:r>
      <w:r w:rsidR="00480063">
        <w:rPr>
          <w:lang w:val="en-GB"/>
        </w:rPr>
        <w:t xml:space="preserve">), </w:t>
      </w:r>
      <w:r w:rsidRPr="00C90485">
        <w:rPr>
          <w:lang w:val="en-GB"/>
        </w:rPr>
        <w:t>to guide future investment, cross-biobank collaboration, and alignment with global health goals</w:t>
      </w:r>
      <w:r w:rsidR="00B542E0" w:rsidRPr="00B542E0">
        <w:rPr>
          <w:lang w:val="en-GB"/>
        </w:rPr>
        <w:t>.</w:t>
      </w:r>
    </w:p>
    <w:p w14:paraId="1D49A30A" w14:textId="77777777" w:rsidR="00454EC3" w:rsidRPr="00522C53" w:rsidRDefault="00454EC3" w:rsidP="00524765">
      <w:pPr>
        <w:pStyle w:val="Heading1"/>
        <w:jc w:val="both"/>
        <w:rPr>
          <w:b/>
          <w:bCs/>
        </w:rPr>
      </w:pPr>
      <w:r w:rsidRPr="00522C53">
        <w:rPr>
          <w:b/>
          <w:bCs/>
        </w:rPr>
        <w:t>Methods</w:t>
      </w:r>
    </w:p>
    <w:p w14:paraId="190BB540" w14:textId="66178670" w:rsidR="00264565" w:rsidRPr="001B2ECC" w:rsidRDefault="001B2ECC" w:rsidP="00C02D2B">
      <w:pPr>
        <w:pStyle w:val="Heading2"/>
      </w:pPr>
      <w:r w:rsidRPr="001B2ECC">
        <w:t>Biobank Data Retrieval</w:t>
      </w:r>
    </w:p>
    <w:p w14:paraId="202330D0" w14:textId="7EF87B84" w:rsidR="001B2ECC" w:rsidRPr="001B2ECC" w:rsidRDefault="001B2ECC" w:rsidP="001B2ECC">
      <w:pPr>
        <w:jc w:val="both"/>
        <w:rPr>
          <w:lang w:val="en-GB"/>
        </w:rPr>
      </w:pPr>
      <w:r w:rsidRPr="001B2ECC">
        <w:rPr>
          <w:lang w:val="en-GB"/>
        </w:rPr>
        <w:t>To construct a comprehensive and unbiased dataset of biobank-related research publications, we performed an automated retrieval of PubMed-indexed articles spanning the years 2000 to 2024. We focused on five major global biobanks</w:t>
      </w:r>
      <w:r>
        <w:rPr>
          <w:lang w:val="en-GB"/>
        </w:rPr>
        <w:t xml:space="preserve"> (</w:t>
      </w:r>
      <w:r w:rsidRPr="001B2ECC">
        <w:rPr>
          <w:lang w:val="en-GB"/>
        </w:rPr>
        <w:t xml:space="preserve">UK Biobank, Million Veteran Program, </w:t>
      </w:r>
      <w:proofErr w:type="spellStart"/>
      <w:r w:rsidRPr="001B2ECC">
        <w:rPr>
          <w:lang w:val="en-GB"/>
        </w:rPr>
        <w:t>FinnGen</w:t>
      </w:r>
      <w:proofErr w:type="spellEnd"/>
      <w:r w:rsidRPr="001B2ECC">
        <w:rPr>
          <w:lang w:val="en-GB"/>
        </w:rPr>
        <w:t>, All of Us, and the Estonian Biobank</w:t>
      </w:r>
      <w:r>
        <w:rPr>
          <w:lang w:val="en-GB"/>
        </w:rPr>
        <w:t xml:space="preserve">) </w:t>
      </w:r>
      <w:r w:rsidRPr="001B2ECC">
        <w:rPr>
          <w:lang w:val="en-GB"/>
        </w:rPr>
        <w:t xml:space="preserve">and conducted dedicated searches for each using biobank-specific name variants and known aliases. Each search query included only the biobank name and a publication date constraint, without thematic filters, to ensure maximum recall. For each biobank, the full set of PubMed IDs (PMIDs) matching the query was retrieved and parsed in batches. Metadata for each </w:t>
      </w:r>
      <w:r w:rsidRPr="001B2ECC">
        <w:rPr>
          <w:lang w:val="en-GB"/>
        </w:rPr>
        <w:lastRenderedPageBreak/>
        <w:t>article</w:t>
      </w:r>
      <w:r w:rsidR="00474F47">
        <w:rPr>
          <w:lang w:val="en-GB"/>
        </w:rPr>
        <w:t xml:space="preserve"> (</w:t>
      </w:r>
      <w:r w:rsidRPr="001B2ECC">
        <w:rPr>
          <w:lang w:val="en-GB"/>
        </w:rPr>
        <w:t xml:space="preserve">including PubMed ID, title, abstract, journal, publication year, and </w:t>
      </w:r>
      <w:proofErr w:type="spellStart"/>
      <w:r w:rsidRPr="001B2ECC">
        <w:rPr>
          <w:lang w:val="en-GB"/>
        </w:rPr>
        <w:t>MeSH</w:t>
      </w:r>
      <w:proofErr w:type="spellEnd"/>
      <w:r w:rsidRPr="001B2ECC">
        <w:rPr>
          <w:lang w:val="en-GB"/>
        </w:rPr>
        <w:t xml:space="preserve"> terms</w:t>
      </w:r>
      <w:r w:rsidR="00474F47">
        <w:rPr>
          <w:lang w:val="en-GB"/>
        </w:rPr>
        <w:t xml:space="preserve">) </w:t>
      </w:r>
      <w:r w:rsidRPr="001B2ECC">
        <w:rPr>
          <w:lang w:val="en-GB"/>
        </w:rPr>
        <w:t>was extracted and stored.</w:t>
      </w:r>
    </w:p>
    <w:p w14:paraId="0114678B" w14:textId="77777777" w:rsidR="001B2ECC" w:rsidRPr="001B2ECC" w:rsidRDefault="001B2ECC" w:rsidP="001B2ECC">
      <w:pPr>
        <w:jc w:val="both"/>
        <w:rPr>
          <w:lang w:val="en-GB"/>
        </w:rPr>
      </w:pPr>
      <w:r w:rsidRPr="001B2ECC">
        <w:rPr>
          <w:lang w:val="en-GB"/>
        </w:rPr>
        <w:t xml:space="preserve">Articles were included in the final dataset if they contained </w:t>
      </w:r>
      <w:proofErr w:type="spellStart"/>
      <w:r w:rsidRPr="001B2ECC">
        <w:rPr>
          <w:lang w:val="en-GB"/>
        </w:rPr>
        <w:t>MeSH</w:t>
      </w:r>
      <w:proofErr w:type="spellEnd"/>
      <w:r w:rsidRPr="001B2ECC">
        <w:rPr>
          <w:lang w:val="en-GB"/>
        </w:rPr>
        <w:t xml:space="preserve"> term annotations and were associated with one or more of the target biobanks. To ensure compatibility with downstream semantic clustering and bibliometric analyses, we excluded preprints and retained only articles from fully published sources. Each article was duplicated across biobanks if it mentioned more than one; a deduplicated version of the dataset was also generated based on unique PMIDs.</w:t>
      </w:r>
    </w:p>
    <w:p w14:paraId="0CA7543E" w14:textId="137A38FD" w:rsidR="00264565" w:rsidRPr="001B2ECC" w:rsidRDefault="001B2ECC" w:rsidP="00BD1F55">
      <w:pPr>
        <w:jc w:val="both"/>
        <w:rPr>
          <w:lang w:val="en-GB"/>
        </w:rPr>
      </w:pPr>
      <w:r w:rsidRPr="001B2ECC">
        <w:rPr>
          <w:lang w:val="en-GB"/>
        </w:rPr>
        <w:t xml:space="preserve">This data retrieval strategy resulted in a corpus of </w:t>
      </w:r>
      <w:r w:rsidR="00474F47" w:rsidRPr="00474F47">
        <w:rPr>
          <w:lang w:val="en-GB"/>
        </w:rPr>
        <w:t>14,142</w:t>
      </w:r>
      <w:r w:rsidRPr="001B2ECC">
        <w:rPr>
          <w:lang w:val="en-GB"/>
        </w:rPr>
        <w:t xml:space="preserve"> peer-reviewed publications with </w:t>
      </w:r>
      <w:proofErr w:type="spellStart"/>
      <w:r w:rsidRPr="001B2ECC">
        <w:rPr>
          <w:lang w:val="en-GB"/>
        </w:rPr>
        <w:t>MeSH</w:t>
      </w:r>
      <w:proofErr w:type="spellEnd"/>
      <w:r w:rsidRPr="001B2ECC">
        <w:rPr>
          <w:lang w:val="en-GB"/>
        </w:rPr>
        <w:t xml:space="preserve"> annotations, each linked to at least one of the target biobanks. Th</w:t>
      </w:r>
      <w:r w:rsidR="00D41BDA">
        <w:rPr>
          <w:lang w:val="en-GB"/>
        </w:rPr>
        <w:t>is</w:t>
      </w:r>
      <w:r w:rsidRPr="001B2ECC">
        <w:rPr>
          <w:lang w:val="en-GB"/>
        </w:rPr>
        <w:t xml:space="preserve"> dataset forms the basis for all subsequent analyses, including research trend tracking, </w:t>
      </w:r>
      <w:proofErr w:type="spellStart"/>
      <w:r w:rsidRPr="001B2ECC">
        <w:rPr>
          <w:lang w:val="en-GB"/>
        </w:rPr>
        <w:t>MeSH</w:t>
      </w:r>
      <w:proofErr w:type="spellEnd"/>
      <w:r w:rsidRPr="001B2ECC">
        <w:rPr>
          <w:lang w:val="en-GB"/>
        </w:rPr>
        <w:t xml:space="preserve"> term frequency analysis, and semantic clustering</w:t>
      </w:r>
      <w:r w:rsidR="00BD1F55" w:rsidRPr="00522C53">
        <w:t>.</w:t>
      </w:r>
      <w:r w:rsidR="00264565" w:rsidRPr="00522C53">
        <w:t xml:space="preserve"> </w:t>
      </w:r>
    </w:p>
    <w:p w14:paraId="55DEE77D" w14:textId="289916D5" w:rsidR="00E2620D" w:rsidRPr="00474F47" w:rsidRDefault="00474F47" w:rsidP="006A711F">
      <w:pPr>
        <w:pStyle w:val="Heading2"/>
      </w:pPr>
      <w:r w:rsidRPr="00474F47">
        <w:t>Temporal and Thematic Analysis of Biobank-Linked Publications</w:t>
      </w:r>
    </w:p>
    <w:p w14:paraId="2881CB90" w14:textId="47EDD682" w:rsidR="00474F47" w:rsidRPr="00474F47" w:rsidRDefault="00474F47" w:rsidP="00474F47">
      <w:pPr>
        <w:jc w:val="both"/>
        <w:rPr>
          <w:lang w:val="en-GB"/>
        </w:rPr>
      </w:pPr>
      <w:r w:rsidRPr="00474F47">
        <w:rPr>
          <w:lang w:val="en-GB"/>
        </w:rPr>
        <w:t xml:space="preserve">We </w:t>
      </w:r>
      <w:proofErr w:type="spellStart"/>
      <w:r w:rsidRPr="00474F47">
        <w:rPr>
          <w:lang w:val="en-GB"/>
        </w:rPr>
        <w:t>analyzed</w:t>
      </w:r>
      <w:proofErr w:type="spellEnd"/>
      <w:r w:rsidRPr="00474F47">
        <w:rPr>
          <w:lang w:val="en-GB"/>
        </w:rPr>
        <w:t xml:space="preserve"> the curated dataset of biobank-related publications to characterize temporal trends, thematic priorities, and publication patterns across the five biobanks. All analyses were restricted to peer-reviewed, PubMed-indexed articles from 2000 to 2024. </w:t>
      </w:r>
    </w:p>
    <w:p w14:paraId="55A7A6A3" w14:textId="24A54651" w:rsidR="00E2620D" w:rsidRPr="00474F47" w:rsidRDefault="00474F47" w:rsidP="003C5BDC">
      <w:pPr>
        <w:jc w:val="both"/>
        <w:rPr>
          <w:lang w:val="en-GB"/>
        </w:rPr>
      </w:pPr>
      <w:r w:rsidRPr="00474F47">
        <w:rPr>
          <w:lang w:val="en-GB"/>
        </w:rPr>
        <w:t xml:space="preserve">We next conducted a </w:t>
      </w:r>
      <w:proofErr w:type="spellStart"/>
      <w:r w:rsidRPr="00474F47">
        <w:rPr>
          <w:lang w:val="en-GB"/>
        </w:rPr>
        <w:t>MeSH</w:t>
      </w:r>
      <w:proofErr w:type="spellEnd"/>
      <w:r w:rsidRPr="00474F47">
        <w:rPr>
          <w:lang w:val="en-GB"/>
        </w:rPr>
        <w:t xml:space="preserve"> term frequency analysis, identifying the top 10 most common </w:t>
      </w:r>
      <w:proofErr w:type="spellStart"/>
      <w:r w:rsidR="00CE63E0">
        <w:rPr>
          <w:lang w:val="en-GB"/>
        </w:rPr>
        <w:t>MeSH</w:t>
      </w:r>
      <w:proofErr w:type="spellEnd"/>
      <w:r w:rsidR="00CE63E0">
        <w:rPr>
          <w:lang w:val="en-GB"/>
        </w:rPr>
        <w:t xml:space="preserve"> terms</w:t>
      </w:r>
      <w:r w:rsidRPr="00474F47">
        <w:rPr>
          <w:lang w:val="en-GB"/>
        </w:rPr>
        <w:t xml:space="preserve"> used in publications for each biobank. These terms were </w:t>
      </w:r>
      <w:proofErr w:type="spellStart"/>
      <w:r w:rsidR="00C1625D">
        <w:rPr>
          <w:lang w:val="en-GB"/>
        </w:rPr>
        <w:t>analyzed</w:t>
      </w:r>
      <w:proofErr w:type="spellEnd"/>
      <w:r w:rsidRPr="00474F47">
        <w:rPr>
          <w:lang w:val="en-GB"/>
        </w:rPr>
        <w:t xml:space="preserve"> to highlight distinct thematic profiles. Journal-level trends were similarly </w:t>
      </w:r>
      <w:proofErr w:type="spellStart"/>
      <w:r w:rsidRPr="00474F47">
        <w:rPr>
          <w:lang w:val="en-GB"/>
        </w:rPr>
        <w:t>analyzed</w:t>
      </w:r>
      <w:proofErr w:type="spellEnd"/>
      <w:r w:rsidRPr="00474F47">
        <w:rPr>
          <w:lang w:val="en-GB"/>
        </w:rPr>
        <w:t xml:space="preserve">, and the most frequent publication venues were identified and displayed for each biobank and for non-UK </w:t>
      </w:r>
      <w:r w:rsidR="00CE63E0">
        <w:rPr>
          <w:lang w:val="en-GB"/>
        </w:rPr>
        <w:t>Biobank re</w:t>
      </w:r>
      <w:r w:rsidRPr="00474F47">
        <w:rPr>
          <w:lang w:val="en-GB"/>
        </w:rPr>
        <w:t>sources combined.</w:t>
      </w:r>
      <w:r>
        <w:rPr>
          <w:lang w:val="en-GB"/>
        </w:rPr>
        <w:t xml:space="preserve"> These outputs integrate</w:t>
      </w:r>
      <w:r w:rsidRPr="00474F47">
        <w:rPr>
          <w:lang w:val="en-GB"/>
        </w:rPr>
        <w:t xml:space="preserve"> publication trends, cumulative volume, year distributions, and summary statistics. </w:t>
      </w:r>
    </w:p>
    <w:p w14:paraId="1BB08BB1" w14:textId="66B6A680" w:rsidR="00E2620D" w:rsidRPr="00FB3441" w:rsidRDefault="00FB3441" w:rsidP="00252DFE">
      <w:pPr>
        <w:pStyle w:val="Heading2"/>
      </w:pPr>
      <w:proofErr w:type="spellStart"/>
      <w:r w:rsidRPr="00FB3441">
        <w:t>MeSH</w:t>
      </w:r>
      <w:proofErr w:type="spellEnd"/>
      <w:r w:rsidRPr="00FB3441">
        <w:t>-Based Semantic Embedding and Clustering of Biobank Publications</w:t>
      </w:r>
    </w:p>
    <w:p w14:paraId="26A8ECD9" w14:textId="00CB4DC2" w:rsidR="001B2ECC" w:rsidRPr="001B2ECC" w:rsidRDefault="001B2ECC" w:rsidP="001B2ECC">
      <w:pPr>
        <w:jc w:val="both"/>
        <w:rPr>
          <w:lang w:val="en-GB"/>
        </w:rPr>
      </w:pPr>
      <w:r w:rsidRPr="001B2ECC">
        <w:rPr>
          <w:lang w:val="en-GB"/>
        </w:rPr>
        <w:t xml:space="preserve">To capture the semantic structure of biobank-linked research, we developed a pipeline that converts </w:t>
      </w:r>
      <w:proofErr w:type="spellStart"/>
      <w:r w:rsidRPr="001B2ECC">
        <w:rPr>
          <w:lang w:val="en-GB"/>
        </w:rPr>
        <w:t>MeSH</w:t>
      </w:r>
      <w:proofErr w:type="spellEnd"/>
      <w:r w:rsidRPr="001B2ECC">
        <w:rPr>
          <w:lang w:val="en-GB"/>
        </w:rPr>
        <w:t xml:space="preserve"> annotations into high-dimensional embeddings for unsupervised clustering. Unlike large language models, which operate on free-text diagnostics, our approach leverages structured metadata (</w:t>
      </w:r>
      <w:proofErr w:type="spellStart"/>
      <w:r w:rsidRPr="001B2ECC">
        <w:rPr>
          <w:lang w:val="en-GB"/>
        </w:rPr>
        <w:t>MeSH</w:t>
      </w:r>
      <w:proofErr w:type="spellEnd"/>
      <w:r w:rsidR="00CE63E0">
        <w:rPr>
          <w:lang w:val="en-GB"/>
        </w:rPr>
        <w:t xml:space="preserve"> terms</w:t>
      </w:r>
      <w:r w:rsidRPr="001B2ECC">
        <w:rPr>
          <w:lang w:val="en-GB"/>
        </w:rPr>
        <w:t>) to reveal latent thematic groupings within and across biobanks.</w:t>
      </w:r>
    </w:p>
    <w:p w14:paraId="3D670B6B" w14:textId="352DDF50" w:rsidR="00C1625D" w:rsidRPr="00B21CB7" w:rsidRDefault="001B2ECC" w:rsidP="00B21CB7">
      <w:pPr>
        <w:pStyle w:val="Heading3"/>
      </w:pPr>
      <w:r w:rsidRPr="00B21CB7">
        <w:t xml:space="preserve">TF-IDF Vectorization of </w:t>
      </w:r>
      <w:proofErr w:type="spellStart"/>
      <w:r w:rsidRPr="00B21CB7">
        <w:t>MeSH</w:t>
      </w:r>
      <w:proofErr w:type="spellEnd"/>
      <w:r w:rsidRPr="00B21CB7">
        <w:t xml:space="preserve"> Terms </w:t>
      </w:r>
    </w:p>
    <w:p w14:paraId="7A075106" w14:textId="77777777" w:rsidR="00584525" w:rsidRPr="00584525" w:rsidRDefault="00584525" w:rsidP="00584525">
      <w:pPr>
        <w:jc w:val="both"/>
        <w:rPr>
          <w:lang w:val="en-GB"/>
        </w:rPr>
      </w:pPr>
      <w:r w:rsidRPr="00584525">
        <w:rPr>
          <w:lang w:val="en-GB"/>
        </w:rPr>
        <w:t xml:space="preserve">To quantify the semantic content of each publication, we employed Term Frequency-Inverse Document Frequency (TF-IDF) vectorization of </w:t>
      </w:r>
      <w:proofErr w:type="spellStart"/>
      <w:r w:rsidRPr="00584525">
        <w:rPr>
          <w:lang w:val="en-GB"/>
        </w:rPr>
        <w:t>MeSH</w:t>
      </w:r>
      <w:proofErr w:type="spellEnd"/>
      <w:r w:rsidRPr="00584525">
        <w:rPr>
          <w:lang w:val="en-GB"/>
        </w:rPr>
        <w:t xml:space="preserve"> terms. TF-IDF is a numerical weighting scheme that reflects how characteristic a term is to a specific document within a larger corpus. The method assigns higher weights to terms that appear frequently in individual publications (high term frequency) but rarely across the entire dataset (high </w:t>
      </w:r>
      <w:r w:rsidRPr="00584525">
        <w:rPr>
          <w:lang w:val="en-GB"/>
        </w:rPr>
        <w:lastRenderedPageBreak/>
        <w:t xml:space="preserve">inverse document frequency), thereby identifying </w:t>
      </w:r>
      <w:proofErr w:type="spellStart"/>
      <w:r w:rsidRPr="00584525">
        <w:rPr>
          <w:lang w:val="en-GB"/>
        </w:rPr>
        <w:t>MeSH</w:t>
      </w:r>
      <w:proofErr w:type="spellEnd"/>
      <w:r w:rsidRPr="00584525">
        <w:rPr>
          <w:lang w:val="en-GB"/>
        </w:rPr>
        <w:t xml:space="preserve"> terms that are distinctive to specific research themes or methodological approaches.</w:t>
      </w:r>
    </w:p>
    <w:p w14:paraId="05BC508A" w14:textId="33836259" w:rsidR="00584525" w:rsidRPr="00584525" w:rsidRDefault="00584525" w:rsidP="00584525">
      <w:pPr>
        <w:jc w:val="both"/>
        <w:rPr>
          <w:lang w:val="en-GB"/>
        </w:rPr>
      </w:pPr>
      <w:r w:rsidRPr="00584525">
        <w:rPr>
          <w:lang w:val="en-GB"/>
        </w:rPr>
        <w:t xml:space="preserve">For biobank research analysis, TF-IDF enables the identification of </w:t>
      </w:r>
      <w:proofErr w:type="spellStart"/>
      <w:r w:rsidRPr="00584525">
        <w:rPr>
          <w:lang w:val="en-GB"/>
        </w:rPr>
        <w:t>MeSH</w:t>
      </w:r>
      <w:proofErr w:type="spellEnd"/>
      <w:r w:rsidRPr="00584525">
        <w:rPr>
          <w:lang w:val="en-GB"/>
        </w:rPr>
        <w:t xml:space="preserve"> terms that define unique research signatures</w:t>
      </w:r>
      <w:r>
        <w:rPr>
          <w:lang w:val="en-GB"/>
        </w:rPr>
        <w:t xml:space="preserve">; </w:t>
      </w:r>
      <w:r w:rsidRPr="00584525">
        <w:rPr>
          <w:lang w:val="en-GB"/>
        </w:rPr>
        <w:t xml:space="preserve">terms like "neuroimaging" or "military personnel" that may be highly characteristic of certain biobank studies but uncommon in the broader literature. This approach transforms each </w:t>
      </w:r>
      <w:r>
        <w:rPr>
          <w:lang w:val="en-GB"/>
        </w:rPr>
        <w:t xml:space="preserve">PubMed </w:t>
      </w:r>
      <w:r w:rsidRPr="00584525">
        <w:rPr>
          <w:lang w:val="en-GB"/>
        </w:rPr>
        <w:t xml:space="preserve">publication into a high-dimensional vector where dimensions correspond to </w:t>
      </w:r>
      <w:proofErr w:type="spellStart"/>
      <w:r w:rsidRPr="00584525">
        <w:rPr>
          <w:lang w:val="en-GB"/>
        </w:rPr>
        <w:t>MeSH</w:t>
      </w:r>
      <w:proofErr w:type="spellEnd"/>
      <w:r w:rsidRPr="00584525">
        <w:rPr>
          <w:lang w:val="en-GB"/>
        </w:rPr>
        <w:t xml:space="preserve"> terms, and values reflect the semantic importance of each term to that specific study.</w:t>
      </w:r>
    </w:p>
    <w:p w14:paraId="399300E5" w14:textId="0C6DB026" w:rsidR="001B2ECC" w:rsidRPr="001B2ECC" w:rsidRDefault="00584525" w:rsidP="00C1625D">
      <w:pPr>
        <w:jc w:val="both"/>
        <w:rPr>
          <w:lang w:val="en-GB"/>
        </w:rPr>
      </w:pPr>
      <w:r>
        <w:rPr>
          <w:lang w:val="en-GB"/>
        </w:rPr>
        <w:t>Here each</w:t>
      </w:r>
      <w:r w:rsidRPr="00584525">
        <w:rPr>
          <w:lang w:val="en-GB"/>
        </w:rPr>
        <w:t xml:space="preserve"> publication's </w:t>
      </w:r>
      <w:proofErr w:type="spellStart"/>
      <w:r w:rsidRPr="00584525">
        <w:rPr>
          <w:lang w:val="en-GB"/>
        </w:rPr>
        <w:t>MeSH</w:t>
      </w:r>
      <w:proofErr w:type="spellEnd"/>
      <w:r w:rsidRPr="00584525">
        <w:rPr>
          <w:lang w:val="en-GB"/>
        </w:rPr>
        <w:t xml:space="preserve"> terms were </w:t>
      </w:r>
      <w:proofErr w:type="spellStart"/>
      <w:r w:rsidRPr="00584525">
        <w:rPr>
          <w:lang w:val="en-GB"/>
        </w:rPr>
        <w:t>preprocessed</w:t>
      </w:r>
      <w:proofErr w:type="spellEnd"/>
      <w:r w:rsidRPr="00584525">
        <w:rPr>
          <w:lang w:val="en-GB"/>
        </w:rPr>
        <w:t xml:space="preserve"> by converting to lowercase, removing punctuation, and replacing spaces with underscores (e.g., Genome-Wide Association Study → </w:t>
      </w:r>
      <w:proofErr w:type="spellStart"/>
      <w:r w:rsidRPr="00584525">
        <w:rPr>
          <w:lang w:val="en-GB"/>
        </w:rPr>
        <w:t>genomewide_association_study</w:t>
      </w:r>
      <w:proofErr w:type="spellEnd"/>
      <w:r w:rsidRPr="00584525">
        <w:rPr>
          <w:lang w:val="en-GB"/>
        </w:rPr>
        <w:t>). Special characters were removed, and terms were split by semicolons into tokenized, deduplicated documents. Each biobank's corpus was treated separately to preserve biobank-specific vocabularies and research emphases. Terms were included in the vocabulary only if they appeared in at least 2 but no more than 80% of documents, filtering out both extremely rare terms (likely noise) and overly common terms (lacking discriminative power). The resulting TF-IDF matrices were limited to a maximum of 1000 unigram and bigram features per biobank to maintain computational tractability while preserving semantic richnes</w:t>
      </w:r>
      <w:r>
        <w:rPr>
          <w:lang w:val="en-GB"/>
        </w:rPr>
        <w:t>s.</w:t>
      </w:r>
    </w:p>
    <w:p w14:paraId="2C2F3CF6" w14:textId="77777777" w:rsidR="00B21CB7" w:rsidRDefault="001B2ECC" w:rsidP="00B21CB7">
      <w:pPr>
        <w:pStyle w:val="Heading3"/>
        <w:rPr>
          <w:lang w:val="en-GB"/>
        </w:rPr>
      </w:pPr>
      <w:r w:rsidRPr="001B2ECC">
        <w:rPr>
          <w:lang w:val="en-GB"/>
        </w:rPr>
        <w:t>Independent Clustering per Biobank</w:t>
      </w:r>
    </w:p>
    <w:p w14:paraId="65034350" w14:textId="23130839" w:rsidR="001B2ECC" w:rsidRDefault="001B2ECC" w:rsidP="00B21CB7">
      <w:pPr>
        <w:jc w:val="both"/>
        <w:rPr>
          <w:lang w:val="en-GB"/>
        </w:rPr>
      </w:pPr>
      <w:r w:rsidRPr="001B2ECC">
        <w:rPr>
          <w:lang w:val="en-GB"/>
        </w:rPr>
        <w:t xml:space="preserve">Given that each biobank reflects a distinct research community with unique </w:t>
      </w:r>
      <w:proofErr w:type="spellStart"/>
      <w:r w:rsidRPr="001B2ECC">
        <w:rPr>
          <w:lang w:val="en-GB"/>
        </w:rPr>
        <w:t>MeSH</w:t>
      </w:r>
      <w:proofErr w:type="spellEnd"/>
      <w:r w:rsidRPr="001B2ECC">
        <w:rPr>
          <w:lang w:val="en-GB"/>
        </w:rPr>
        <w:t xml:space="preserve"> term distributions, clustering was performed independently. We applied the following sequential steps:</w:t>
      </w:r>
    </w:p>
    <w:p w14:paraId="31C2E7E2" w14:textId="77777777" w:rsidR="001B2ECC" w:rsidRDefault="001B2ECC" w:rsidP="00B21CB7">
      <w:pPr>
        <w:numPr>
          <w:ilvl w:val="0"/>
          <w:numId w:val="23"/>
        </w:numPr>
        <w:jc w:val="both"/>
        <w:rPr>
          <w:lang w:val="en-GB"/>
        </w:rPr>
      </w:pPr>
      <w:r w:rsidRPr="001B2ECC">
        <w:rPr>
          <w:b/>
          <w:lang w:val="en-GB"/>
        </w:rPr>
        <w:t>Optimal K Determination via Bootstrapped Silhouette Scoring:</w:t>
      </w:r>
      <w:r w:rsidRPr="001B2ECC">
        <w:rPr>
          <w:lang w:val="en-GB"/>
        </w:rPr>
        <w:t xml:space="preserve"> For each biobank, we used bootstrapped sampling to determine the optimal number of clusters (K). In each of 50 iterations, a random subset of publications was clustered for values of K ranging from 2 to 10, and silhouette scores were computed. The K that achieved the highest mean silhouette score was selected.</w:t>
      </w:r>
    </w:p>
    <w:p w14:paraId="579636A5" w14:textId="1DD93B41" w:rsidR="001B2ECC" w:rsidRPr="001B2ECC" w:rsidRDefault="001B2ECC" w:rsidP="00B21CB7">
      <w:pPr>
        <w:numPr>
          <w:ilvl w:val="0"/>
          <w:numId w:val="23"/>
        </w:numPr>
        <w:jc w:val="both"/>
        <w:rPr>
          <w:lang w:val="en-GB"/>
        </w:rPr>
      </w:pPr>
      <w:r w:rsidRPr="001B2ECC">
        <w:rPr>
          <w:b/>
          <w:lang w:val="en-GB"/>
        </w:rPr>
        <w:t>K-Means Clustering:</w:t>
      </w:r>
      <w:r w:rsidRPr="001B2ECC">
        <w:rPr>
          <w:lang w:val="en-GB"/>
        </w:rPr>
        <w:t xml:space="preserve"> Once K was selected, we performed k-means clustering on the full TF-IDF matrix, assigning each publication to a semantic cluster. These clusters represent thematic groupings of research based on </w:t>
      </w:r>
      <w:proofErr w:type="spellStart"/>
      <w:r w:rsidRPr="001B2ECC">
        <w:rPr>
          <w:lang w:val="en-GB"/>
        </w:rPr>
        <w:t>MeSH</w:t>
      </w:r>
      <w:proofErr w:type="spellEnd"/>
      <w:r w:rsidRPr="001B2ECC">
        <w:rPr>
          <w:lang w:val="en-GB"/>
        </w:rPr>
        <w:t xml:space="preserve"> term similarity.</w:t>
      </w:r>
    </w:p>
    <w:p w14:paraId="4F8F243E" w14:textId="3E8321CA" w:rsidR="00B21CB7" w:rsidRDefault="001B2ECC" w:rsidP="00B21CB7">
      <w:pPr>
        <w:pStyle w:val="Heading3"/>
        <w:rPr>
          <w:lang w:val="en-GB"/>
        </w:rPr>
      </w:pPr>
      <w:r w:rsidRPr="001B2ECC">
        <w:rPr>
          <w:lang w:val="en-GB"/>
        </w:rPr>
        <w:t>Cluster Interpretation via c-DF-IPF and Semantic Summaries</w:t>
      </w:r>
    </w:p>
    <w:p w14:paraId="2CB520CA" w14:textId="77777777" w:rsidR="00B21CB7" w:rsidRPr="00B21CB7" w:rsidRDefault="00B21CB7" w:rsidP="00B21CB7">
      <w:pPr>
        <w:jc w:val="both"/>
        <w:rPr>
          <w:lang w:val="en-GB"/>
        </w:rPr>
      </w:pPr>
      <w:r w:rsidRPr="00B21CB7">
        <w:rPr>
          <w:lang w:val="en-GB"/>
        </w:rPr>
        <w:t xml:space="preserve">To characterize each cluster, we computed cluster-based Document Frequency-Inverse Document Frequency (c-DF-IDF) scores, adapted from the TF-IDF framework. For each </w:t>
      </w:r>
      <w:proofErr w:type="spellStart"/>
      <w:r w:rsidRPr="00B21CB7">
        <w:rPr>
          <w:lang w:val="en-GB"/>
        </w:rPr>
        <w:t>MeSH</w:t>
      </w:r>
      <w:proofErr w:type="spellEnd"/>
      <w:r w:rsidRPr="00B21CB7">
        <w:rPr>
          <w:lang w:val="en-GB"/>
        </w:rPr>
        <w:t xml:space="preserve"> term:</w:t>
      </w:r>
    </w:p>
    <w:p w14:paraId="3BB7C00C" w14:textId="77777777" w:rsidR="00B21CB7" w:rsidRPr="00B21CB7" w:rsidRDefault="00B21CB7" w:rsidP="00B21CB7">
      <w:pPr>
        <w:numPr>
          <w:ilvl w:val="0"/>
          <w:numId w:val="26"/>
        </w:numPr>
        <w:jc w:val="both"/>
        <w:rPr>
          <w:lang w:val="en-GB"/>
        </w:rPr>
      </w:pPr>
      <w:r w:rsidRPr="00B21CB7">
        <w:rPr>
          <w:b/>
          <w:bCs/>
          <w:lang w:val="en-GB"/>
        </w:rPr>
        <w:t>DF</w:t>
      </w:r>
      <w:r w:rsidRPr="00B21CB7">
        <w:rPr>
          <w:lang w:val="en-GB"/>
        </w:rPr>
        <w:t xml:space="preserve"> was defined as the proportion of publications in the cluster containing the term.</w:t>
      </w:r>
    </w:p>
    <w:p w14:paraId="134F5DF6" w14:textId="77777777" w:rsidR="00B21CB7" w:rsidRPr="00B21CB7" w:rsidRDefault="00B21CB7" w:rsidP="00B21CB7">
      <w:pPr>
        <w:numPr>
          <w:ilvl w:val="0"/>
          <w:numId w:val="26"/>
        </w:numPr>
        <w:jc w:val="both"/>
        <w:rPr>
          <w:lang w:val="en-GB"/>
        </w:rPr>
      </w:pPr>
      <w:r w:rsidRPr="00B21CB7">
        <w:rPr>
          <w:b/>
          <w:bCs/>
          <w:lang w:val="en-GB"/>
        </w:rPr>
        <w:t>IDF</w:t>
      </w:r>
      <w:r w:rsidRPr="00B21CB7">
        <w:rPr>
          <w:lang w:val="en-GB"/>
        </w:rPr>
        <w:t xml:space="preserve"> was the log ratio of total documents in the biobank to the number of documents containing that term.</w:t>
      </w:r>
    </w:p>
    <w:p w14:paraId="66D4526C" w14:textId="77777777" w:rsidR="00B21CB7" w:rsidRPr="00B21CB7" w:rsidRDefault="00B21CB7" w:rsidP="00B21CB7">
      <w:pPr>
        <w:numPr>
          <w:ilvl w:val="0"/>
          <w:numId w:val="26"/>
        </w:numPr>
        <w:jc w:val="both"/>
        <w:rPr>
          <w:lang w:val="en-GB"/>
        </w:rPr>
      </w:pPr>
      <w:r w:rsidRPr="00B21CB7">
        <w:rPr>
          <w:lang w:val="en-GB"/>
        </w:rPr>
        <w:lastRenderedPageBreak/>
        <w:t xml:space="preserve">The </w:t>
      </w:r>
      <w:r w:rsidRPr="00B21CB7">
        <w:rPr>
          <w:b/>
          <w:bCs/>
          <w:lang w:val="en-GB"/>
        </w:rPr>
        <w:t>c-DF-IDF</w:t>
      </w:r>
      <w:r w:rsidRPr="00B21CB7">
        <w:rPr>
          <w:lang w:val="en-GB"/>
        </w:rPr>
        <w:t xml:space="preserve"> score was calculated as the product of DF and IDF, emphasizing terms that were frequent in one cluster but uncommon elsewhere within the same biobank. We selected the top five c-DF-IDF terms to summarize each cluster's vocabulary.</w:t>
      </w:r>
    </w:p>
    <w:p w14:paraId="001B5B36" w14:textId="670B53EE" w:rsidR="001B2ECC" w:rsidRPr="001B2ECC" w:rsidRDefault="00B21CB7" w:rsidP="001B2ECC">
      <w:pPr>
        <w:jc w:val="both"/>
        <w:rPr>
          <w:lang w:val="en-GB"/>
        </w:rPr>
      </w:pPr>
      <w:r w:rsidRPr="00B21CB7">
        <w:rPr>
          <w:lang w:val="en-GB"/>
        </w:rPr>
        <w:t xml:space="preserve">In parallel, we generated semantic summaries by averaging TF-IDF vectors across all publications within each cluster. The highest-weighted terms in these mean vectors were extracted as dominant semantic descriptors. </w:t>
      </w:r>
    </w:p>
    <w:p w14:paraId="3E0DB493" w14:textId="77777777" w:rsidR="00B21CB7" w:rsidRDefault="001B2ECC" w:rsidP="00B21CB7">
      <w:pPr>
        <w:pStyle w:val="Heading3"/>
        <w:rPr>
          <w:lang w:val="en-GB"/>
        </w:rPr>
      </w:pPr>
      <w:r w:rsidRPr="001B2ECC">
        <w:rPr>
          <w:lang w:val="en-GB"/>
        </w:rPr>
        <w:t>2D Projection and Visual Comparison of Clusters</w:t>
      </w:r>
    </w:p>
    <w:p w14:paraId="3486E230" w14:textId="5CC82975" w:rsidR="001B2ECC" w:rsidRDefault="001B2ECC" w:rsidP="00B21CB7">
      <w:pPr>
        <w:jc w:val="both"/>
        <w:rPr>
          <w:lang w:val="en-GB"/>
        </w:rPr>
      </w:pPr>
      <w:r w:rsidRPr="001B2ECC">
        <w:rPr>
          <w:lang w:val="en-GB"/>
        </w:rPr>
        <w:t xml:space="preserve">To visualize relationships between clusters, we projected the cluster centroids (mean TF-IDF vectors) into two dimensions using both PCA and UMAP. These low-dimensional projections preserve semantic proximity, enabling intuitive interpretation of thematic overlap. Clusters located close together in 2D space tend to share overlapping </w:t>
      </w:r>
      <w:proofErr w:type="spellStart"/>
      <w:r w:rsidRPr="001B2ECC">
        <w:rPr>
          <w:lang w:val="en-GB"/>
        </w:rPr>
        <w:t>MeSH</w:t>
      </w:r>
      <w:proofErr w:type="spellEnd"/>
      <w:r w:rsidRPr="001B2ECC">
        <w:rPr>
          <w:lang w:val="en-GB"/>
        </w:rPr>
        <w:t xml:space="preserve"> vocabularies, while distant clusters reflect distinct research foci.</w:t>
      </w:r>
    </w:p>
    <w:p w14:paraId="4C84F884" w14:textId="2A26AA99" w:rsidR="00A85674" w:rsidRPr="00A85674" w:rsidRDefault="00A85674" w:rsidP="00394F62">
      <w:pPr>
        <w:pStyle w:val="Heading2"/>
      </w:pPr>
      <w:r w:rsidRPr="00A85674">
        <w:t>Research Gap Discovery and Disease Burden</w:t>
      </w:r>
      <w:r w:rsidR="009E38C7">
        <w:t xml:space="preserve"> </w:t>
      </w:r>
      <w:r w:rsidR="00FD653F">
        <w:t>Bias</w:t>
      </w:r>
      <w:r w:rsidRPr="00A85674">
        <w:t xml:space="preserve"> </w:t>
      </w:r>
    </w:p>
    <w:p w14:paraId="05EB5D4D" w14:textId="2BE6DFCA" w:rsidR="00D707B8" w:rsidRDefault="000A2A2D" w:rsidP="00B21CB7">
      <w:pPr>
        <w:jc w:val="both"/>
        <w:rPr>
          <w:lang w:val="en-GB"/>
        </w:rPr>
      </w:pPr>
      <w:r w:rsidRPr="000A2A2D">
        <w:rPr>
          <w:lang w:val="en-GB"/>
        </w:rPr>
        <w:t xml:space="preserve">To evaluate the alignment between biobank-driven research and global disease priorities, we developed a scalable analytic framework combining global burden of disease metrics, manually curated </w:t>
      </w:r>
      <w:proofErr w:type="spellStart"/>
      <w:r w:rsidRPr="000A2A2D">
        <w:rPr>
          <w:lang w:val="en-GB"/>
        </w:rPr>
        <w:t>MeSH</w:t>
      </w:r>
      <w:proofErr w:type="spellEnd"/>
      <w:r w:rsidRPr="000A2A2D">
        <w:rPr>
          <w:lang w:val="en-GB"/>
        </w:rPr>
        <w:t xml:space="preserve"> mappings, and publication-level metadata from </w:t>
      </w:r>
      <w:r w:rsidR="000F16D0">
        <w:rPr>
          <w:lang w:val="en-GB"/>
        </w:rPr>
        <w:t xml:space="preserve">our chosen </w:t>
      </w:r>
      <w:r w:rsidRPr="000A2A2D">
        <w:rPr>
          <w:lang w:val="en-GB"/>
        </w:rPr>
        <w:t>five EHR-linked biobanks. Our goal was to identify research gaps and opportunities across 25 disease areas using real-world data and a transparent scoring methodology</w:t>
      </w:r>
      <w:r w:rsidR="005E570D" w:rsidRPr="00402CA9">
        <w:rPr>
          <w:lang w:val="en-GB"/>
        </w:rPr>
        <w:t xml:space="preserve">. </w:t>
      </w:r>
    </w:p>
    <w:p w14:paraId="4DB71680" w14:textId="44DC6A73" w:rsidR="000F16D0" w:rsidRPr="000F16D0" w:rsidRDefault="000F16D0" w:rsidP="000F16D0">
      <w:pPr>
        <w:jc w:val="both"/>
        <w:rPr>
          <w:lang w:val="en-GB"/>
        </w:rPr>
      </w:pPr>
      <w:r w:rsidRPr="000F16D0">
        <w:rPr>
          <w:lang w:val="en-GB"/>
        </w:rPr>
        <w:t>We selected 25 diseases based on three criteria: (1) global burden as measured by disability-adjusted life years (DALYs), (2) representativeness across major health domains (e.g., infectious, noncommunicable, maternal/child, injury-related), and (3) relevance to global equity and neglected health priorities. Disease selection was guided by the Global Burden of Disease (GBD) 2021 study</w:t>
      </w:r>
      <w:r>
        <w:rPr>
          <w:lang w:val="en-GB"/>
        </w:rPr>
        <w:t xml:space="preserve"> </w:t>
      </w:r>
      <w:r>
        <w:rPr>
          <w:lang w:val="en-GB"/>
        </w:rPr>
        <w:fldChar w:fldCharType="begin"/>
      </w:r>
      <w:r>
        <w:rPr>
          <w:lang w:val="en-GB"/>
        </w:rPr>
        <w:instrText xml:space="preserve"> ADDIN ZOTERO_ITEM CSL_CITATION {"citationID":"HfjMicXV","properties":{"formattedCitation":"\\super 22\\nosupersub{}","plainCitation":"22","noteIndex":0},"citationItems":[{"id":903,"uris":["http://zotero.org/users/16405780/items/C7YJGUGG"],"itemData":{"id":903,"type":"webpage","container-title":"Institute for Health Metrics and Evaluation","language":"en","title":"GBD Results","URL":"https://vizhub.healthdata.org/gbd-results","accessed":{"date-parts":[["2025",7,7]]}}}],"schema":"https://github.com/citation-style-language/schema/raw/master/csl-citation.json"} </w:instrText>
      </w:r>
      <w:r>
        <w:rPr>
          <w:lang w:val="en-GB"/>
        </w:rPr>
        <w:fldChar w:fldCharType="separate"/>
      </w:r>
      <w:r w:rsidR="00C90485" w:rsidRPr="00C90485">
        <w:rPr>
          <w:rFonts w:ascii="Aptos" w:cs="Times New Roman"/>
          <w:kern w:val="0"/>
          <w:vertAlign w:val="superscript"/>
        </w:rPr>
        <w:t>23</w:t>
      </w:r>
      <w:r>
        <w:rPr>
          <w:lang w:val="en-GB"/>
        </w:rPr>
        <w:fldChar w:fldCharType="end"/>
      </w:r>
      <w:r w:rsidRPr="000F16D0">
        <w:rPr>
          <w:lang w:val="en-GB"/>
        </w:rPr>
        <w:t xml:space="preserve">, the </w:t>
      </w:r>
      <w:bookmarkStart w:id="12" w:name="OLE_LINK33"/>
      <w:bookmarkStart w:id="13" w:name="OLE_LINK34"/>
      <w:r w:rsidRPr="000F16D0">
        <w:rPr>
          <w:lang w:val="en-GB"/>
        </w:rPr>
        <w:t xml:space="preserve">WHO </w:t>
      </w:r>
      <w:bookmarkEnd w:id="12"/>
      <w:bookmarkEnd w:id="13"/>
      <w:r w:rsidRPr="000F16D0">
        <w:rPr>
          <w:lang w:val="en-GB"/>
        </w:rPr>
        <w:t>Global Health Observatory</w:t>
      </w:r>
      <w:r>
        <w:rPr>
          <w:lang w:val="en-GB"/>
        </w:rPr>
        <w:t xml:space="preserve"> </w:t>
      </w:r>
      <w:r>
        <w:rPr>
          <w:lang w:val="en-GB"/>
        </w:rPr>
        <w:fldChar w:fldCharType="begin"/>
      </w:r>
      <w:r>
        <w:rPr>
          <w:lang w:val="en-GB"/>
        </w:rPr>
        <w:instrText xml:space="preserve"> ADDIN ZOTERO_ITEM CSL_CITATION {"citationID":"yJRLqY3u","properties":{"formattedCitation":"\\super 23\\nosupersub{}","plainCitation":"23","noteIndex":0},"citationItems":[{"id":895,"uris":["http://zotero.org/users/16405780/items/JPNU4QJL"],"itemData":{"id":895,"type":"webpage","abstract":"The GHO data repository is WHO's gateway to health-related statistics for its 194 Member States. It provides access to over 1000 health topics indicators","language":"en","title":"Global Health Observatory","URL":"https://www.who.int/data/gho","accessed":{"date-parts":[["2025",7,6]]}}}],"schema":"https://github.com/citation-style-language/schema/raw/master/csl-citation.json"} </w:instrText>
      </w:r>
      <w:r>
        <w:rPr>
          <w:lang w:val="en-GB"/>
        </w:rPr>
        <w:fldChar w:fldCharType="separate"/>
      </w:r>
      <w:r w:rsidRPr="000F16D0">
        <w:rPr>
          <w:rFonts w:ascii="Aptos" w:cs="Times New Roman"/>
          <w:kern w:val="0"/>
          <w:vertAlign w:val="superscript"/>
        </w:rPr>
        <w:t>23</w:t>
      </w:r>
      <w:r>
        <w:rPr>
          <w:lang w:val="en-GB"/>
        </w:rPr>
        <w:fldChar w:fldCharType="end"/>
      </w:r>
      <w:r w:rsidRPr="000F16D0">
        <w:rPr>
          <w:lang w:val="en-GB"/>
        </w:rPr>
        <w:t xml:space="preserve">, and strategic policy frameworks such as the </w:t>
      </w:r>
      <w:bookmarkStart w:id="14" w:name="OLE_LINK35"/>
      <w:bookmarkStart w:id="15" w:name="OLE_LINK36"/>
      <w:r w:rsidRPr="000F16D0">
        <w:rPr>
          <w:lang w:val="en-GB"/>
        </w:rPr>
        <w:t xml:space="preserve">WHO NTD </w:t>
      </w:r>
      <w:bookmarkEnd w:id="14"/>
      <w:bookmarkEnd w:id="15"/>
      <w:r w:rsidRPr="000F16D0">
        <w:rPr>
          <w:lang w:val="en-GB"/>
        </w:rPr>
        <w:t>roadmap</w:t>
      </w:r>
      <w:r>
        <w:rPr>
          <w:lang w:val="en-GB"/>
        </w:rPr>
        <w:t xml:space="preserve"> </w:t>
      </w:r>
      <w:r>
        <w:rPr>
          <w:lang w:val="en-GB"/>
        </w:rPr>
        <w:fldChar w:fldCharType="begin"/>
      </w:r>
      <w:r>
        <w:rPr>
          <w:lang w:val="en-GB"/>
        </w:rPr>
        <w:instrText xml:space="preserve"> ADDIN ZOTERO_ITEM CSL_CITATION {"citationID":"sfhWInKX","properties":{"formattedCitation":"\\super 24\\nosupersub{}","plainCitation":"24","noteIndex":0},"citationItems":[{"id":897,"uris":["http://zotero.org/users/16405780/items/LID248VZ"],"itemData":{"id":897,"type":"webpage","abstract":"Neglected tropical diseases (NTDs) are a diverse group of 20 conditions  that are mainly prevalent in tropical areas, where they mostly affect impoverished communities and disproportionately affect women and children. These diseases cause devastating health, social and economic consequences to more than one billion people.\nThe epidemiology of NTDs is complex and often related to environmental conditions. Many of them are vector-borne, have animal reservoirs and are associated with complex life cycles. All these factors make their public-health control challenging.","language":"en","title":"Neglected tropical diseases -- GLOBAL","URL":"https://www.who.int/health-topics/neglected-tropical-diseases","accessed":{"date-parts":[["2025",7,6]]}}}],"schema":"https://github.com/citation-style-language/schema/raw/master/csl-citation.json"} </w:instrText>
      </w:r>
      <w:r>
        <w:rPr>
          <w:lang w:val="en-GB"/>
        </w:rPr>
        <w:fldChar w:fldCharType="separate"/>
      </w:r>
      <w:r w:rsidRPr="000F16D0">
        <w:rPr>
          <w:rFonts w:ascii="Aptos" w:cs="Times New Roman"/>
          <w:kern w:val="0"/>
          <w:vertAlign w:val="superscript"/>
        </w:rPr>
        <w:t>24</w:t>
      </w:r>
      <w:r>
        <w:rPr>
          <w:lang w:val="en-GB"/>
        </w:rPr>
        <w:fldChar w:fldCharType="end"/>
      </w:r>
      <w:r w:rsidRPr="000F16D0">
        <w:rPr>
          <w:lang w:val="en-GB"/>
        </w:rPr>
        <w:t xml:space="preserve"> and the GINA Asthma report</w:t>
      </w:r>
      <w:r>
        <w:rPr>
          <w:lang w:val="en-GB"/>
        </w:rPr>
        <w:t xml:space="preserve"> </w:t>
      </w:r>
      <w:r>
        <w:rPr>
          <w:lang w:val="en-GB"/>
        </w:rPr>
        <w:fldChar w:fldCharType="begin"/>
      </w:r>
      <w:r>
        <w:rPr>
          <w:lang w:val="en-GB"/>
        </w:rPr>
        <w:instrText xml:space="preserve"> ADDIN ZOTERO_ITEM CSL_CITATION {"citationID":"GkdTNsKM","properties":{"formattedCitation":"\\super 25\\nosupersub{}","plainCitation":"25","noteIndex":0},"citationItems":[{"id":899,"uris":["http://zotero.org/users/16405780/items/3VGC722L"],"itemData":{"id":899,"type":"post-weblog","abstract":"The Global Strategy for Asthma Management and Prevention incorporates new scientific information about asthma based on a review of recent scientific literature by an international panel of experts on the GINA Science Committee. This comprehensive and practical resource about one of the most common chronic lung diseases worldwide contains extensive citations from the scientific literature and forms the … Continue reading \"Reports\"","container-title":"Global Initiative for Asthma - GINA","language":"en-US","title":"Reports","URL":"https://ginasthma.org/reports/","accessed":{"date-parts":[["2025",7,6]]}}}],"schema":"https://github.com/citation-style-language/schema/raw/master/csl-citation.json"} </w:instrText>
      </w:r>
      <w:r>
        <w:rPr>
          <w:lang w:val="en-GB"/>
        </w:rPr>
        <w:fldChar w:fldCharType="separate"/>
      </w:r>
      <w:r w:rsidRPr="000F16D0">
        <w:rPr>
          <w:rFonts w:ascii="Aptos" w:cs="Times New Roman"/>
          <w:kern w:val="0"/>
          <w:vertAlign w:val="superscript"/>
        </w:rPr>
        <w:t>25</w:t>
      </w:r>
      <w:r>
        <w:rPr>
          <w:lang w:val="en-GB"/>
        </w:rPr>
        <w:fldChar w:fldCharType="end"/>
      </w:r>
      <w:r w:rsidRPr="000F16D0">
        <w:rPr>
          <w:lang w:val="en-GB"/>
        </w:rPr>
        <w:t>.</w:t>
      </w:r>
    </w:p>
    <w:p w14:paraId="03E6FC01" w14:textId="7A8CD189" w:rsidR="000F16D0" w:rsidRPr="000F16D0" w:rsidRDefault="000F16D0" w:rsidP="000F16D0">
      <w:pPr>
        <w:jc w:val="both"/>
        <w:rPr>
          <w:lang w:val="en-GB"/>
        </w:rPr>
      </w:pPr>
      <w:r w:rsidRPr="000F16D0">
        <w:rPr>
          <w:lang w:val="en-GB"/>
        </w:rPr>
        <w:t>For each disease, we extracted DALYs, annual deaths, and prevalence estimates from the G</w:t>
      </w:r>
      <w:r>
        <w:rPr>
          <w:lang w:val="en-GB"/>
        </w:rPr>
        <w:t>lobal Burden of Disease</w:t>
      </w:r>
      <w:r w:rsidRPr="000F16D0">
        <w:rPr>
          <w:lang w:val="en-GB"/>
        </w:rPr>
        <w:t xml:space="preserve"> 2021</w:t>
      </w:r>
      <w:r>
        <w:rPr>
          <w:lang w:val="en-GB"/>
        </w:rPr>
        <w:t xml:space="preserve"> </w:t>
      </w:r>
      <w:r>
        <w:rPr>
          <w:lang w:val="en-GB"/>
        </w:rPr>
        <w:fldChar w:fldCharType="begin"/>
      </w:r>
      <w:r>
        <w:rPr>
          <w:lang w:val="en-GB"/>
        </w:rPr>
        <w:instrText xml:space="preserve"> ADDIN ZOTERO_ITEM CSL_CITATION {"citationID":"KYNR7B6R","properties":{"formattedCitation":"\\super 22\\nosupersub{}","plainCitation":"22","noteIndex":0},"citationItems":[{"id":903,"uris":["http://zotero.org/users/16405780/items/C7YJGUGG"],"itemData":{"id":903,"type":"webpage","container-title":"Institute for Health Metrics and Evaluation","language":"en","title":"GBD Results","URL":"https://vizhub.healthdata.org/gbd-results","accessed":{"date-parts":[["2025",7,7]]}}}],"schema":"https://github.com/citation-style-language/schema/raw/master/csl-citation.json"} </w:instrText>
      </w:r>
      <w:r>
        <w:rPr>
          <w:lang w:val="en-GB"/>
        </w:rPr>
        <w:fldChar w:fldCharType="separate"/>
      </w:r>
      <w:r w:rsidRPr="000F16D0">
        <w:rPr>
          <w:rFonts w:ascii="Aptos" w:cs="Times New Roman"/>
          <w:kern w:val="0"/>
          <w:vertAlign w:val="superscript"/>
        </w:rPr>
        <w:t>22</w:t>
      </w:r>
      <w:r>
        <w:rPr>
          <w:lang w:val="en-GB"/>
        </w:rPr>
        <w:fldChar w:fldCharType="end"/>
      </w:r>
      <w:r w:rsidRPr="000F16D0">
        <w:rPr>
          <w:lang w:val="en-GB"/>
        </w:rPr>
        <w:t xml:space="preserve">  (filtered for Global, Both sexes, All ages, and "Number" as the metric). These indicators were integrated into a composite burden score using the formula:</w:t>
      </w:r>
    </w:p>
    <w:p w14:paraId="08DCBA08" w14:textId="77777777" w:rsidR="000F16D0" w:rsidRPr="000F16D0" w:rsidRDefault="000F16D0" w:rsidP="000F16D0">
      <w:pPr>
        <w:jc w:val="center"/>
        <w:rPr>
          <w:i/>
          <w:lang w:val="en-GB"/>
        </w:rPr>
      </w:pPr>
      <w:r w:rsidRPr="000F16D0">
        <w:rPr>
          <w:i/>
          <w:lang w:val="en-GB"/>
        </w:rPr>
        <w:t>Burden Score = (0.5 × DALYs) + (50 × Deaths) + [10 × log₁₀(Prevalence)]</w:t>
      </w:r>
    </w:p>
    <w:p w14:paraId="71DAAD45" w14:textId="77777777" w:rsidR="000F16D0" w:rsidRPr="000F16D0" w:rsidRDefault="000F16D0" w:rsidP="000F16D0">
      <w:pPr>
        <w:jc w:val="both"/>
        <w:rPr>
          <w:lang w:val="en-GB"/>
        </w:rPr>
      </w:pPr>
      <w:r w:rsidRPr="000F16D0">
        <w:rPr>
          <w:lang w:val="en-GB"/>
        </w:rPr>
        <w:t>This approach balances fatal and nonfatal disease components, ensuring that both mortality and quality-of-life impacts are represented without overweighting highly prevalent but low-severity conditions.</w:t>
      </w:r>
    </w:p>
    <w:p w14:paraId="6D361751" w14:textId="77777777" w:rsidR="000F16D0" w:rsidRPr="000F16D0" w:rsidRDefault="000F16D0" w:rsidP="000F16D0">
      <w:pPr>
        <w:pStyle w:val="Heading3"/>
        <w:rPr>
          <w:lang w:val="en-GB"/>
        </w:rPr>
      </w:pPr>
      <w:proofErr w:type="spellStart"/>
      <w:r w:rsidRPr="000F16D0">
        <w:rPr>
          <w:lang w:val="en-GB"/>
        </w:rPr>
        <w:lastRenderedPageBreak/>
        <w:t>MeSH</w:t>
      </w:r>
      <w:proofErr w:type="spellEnd"/>
      <w:r w:rsidRPr="000F16D0">
        <w:rPr>
          <w:lang w:val="en-GB"/>
        </w:rPr>
        <w:t xml:space="preserve"> Mapping and Research Coverage Estimation</w:t>
      </w:r>
    </w:p>
    <w:p w14:paraId="4F2963F4" w14:textId="6D90F622" w:rsidR="000F16D0" w:rsidRPr="000F16D0" w:rsidRDefault="000F16D0" w:rsidP="000F16D0">
      <w:pPr>
        <w:jc w:val="both"/>
        <w:rPr>
          <w:lang w:val="en-GB"/>
        </w:rPr>
      </w:pPr>
      <w:r w:rsidRPr="000F16D0">
        <w:rPr>
          <w:lang w:val="en-GB"/>
        </w:rPr>
        <w:t>Each disease was associated with 3</w:t>
      </w:r>
      <w:r w:rsidR="00867B0F">
        <w:rPr>
          <w:lang w:val="en-GB"/>
        </w:rPr>
        <w:t>-</w:t>
      </w:r>
      <w:r w:rsidRPr="000F16D0">
        <w:rPr>
          <w:lang w:val="en-GB"/>
        </w:rPr>
        <w:t xml:space="preserve">5 </w:t>
      </w:r>
      <w:proofErr w:type="spellStart"/>
      <w:r w:rsidRPr="000F16D0">
        <w:rPr>
          <w:lang w:val="en-GB"/>
        </w:rPr>
        <w:t>MeSH</w:t>
      </w:r>
      <w:proofErr w:type="spellEnd"/>
      <w:r w:rsidRPr="000F16D0">
        <w:rPr>
          <w:lang w:val="en-GB"/>
        </w:rPr>
        <w:t xml:space="preserve"> terms, manually curated from NLM </w:t>
      </w:r>
      <w:proofErr w:type="spellStart"/>
      <w:r w:rsidRPr="000F16D0">
        <w:rPr>
          <w:lang w:val="en-GB"/>
        </w:rPr>
        <w:t>MeSH</w:t>
      </w:r>
      <w:proofErr w:type="spellEnd"/>
      <w:r w:rsidRPr="000F16D0">
        <w:rPr>
          <w:lang w:val="en-GB"/>
        </w:rPr>
        <w:t xml:space="preserve"> hierarchies and domain-specific literature. These mappings aimed to maximise sensitivity while preserving specificity. For instance, “Tuberculosis” included “Pulmonary Tuberculosis” and “Mycobacterium tuberculosis,” while “Low Back Pain” encompassed terms like “Back Pain” and “Lumbar Pain.”</w:t>
      </w:r>
    </w:p>
    <w:p w14:paraId="01EC6647" w14:textId="336521FE" w:rsidR="000F16D0" w:rsidRPr="000F16D0" w:rsidRDefault="000F16D0" w:rsidP="000F16D0">
      <w:pPr>
        <w:jc w:val="both"/>
        <w:rPr>
          <w:lang w:val="en-GB"/>
        </w:rPr>
      </w:pPr>
      <w:r w:rsidRPr="000F16D0">
        <w:rPr>
          <w:lang w:val="en-GB"/>
        </w:rPr>
        <w:t xml:space="preserve">We analysed </w:t>
      </w:r>
      <w:r w:rsidR="00A56845">
        <w:rPr>
          <w:lang w:val="en-GB"/>
        </w:rPr>
        <w:t xml:space="preserve">the previously identified </w:t>
      </w:r>
      <w:r w:rsidRPr="000F16D0">
        <w:rPr>
          <w:lang w:val="en-GB"/>
        </w:rPr>
        <w:t xml:space="preserve">14,142 peer-reviewed, PubMed-indexed articles linked to one or more of </w:t>
      </w:r>
      <w:r w:rsidR="00A56845">
        <w:rPr>
          <w:lang w:val="en-GB"/>
        </w:rPr>
        <w:t xml:space="preserve">the </w:t>
      </w:r>
      <w:r w:rsidRPr="000F16D0">
        <w:rPr>
          <w:lang w:val="en-GB"/>
        </w:rPr>
        <w:t>five global biobanks</w:t>
      </w:r>
      <w:r w:rsidR="00A56845">
        <w:rPr>
          <w:lang w:val="en-GB"/>
        </w:rPr>
        <w:t xml:space="preserve"> (</w:t>
      </w:r>
      <w:r w:rsidRPr="000F16D0">
        <w:rPr>
          <w:lang w:val="en-GB"/>
        </w:rPr>
        <w:t xml:space="preserve">UK Biobank, Million Veteran Program (MVP), </w:t>
      </w:r>
      <w:proofErr w:type="spellStart"/>
      <w:r w:rsidRPr="000F16D0">
        <w:rPr>
          <w:lang w:val="en-GB"/>
        </w:rPr>
        <w:t>FinnGen</w:t>
      </w:r>
      <w:proofErr w:type="spellEnd"/>
      <w:r w:rsidRPr="000F16D0">
        <w:rPr>
          <w:lang w:val="en-GB"/>
        </w:rPr>
        <w:t>, All of Us, and the Estonian Biobank</w:t>
      </w:r>
      <w:r w:rsidR="00A56845">
        <w:rPr>
          <w:lang w:val="en-GB"/>
        </w:rPr>
        <w:t xml:space="preserve">). </w:t>
      </w:r>
      <w:r w:rsidRPr="000F16D0">
        <w:rPr>
          <w:lang w:val="en-GB"/>
        </w:rPr>
        <w:t xml:space="preserve">Articles were matched to disease categories via case-insensitive and partial string matching of </w:t>
      </w:r>
      <w:proofErr w:type="spellStart"/>
      <w:r w:rsidRPr="000F16D0">
        <w:rPr>
          <w:lang w:val="en-GB"/>
        </w:rPr>
        <w:t>MeSH</w:t>
      </w:r>
      <w:proofErr w:type="spellEnd"/>
      <w:r w:rsidRPr="000F16D0">
        <w:rPr>
          <w:lang w:val="en-GB"/>
        </w:rPr>
        <w:t xml:space="preserve"> terms. Each article could contribute to multiple disease areas.</w:t>
      </w:r>
    </w:p>
    <w:p w14:paraId="651C7514" w14:textId="77777777" w:rsidR="000F16D0" w:rsidRPr="000F16D0" w:rsidRDefault="000F16D0" w:rsidP="00A56845">
      <w:pPr>
        <w:pStyle w:val="Heading3"/>
        <w:rPr>
          <w:lang w:val="en-GB"/>
        </w:rPr>
      </w:pPr>
      <w:r w:rsidRPr="000F16D0">
        <w:rPr>
          <w:lang w:val="en-GB"/>
        </w:rPr>
        <w:t>Gap Score Calculation</w:t>
      </w:r>
    </w:p>
    <w:p w14:paraId="0FC45E75" w14:textId="19C35635" w:rsidR="000F16D0" w:rsidRPr="000F16D0" w:rsidRDefault="000F16D0" w:rsidP="000F16D0">
      <w:pPr>
        <w:jc w:val="both"/>
        <w:rPr>
          <w:lang w:val="en-GB"/>
        </w:rPr>
      </w:pPr>
      <w:r w:rsidRPr="000F16D0">
        <w:rPr>
          <w:lang w:val="en-GB"/>
        </w:rPr>
        <w:t>We defined a research gap score (range: 0</w:t>
      </w:r>
      <w:r w:rsidR="003D4C61">
        <w:rPr>
          <w:lang w:val="en-GB"/>
        </w:rPr>
        <w:t>-</w:t>
      </w:r>
      <w:r w:rsidRPr="000F16D0">
        <w:rPr>
          <w:lang w:val="en-GB"/>
        </w:rPr>
        <w:t>100) to quantify the mismatch between disease burden and biobank research attention. The scoring algorithm incorporated:</w:t>
      </w:r>
    </w:p>
    <w:p w14:paraId="7B685EFB" w14:textId="77777777" w:rsidR="000F16D0" w:rsidRPr="000F16D0" w:rsidRDefault="000F16D0" w:rsidP="000F16D0">
      <w:pPr>
        <w:numPr>
          <w:ilvl w:val="0"/>
          <w:numId w:val="38"/>
        </w:numPr>
        <w:jc w:val="both"/>
        <w:rPr>
          <w:lang w:val="en-GB"/>
        </w:rPr>
      </w:pPr>
      <w:r w:rsidRPr="000F16D0">
        <w:rPr>
          <w:b/>
          <w:bCs/>
          <w:lang w:val="en-GB"/>
        </w:rPr>
        <w:t>Zero-publication penalty</w:t>
      </w:r>
      <w:r w:rsidRPr="000F16D0">
        <w:rPr>
          <w:lang w:val="en-GB"/>
        </w:rPr>
        <w:t>: Diseases with no publications received a gap score of 95.</w:t>
      </w:r>
    </w:p>
    <w:p w14:paraId="6E10B107" w14:textId="77777777" w:rsidR="000F16D0" w:rsidRPr="000F16D0" w:rsidRDefault="000F16D0" w:rsidP="000F16D0">
      <w:pPr>
        <w:numPr>
          <w:ilvl w:val="0"/>
          <w:numId w:val="38"/>
        </w:numPr>
        <w:jc w:val="both"/>
        <w:rPr>
          <w:lang w:val="en-GB"/>
        </w:rPr>
      </w:pPr>
      <w:r w:rsidRPr="000F16D0">
        <w:rPr>
          <w:b/>
          <w:bCs/>
          <w:lang w:val="en-GB"/>
        </w:rPr>
        <w:t>Threshold-based adjustments</w:t>
      </w:r>
      <w:r w:rsidRPr="000F16D0">
        <w:rPr>
          <w:lang w:val="en-GB"/>
        </w:rPr>
        <w:t>: Infectious and neglected diseases received elevated scores if they fell below predefined publication thresholds (e.g., &lt;50 for malaria or tuberculosis).</w:t>
      </w:r>
    </w:p>
    <w:p w14:paraId="11643E79" w14:textId="77777777" w:rsidR="000F16D0" w:rsidRPr="000F16D0" w:rsidRDefault="000F16D0" w:rsidP="000F16D0">
      <w:pPr>
        <w:numPr>
          <w:ilvl w:val="0"/>
          <w:numId w:val="38"/>
        </w:numPr>
        <w:jc w:val="both"/>
        <w:rPr>
          <w:lang w:val="en-GB"/>
        </w:rPr>
      </w:pPr>
      <w:r w:rsidRPr="000F16D0">
        <w:rPr>
          <w:b/>
          <w:bCs/>
          <w:lang w:val="en-GB"/>
        </w:rPr>
        <w:t>Scaled burden-normalised intensity</w:t>
      </w:r>
      <w:r w:rsidRPr="000F16D0">
        <w:rPr>
          <w:lang w:val="en-GB"/>
        </w:rPr>
        <w:t>: Remaining diseases were scored based on publication density relative to disease burden, using decile-based thresholds for publications per million DALYs.</w:t>
      </w:r>
    </w:p>
    <w:p w14:paraId="4DBD7535" w14:textId="77777777" w:rsidR="000F16D0" w:rsidRPr="000F16D0" w:rsidRDefault="000F16D0" w:rsidP="000F16D0">
      <w:pPr>
        <w:jc w:val="both"/>
        <w:rPr>
          <w:lang w:val="en-GB"/>
        </w:rPr>
      </w:pPr>
      <w:r w:rsidRPr="000F16D0">
        <w:rPr>
          <w:lang w:val="en-GB"/>
        </w:rPr>
        <w:t>Gap severity was classified into four tiers: Critical (&gt;70), High (50–70), Moderate (30–50), and Low (&lt;30). This classification was visualized using burden-vs-effort scatterplots and gap-severity heatmaps.</w:t>
      </w:r>
    </w:p>
    <w:p w14:paraId="78465681" w14:textId="77777777" w:rsidR="000F16D0" w:rsidRPr="000F16D0" w:rsidRDefault="000F16D0" w:rsidP="000F16D0">
      <w:pPr>
        <w:jc w:val="both"/>
        <w:rPr>
          <w:b/>
          <w:bCs/>
          <w:lang w:val="en-GB"/>
        </w:rPr>
      </w:pPr>
      <w:r w:rsidRPr="000F16D0">
        <w:rPr>
          <w:b/>
          <w:bCs/>
          <w:lang w:val="en-GB"/>
        </w:rPr>
        <w:t>Biobank-Specific Opportunity Metrics</w:t>
      </w:r>
    </w:p>
    <w:p w14:paraId="53240C58" w14:textId="2CF92111" w:rsidR="000F16D0" w:rsidRPr="00402CA9" w:rsidRDefault="000F16D0" w:rsidP="00B21CB7">
      <w:pPr>
        <w:jc w:val="both"/>
        <w:rPr>
          <w:lang w:val="en-GB"/>
        </w:rPr>
      </w:pPr>
      <w:r w:rsidRPr="000F16D0">
        <w:rPr>
          <w:lang w:val="en-GB"/>
        </w:rPr>
        <w:t>To assess underexplored disease space within each biobank’s publication corpus, we computed a biobank-specific Research Opportunity Score. For every disease with ≤2 linked publications in a given biobank, we added its burden score to that biobank’s opportunity index. This measure reflects the magnitude of high-burden areas left unaddressed by each biobank. We also tracked the number of critical gap diseases per biobank to highlight missed opportunities for global health impact.</w:t>
      </w:r>
    </w:p>
    <w:p w14:paraId="587C9FE7" w14:textId="74EC836A" w:rsidR="000C1B8D" w:rsidRPr="00522C53" w:rsidRDefault="0019426B" w:rsidP="0019426B">
      <w:pPr>
        <w:pStyle w:val="Heading1"/>
        <w:rPr>
          <w:b/>
          <w:bCs/>
        </w:rPr>
      </w:pPr>
      <w:r w:rsidRPr="00522C53">
        <w:rPr>
          <w:b/>
          <w:bCs/>
        </w:rPr>
        <w:lastRenderedPageBreak/>
        <w:t>Results</w:t>
      </w:r>
    </w:p>
    <w:p w14:paraId="3D33EA79" w14:textId="5F6C83DF" w:rsidR="00246BC3" w:rsidRDefault="009D21D6" w:rsidP="003475D1">
      <w:pPr>
        <w:pStyle w:val="Heading2"/>
      </w:pPr>
      <w:r w:rsidRPr="009D21D6">
        <w:t xml:space="preserve">Biobank Research Output Growth Reflects Rapid Expansion </w:t>
      </w:r>
    </w:p>
    <w:p w14:paraId="35503919" w14:textId="3A606F93" w:rsidR="009D21D6" w:rsidRPr="009D21D6" w:rsidRDefault="009D21D6" w:rsidP="009D21D6">
      <w:pPr>
        <w:jc w:val="both"/>
        <w:rPr>
          <w:lang w:val="en-GB"/>
        </w:rPr>
      </w:pPr>
      <w:r w:rsidRPr="009D21D6">
        <w:rPr>
          <w:lang w:val="en-GB"/>
        </w:rPr>
        <w:t xml:space="preserve">To contextualize the thematic clustering results, we first examined overall publication trends across five major global biobanks from 2000 to 2024, focusing exclusively on peer-reviewed, PubMed-indexed articles with validated </w:t>
      </w:r>
      <w:proofErr w:type="spellStart"/>
      <w:r w:rsidRPr="009D21D6">
        <w:rPr>
          <w:lang w:val="en-GB"/>
        </w:rPr>
        <w:t>MeSH</w:t>
      </w:r>
      <w:proofErr w:type="spellEnd"/>
      <w:r w:rsidRPr="009D21D6">
        <w:rPr>
          <w:lang w:val="en-GB"/>
        </w:rPr>
        <w:t xml:space="preserve"> annotations. A total of 14,142 published articles were retained for analysis following a multi-step curation process that excluded preprints, duplicates, and the year 2025</w:t>
      </w:r>
      <w:r w:rsidR="008E4ED4">
        <w:rPr>
          <w:lang w:val="en-GB"/>
        </w:rPr>
        <w:t xml:space="preserve"> (due to inc</w:t>
      </w:r>
      <w:r w:rsidR="00A05CCB">
        <w:rPr>
          <w:lang w:val="en-GB"/>
        </w:rPr>
        <w:t>ompleteness</w:t>
      </w:r>
      <w:r w:rsidR="00683ADC">
        <w:rPr>
          <w:lang w:val="en-GB"/>
        </w:rPr>
        <w:t xml:space="preserve"> at the time of writing</w:t>
      </w:r>
      <w:r w:rsidR="00A05CCB">
        <w:rPr>
          <w:lang w:val="en-GB"/>
        </w:rPr>
        <w:t>)</w:t>
      </w:r>
      <w:r w:rsidRPr="009D21D6">
        <w:rPr>
          <w:lang w:val="en-GB"/>
        </w:rPr>
        <w:t xml:space="preserve">. </w:t>
      </w:r>
      <w:r w:rsidR="00A05CCB">
        <w:rPr>
          <w:lang w:val="en-GB"/>
        </w:rPr>
        <w:t>P</w:t>
      </w:r>
      <w:r w:rsidRPr="009D21D6">
        <w:rPr>
          <w:lang w:val="en-GB"/>
        </w:rPr>
        <w:t>reprints accounted for only 3.5% of the initial dataset (513 out of 14,655 records</w:t>
      </w:r>
      <w:r w:rsidR="00A05CCB">
        <w:rPr>
          <w:lang w:val="en-GB"/>
        </w:rPr>
        <w:t xml:space="preserve">; </w:t>
      </w:r>
      <w:r w:rsidR="00A05CCB" w:rsidRPr="009D21D6">
        <w:rPr>
          <w:b/>
          <w:bCs/>
          <w:lang w:val="en-GB"/>
        </w:rPr>
        <w:t>Supplementary Figure </w:t>
      </w:r>
      <w:r w:rsidR="00A05CCB">
        <w:rPr>
          <w:b/>
          <w:bCs/>
          <w:lang w:val="en-GB"/>
        </w:rPr>
        <w:t>S</w:t>
      </w:r>
      <w:r w:rsidR="00A05CCB" w:rsidRPr="009D21D6">
        <w:rPr>
          <w:b/>
          <w:bCs/>
          <w:lang w:val="en-GB"/>
        </w:rPr>
        <w:t>1A</w:t>
      </w:r>
      <w:r w:rsidRPr="009D21D6">
        <w:rPr>
          <w:lang w:val="en-GB"/>
        </w:rPr>
        <w:t xml:space="preserve">), with the majority sourced from </w:t>
      </w:r>
      <w:proofErr w:type="spellStart"/>
      <w:r w:rsidRPr="009D21D6">
        <w:rPr>
          <w:lang w:val="en-GB"/>
        </w:rPr>
        <w:t>medRxiv</w:t>
      </w:r>
      <w:proofErr w:type="spellEnd"/>
      <w:r w:rsidRPr="009D21D6">
        <w:rPr>
          <w:lang w:val="en-GB"/>
        </w:rPr>
        <w:t xml:space="preserve"> and </w:t>
      </w:r>
      <w:proofErr w:type="spellStart"/>
      <w:r w:rsidRPr="009D21D6">
        <w:rPr>
          <w:lang w:val="en-GB"/>
        </w:rPr>
        <w:t>bioRxiv</w:t>
      </w:r>
      <w:proofErr w:type="spellEnd"/>
      <w:r w:rsidRPr="009D21D6">
        <w:rPr>
          <w:lang w:val="en-GB"/>
        </w:rPr>
        <w:t xml:space="preserve"> (</w:t>
      </w:r>
      <w:r w:rsidRPr="009D21D6">
        <w:rPr>
          <w:b/>
          <w:bCs/>
          <w:lang w:val="en-GB"/>
        </w:rPr>
        <w:t>Supplementary Figure </w:t>
      </w:r>
      <w:r w:rsidR="00A05CCB">
        <w:rPr>
          <w:b/>
          <w:bCs/>
          <w:lang w:val="en-GB"/>
        </w:rPr>
        <w:t>S</w:t>
      </w:r>
      <w:r w:rsidRPr="009D21D6">
        <w:rPr>
          <w:b/>
          <w:bCs/>
          <w:lang w:val="en-GB"/>
        </w:rPr>
        <w:t>1B</w:t>
      </w:r>
      <w:r w:rsidRPr="009D21D6">
        <w:rPr>
          <w:lang w:val="en-GB"/>
        </w:rPr>
        <w:t xml:space="preserve">). </w:t>
      </w:r>
    </w:p>
    <w:p w14:paraId="61AB4574" w14:textId="24F8EB36" w:rsidR="009D21D6" w:rsidRPr="009D21D6" w:rsidRDefault="009D21D6" w:rsidP="009D21D6">
      <w:pPr>
        <w:jc w:val="both"/>
        <w:rPr>
          <w:lang w:val="en-GB"/>
        </w:rPr>
      </w:pPr>
      <w:r w:rsidRPr="009D21D6">
        <w:rPr>
          <w:b/>
          <w:bCs/>
          <w:lang w:val="en-GB"/>
        </w:rPr>
        <w:t>Figure 1A</w:t>
      </w:r>
      <w:r w:rsidRPr="009D21D6">
        <w:rPr>
          <w:lang w:val="en-GB"/>
        </w:rPr>
        <w:t xml:space="preserve"> presents publication trajectories for each biobank over time. </w:t>
      </w:r>
      <w:r w:rsidR="003A1DA3">
        <w:rPr>
          <w:lang w:val="en-GB"/>
        </w:rPr>
        <w:t xml:space="preserve">The </w:t>
      </w:r>
      <w:r w:rsidRPr="009D21D6">
        <w:rPr>
          <w:lang w:val="en-GB"/>
        </w:rPr>
        <w:t xml:space="preserve">UK Biobank stands out with a steep and sustained increase beginning around 2015, surpassing 3,000 peer-reviewed articles annually by 2024. This trajectory reflects the combined effect of early public data releases, widespread institutional adoption, and extensive downstream reuse. </w:t>
      </w:r>
      <w:proofErr w:type="spellStart"/>
      <w:r w:rsidRPr="009D21D6">
        <w:rPr>
          <w:lang w:val="en-GB"/>
        </w:rPr>
        <w:t>FinnGen</w:t>
      </w:r>
      <w:proofErr w:type="spellEnd"/>
      <w:r w:rsidRPr="009D21D6">
        <w:rPr>
          <w:lang w:val="en-GB"/>
        </w:rPr>
        <w:t xml:space="preserve">, although more recently launched, displays the most rapid post-2020 growth, consistent with its integrative model linking genomic and registry data. In contrast, All of Us, the Estonian Biobank, and the Million Veteran Program show flatter growth curves, with lower but steady annual outputs. </w:t>
      </w:r>
    </w:p>
    <w:p w14:paraId="02945706" w14:textId="75416EA6" w:rsidR="009D21D6" w:rsidRPr="009D21D6" w:rsidRDefault="009D21D6" w:rsidP="009D21D6">
      <w:pPr>
        <w:jc w:val="both"/>
        <w:rPr>
          <w:lang w:val="en-GB"/>
        </w:rPr>
      </w:pPr>
      <w:r w:rsidRPr="009D21D6">
        <w:rPr>
          <w:b/>
          <w:bCs/>
          <w:lang w:val="en-GB"/>
        </w:rPr>
        <w:t>Figure 1B</w:t>
      </w:r>
      <w:r w:rsidRPr="009D21D6">
        <w:rPr>
          <w:lang w:val="en-GB"/>
        </w:rPr>
        <w:t xml:space="preserve"> summarises total publication volume by biobank. UK Biobank accounts for more than 75% of the </w:t>
      </w:r>
      <w:proofErr w:type="spellStart"/>
      <w:r w:rsidRPr="009D21D6">
        <w:rPr>
          <w:lang w:val="en-GB"/>
        </w:rPr>
        <w:t>analyzed</w:t>
      </w:r>
      <w:proofErr w:type="spellEnd"/>
      <w:r w:rsidRPr="009D21D6">
        <w:rPr>
          <w:lang w:val="en-GB"/>
        </w:rPr>
        <w:t xml:space="preserve"> literature (10,752 articles), followed by </w:t>
      </w:r>
      <w:proofErr w:type="spellStart"/>
      <w:r w:rsidRPr="009D21D6">
        <w:rPr>
          <w:lang w:val="en-GB"/>
        </w:rPr>
        <w:t>FinnGen</w:t>
      </w:r>
      <w:proofErr w:type="spellEnd"/>
      <w:r w:rsidRPr="009D21D6">
        <w:rPr>
          <w:lang w:val="en-GB"/>
        </w:rPr>
        <w:t xml:space="preserve"> (1,806), Estonian Biobank (663), All of Us (535), and Million Veteran Program (386). These figures suggest that publication disparities stem not only from differences in cohort size or launch date but also from broader ecosystem effects</w:t>
      </w:r>
      <w:r w:rsidR="00493CB9">
        <w:rPr>
          <w:lang w:val="en-GB"/>
        </w:rPr>
        <w:t xml:space="preserve">; </w:t>
      </w:r>
      <w:r w:rsidRPr="009D21D6">
        <w:rPr>
          <w:lang w:val="en-GB"/>
        </w:rPr>
        <w:t>including funding models, open data practices, and global network engagement.</w:t>
      </w:r>
    </w:p>
    <w:p w14:paraId="0FDB3987" w14:textId="6A3EC618" w:rsidR="009D21D6" w:rsidRDefault="009D21D6" w:rsidP="009D21D6">
      <w:pPr>
        <w:jc w:val="both"/>
        <w:rPr>
          <w:lang w:val="en-GB"/>
        </w:rPr>
      </w:pPr>
      <w:r w:rsidRPr="009D21D6">
        <w:rPr>
          <w:b/>
          <w:bCs/>
          <w:lang w:val="en-GB"/>
        </w:rPr>
        <w:t>Figure 1C</w:t>
      </w:r>
      <w:r w:rsidRPr="009D21D6">
        <w:rPr>
          <w:lang w:val="en-GB"/>
        </w:rPr>
        <w:t xml:space="preserve"> aggregates total publications across all five biobanks and reveals a dramatic acceleration in output from 2018 onward. This inflection point coincides with the wider availability of large-scale genomic data and increased use of AI and machine learning tools in biomedical research. These technologies have likely lowered analytic barriers and increased the appeal of biobank-scale data among new research constituencies.</w:t>
      </w:r>
    </w:p>
    <w:p w14:paraId="0542873A" w14:textId="5A82D5D4" w:rsidR="00493CB9" w:rsidRDefault="00EE7ABC" w:rsidP="009D21D6">
      <w:pPr>
        <w:jc w:val="both"/>
        <w:rPr>
          <w:lang w:val="en-GB"/>
        </w:rPr>
      </w:pPr>
      <w:r>
        <w:rPr>
          <w:noProof/>
          <w:lang w:val="en-GB"/>
        </w:rPr>
        <w:lastRenderedPageBreak/>
        <w:drawing>
          <wp:inline distT="0" distB="0" distL="0" distR="0" wp14:anchorId="68521D26" wp14:editId="59C03EC4">
            <wp:extent cx="5759450" cy="406971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1-biobank_overview_combined_publishe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4069715"/>
                    </a:xfrm>
                    <a:prstGeom prst="rect">
                      <a:avLst/>
                    </a:prstGeom>
                  </pic:spPr>
                </pic:pic>
              </a:graphicData>
            </a:graphic>
          </wp:inline>
        </w:drawing>
      </w:r>
    </w:p>
    <w:p w14:paraId="553B5CBA" w14:textId="00529386" w:rsidR="00493CB9" w:rsidRPr="00493CB9" w:rsidRDefault="00493CB9" w:rsidP="009D21D6">
      <w:pPr>
        <w:jc w:val="both"/>
        <w:rPr>
          <w:sz w:val="20"/>
          <w:szCs w:val="20"/>
          <w:lang w:val="en-GB"/>
        </w:rPr>
      </w:pPr>
      <w:r w:rsidRPr="00537D4E">
        <w:rPr>
          <w:b/>
          <w:bCs/>
          <w:sz w:val="20"/>
          <w:szCs w:val="20"/>
        </w:rPr>
        <w:t xml:space="preserve">Figure </w:t>
      </w:r>
      <w:r>
        <w:rPr>
          <w:b/>
          <w:bCs/>
          <w:sz w:val="20"/>
          <w:szCs w:val="20"/>
        </w:rPr>
        <w:t>1</w:t>
      </w:r>
      <w:r w:rsidRPr="00537D4E">
        <w:rPr>
          <w:sz w:val="20"/>
          <w:szCs w:val="20"/>
        </w:rPr>
        <w:t xml:space="preserve">. </w:t>
      </w:r>
      <w:r w:rsidRPr="00D84AC5">
        <w:rPr>
          <w:b/>
          <w:sz w:val="20"/>
          <w:szCs w:val="20"/>
          <w:lang w:val="en-GB"/>
        </w:rPr>
        <w:t>Growth and Distribution of Peer-Reviewed Publications Linked to Global EHR-Linked Biobanks (2000</w:t>
      </w:r>
      <w:r w:rsidR="00A05CCB" w:rsidRPr="00D84AC5">
        <w:rPr>
          <w:b/>
          <w:sz w:val="20"/>
          <w:szCs w:val="20"/>
          <w:lang w:val="en-GB"/>
        </w:rPr>
        <w:t>-</w:t>
      </w:r>
      <w:r w:rsidRPr="00D84AC5">
        <w:rPr>
          <w:b/>
          <w:sz w:val="20"/>
          <w:szCs w:val="20"/>
          <w:lang w:val="en-GB"/>
        </w:rPr>
        <w:t>2024)</w:t>
      </w:r>
      <w:r w:rsidRPr="00D84AC5">
        <w:rPr>
          <w:b/>
          <w:sz w:val="20"/>
          <w:szCs w:val="20"/>
        </w:rPr>
        <w:t xml:space="preserve">. </w:t>
      </w:r>
      <w:r w:rsidRPr="00493CB9">
        <w:rPr>
          <w:b/>
          <w:bCs/>
          <w:sz w:val="20"/>
          <w:szCs w:val="20"/>
          <w:lang w:val="en-GB"/>
        </w:rPr>
        <w:t>(A)</w:t>
      </w:r>
      <w:r w:rsidRPr="00493CB9">
        <w:rPr>
          <w:sz w:val="20"/>
          <w:szCs w:val="20"/>
          <w:lang w:val="en-GB"/>
        </w:rPr>
        <w:t xml:space="preserve"> Year-by-year publication counts by biobank show sharp acceleration in biobank-linked research after 201</w:t>
      </w:r>
      <w:r w:rsidR="00174C12">
        <w:rPr>
          <w:sz w:val="20"/>
          <w:szCs w:val="20"/>
          <w:lang w:val="en-GB"/>
        </w:rPr>
        <w:t>8</w:t>
      </w:r>
      <w:r w:rsidRPr="00493CB9">
        <w:rPr>
          <w:sz w:val="20"/>
          <w:szCs w:val="20"/>
          <w:lang w:val="en-GB"/>
        </w:rPr>
        <w:t xml:space="preserve">, with UK Biobank leading in both volume and growth rate. </w:t>
      </w:r>
      <w:proofErr w:type="spellStart"/>
      <w:r w:rsidRPr="00493CB9">
        <w:rPr>
          <w:sz w:val="20"/>
          <w:szCs w:val="20"/>
          <w:lang w:val="en-GB"/>
        </w:rPr>
        <w:t>FinnGen</w:t>
      </w:r>
      <w:proofErr w:type="spellEnd"/>
      <w:r w:rsidRPr="00493CB9">
        <w:rPr>
          <w:sz w:val="20"/>
          <w:szCs w:val="20"/>
          <w:lang w:val="en-GB"/>
        </w:rPr>
        <w:t xml:space="preserve"> displays the most rapid post-2020 rise among newer initiatives.</w:t>
      </w:r>
      <w:r>
        <w:rPr>
          <w:sz w:val="20"/>
          <w:szCs w:val="20"/>
          <w:lang w:val="en-GB"/>
        </w:rPr>
        <w:t xml:space="preserve"> </w:t>
      </w:r>
      <w:r w:rsidRPr="00493CB9">
        <w:rPr>
          <w:b/>
          <w:bCs/>
          <w:sz w:val="20"/>
          <w:szCs w:val="20"/>
          <w:lang w:val="en-GB"/>
        </w:rPr>
        <w:t>(B)</w:t>
      </w:r>
      <w:r w:rsidRPr="00493CB9">
        <w:rPr>
          <w:sz w:val="20"/>
          <w:szCs w:val="20"/>
          <w:lang w:val="en-GB"/>
        </w:rPr>
        <w:t xml:space="preserve"> Total number of peer-reviewed, PubMed-indexed publications by biobank, excluding preprints and records from 2025. </w:t>
      </w:r>
      <w:r w:rsidRPr="00493CB9">
        <w:rPr>
          <w:b/>
          <w:bCs/>
          <w:sz w:val="20"/>
          <w:szCs w:val="20"/>
          <w:lang w:val="en-GB"/>
        </w:rPr>
        <w:t>(C)</w:t>
      </w:r>
      <w:r w:rsidRPr="00493CB9">
        <w:rPr>
          <w:sz w:val="20"/>
          <w:szCs w:val="20"/>
          <w:lang w:val="en-GB"/>
        </w:rPr>
        <w:t xml:space="preserve"> Aggregate publication output per year across all five biobanks</w:t>
      </w:r>
      <w:r w:rsidRPr="00522C53">
        <w:rPr>
          <w:sz w:val="20"/>
          <w:szCs w:val="20"/>
        </w:rPr>
        <w:t>.</w:t>
      </w:r>
    </w:p>
    <w:p w14:paraId="721DB93E" w14:textId="7C6438DA" w:rsidR="009D21D6" w:rsidRDefault="009D21D6" w:rsidP="00493CB9">
      <w:pPr>
        <w:jc w:val="both"/>
        <w:rPr>
          <w:lang w:val="en-GB"/>
        </w:rPr>
      </w:pPr>
      <w:r w:rsidRPr="009D21D6">
        <w:rPr>
          <w:lang w:val="en-GB"/>
        </w:rPr>
        <w:t xml:space="preserve">A biobank-specific view of these publication trajectories is shown in </w:t>
      </w:r>
      <w:r w:rsidRPr="009D21D6">
        <w:rPr>
          <w:b/>
          <w:bCs/>
          <w:lang w:val="en-GB"/>
        </w:rPr>
        <w:t>Supplementary Figure 2</w:t>
      </w:r>
      <w:r w:rsidRPr="009D21D6">
        <w:rPr>
          <w:lang w:val="en-GB"/>
        </w:rPr>
        <w:t xml:space="preserve">, which breaks down annual output into individual contributions. </w:t>
      </w:r>
      <w:r w:rsidR="000F0D50">
        <w:rPr>
          <w:lang w:val="en-GB"/>
        </w:rPr>
        <w:t xml:space="preserve">The </w:t>
      </w:r>
      <w:r w:rsidRPr="009D21D6">
        <w:rPr>
          <w:lang w:val="en-GB"/>
        </w:rPr>
        <w:t xml:space="preserve">UK Biobank consistently dominates the overall trend, but the contribution of </w:t>
      </w:r>
      <w:proofErr w:type="spellStart"/>
      <w:r w:rsidRPr="009D21D6">
        <w:rPr>
          <w:lang w:val="en-GB"/>
        </w:rPr>
        <w:t>FinnGen</w:t>
      </w:r>
      <w:proofErr w:type="spellEnd"/>
      <w:r w:rsidRPr="009D21D6">
        <w:rPr>
          <w:lang w:val="en-GB"/>
        </w:rPr>
        <w:t xml:space="preserve"> has grown considerably since 2021. Meanwhile, All of Us and MVP contribute smaller but steady publication volumes, with thematic distinctiveness shaped by their mandates in health equity and veteran health, respectively.</w:t>
      </w:r>
      <w:r w:rsidR="00493CB9">
        <w:rPr>
          <w:lang w:val="en-GB"/>
        </w:rPr>
        <w:t xml:space="preserve"> These results </w:t>
      </w:r>
      <w:r w:rsidRPr="009D21D6">
        <w:rPr>
          <w:lang w:val="en-GB"/>
        </w:rPr>
        <w:t xml:space="preserve">reveal a field in the midst of rapid expansion, yet marked by unequal visibility across biobanks. </w:t>
      </w:r>
    </w:p>
    <w:p w14:paraId="1FA00D1C" w14:textId="73714362" w:rsidR="00493CB9" w:rsidRPr="00493CB9" w:rsidRDefault="00BA2E0D" w:rsidP="00493CB9">
      <w:pPr>
        <w:pStyle w:val="Heading2"/>
      </w:pPr>
      <w:r>
        <w:t xml:space="preserve">Decoding Biobank </w:t>
      </w:r>
      <w:r w:rsidR="003A1DA3">
        <w:t>Themes</w:t>
      </w:r>
      <w:r w:rsidR="00493CB9" w:rsidRPr="00493CB9">
        <w:t xml:space="preserve"> Through </w:t>
      </w:r>
      <w:proofErr w:type="spellStart"/>
      <w:r w:rsidR="00493CB9" w:rsidRPr="00493CB9">
        <w:t>MeSH</w:t>
      </w:r>
      <w:proofErr w:type="spellEnd"/>
      <w:r w:rsidR="00493CB9" w:rsidRPr="00493CB9">
        <w:t xml:space="preserve"> Term Frequencies</w:t>
      </w:r>
    </w:p>
    <w:p w14:paraId="5092033F" w14:textId="0F64E04D" w:rsidR="00FB3441" w:rsidRPr="00FB3441" w:rsidRDefault="00FB3441" w:rsidP="00FB3441">
      <w:pPr>
        <w:jc w:val="both"/>
        <w:rPr>
          <w:lang w:val="en-GB"/>
        </w:rPr>
      </w:pPr>
      <w:r w:rsidRPr="00FB3441">
        <w:rPr>
          <w:lang w:val="en-GB"/>
        </w:rPr>
        <w:t xml:space="preserve">To further understand the scientific focus of biobank-driven research, we </w:t>
      </w:r>
      <w:proofErr w:type="spellStart"/>
      <w:r w:rsidRPr="00FB3441">
        <w:rPr>
          <w:lang w:val="en-GB"/>
        </w:rPr>
        <w:t>analyzed</w:t>
      </w:r>
      <w:proofErr w:type="spellEnd"/>
      <w:r w:rsidRPr="00FB3441">
        <w:rPr>
          <w:lang w:val="en-GB"/>
        </w:rPr>
        <w:t xml:space="preserve"> the distribution of</w:t>
      </w:r>
      <w:r w:rsidR="003A1DA3">
        <w:rPr>
          <w:lang w:val="en-GB"/>
        </w:rPr>
        <w:t xml:space="preserve"> </w:t>
      </w:r>
      <w:proofErr w:type="spellStart"/>
      <w:r w:rsidRPr="00FB3441">
        <w:rPr>
          <w:lang w:val="en-GB"/>
        </w:rPr>
        <w:t>MeSH</w:t>
      </w:r>
      <w:proofErr w:type="spellEnd"/>
      <w:r w:rsidRPr="00FB3441">
        <w:rPr>
          <w:lang w:val="en-GB"/>
        </w:rPr>
        <w:t xml:space="preserve"> terms associated with published articles from each biobank. </w:t>
      </w:r>
      <w:r w:rsidRPr="00FB3441">
        <w:rPr>
          <w:b/>
          <w:bCs/>
          <w:lang w:val="en-GB"/>
        </w:rPr>
        <w:t>Figure 2</w:t>
      </w:r>
      <w:r w:rsidRPr="00FB3441">
        <w:rPr>
          <w:lang w:val="en-GB"/>
        </w:rPr>
        <w:t xml:space="preserve"> presents the top 10 most frequently occurring </w:t>
      </w:r>
      <w:proofErr w:type="spellStart"/>
      <w:r w:rsidRPr="00FB3441">
        <w:rPr>
          <w:lang w:val="en-GB"/>
        </w:rPr>
        <w:t>MeSH</w:t>
      </w:r>
      <w:proofErr w:type="spellEnd"/>
      <w:r w:rsidRPr="00FB3441">
        <w:rPr>
          <w:lang w:val="en-GB"/>
        </w:rPr>
        <w:t xml:space="preserve"> terms for each biobank, capturing the dominant biomedical themes, population descriptors, and methodological constructs that define their respective research landscapes.</w:t>
      </w:r>
    </w:p>
    <w:p w14:paraId="0C936B3F" w14:textId="6AEF5CE2" w:rsidR="00FB3441" w:rsidRPr="00FB3441" w:rsidRDefault="00FB3441" w:rsidP="00FB3441">
      <w:pPr>
        <w:jc w:val="both"/>
        <w:rPr>
          <w:lang w:val="en-GB"/>
        </w:rPr>
      </w:pPr>
      <w:r w:rsidRPr="00FB3441">
        <w:rPr>
          <w:lang w:val="en-GB"/>
        </w:rPr>
        <w:lastRenderedPageBreak/>
        <w:t xml:space="preserve">Across all biobanks, the term </w:t>
      </w:r>
      <w:r w:rsidRPr="00FB3441">
        <w:rPr>
          <w:bCs/>
          <w:lang w:val="en-GB"/>
        </w:rPr>
        <w:t>“Humans”</w:t>
      </w:r>
      <w:r w:rsidRPr="00FB3441">
        <w:rPr>
          <w:lang w:val="en-GB"/>
        </w:rPr>
        <w:t xml:space="preserve"> was the most frequently assigned descriptor, appearing in 8879 articles from UK Biobank and in over </w:t>
      </w:r>
      <w:r w:rsidR="00BA2E0D">
        <w:rPr>
          <w:lang w:val="en-GB"/>
        </w:rPr>
        <w:t>3</w:t>
      </w:r>
      <w:r w:rsidRPr="00FB3441">
        <w:rPr>
          <w:lang w:val="en-GB"/>
        </w:rPr>
        <w:t xml:space="preserve">00 publications from each of the others. This universal label reflects the default indexing of studies involving human participants and serves as a baseline for comparative interpretation. Consistent across all initiatives, </w:t>
      </w:r>
      <w:r w:rsidRPr="00FB3441">
        <w:rPr>
          <w:bCs/>
          <w:lang w:val="en-GB"/>
        </w:rPr>
        <w:t>sex- and age-based demographic tags</w:t>
      </w:r>
      <w:r w:rsidRPr="00FB3441">
        <w:rPr>
          <w:lang w:val="en-GB"/>
        </w:rPr>
        <w:t xml:space="preserve"> such as “Female,” “Male,” “Middle Aged,” and “Aged” also appear prominently, underscoring a shared emphasis on stratified population analyses.</w:t>
      </w:r>
    </w:p>
    <w:p w14:paraId="0E85FDD2" w14:textId="590117DA" w:rsidR="00FB3441" w:rsidRPr="00FB3441" w:rsidRDefault="00FB3441" w:rsidP="00FB3441">
      <w:pPr>
        <w:jc w:val="both"/>
        <w:rPr>
          <w:lang w:val="en-GB"/>
        </w:rPr>
      </w:pPr>
      <w:r w:rsidRPr="00FB3441">
        <w:rPr>
          <w:lang w:val="en-GB"/>
        </w:rPr>
        <w:t>UK Biobank’s top terms (</w:t>
      </w:r>
      <w:r w:rsidRPr="00FB3441">
        <w:rPr>
          <w:b/>
          <w:bCs/>
          <w:lang w:val="en-GB"/>
        </w:rPr>
        <w:t>Figure 2</w:t>
      </w:r>
      <w:r w:rsidRPr="00FB3441">
        <w:rPr>
          <w:bCs/>
          <w:lang w:val="en-GB"/>
        </w:rPr>
        <w:t>,</w:t>
      </w:r>
      <w:r w:rsidRPr="00FB3441">
        <w:rPr>
          <w:b/>
          <w:bCs/>
          <w:lang w:val="en-GB"/>
        </w:rPr>
        <w:t xml:space="preserve"> </w:t>
      </w:r>
      <w:r w:rsidRPr="00FB3441">
        <w:rPr>
          <w:bCs/>
          <w:lang w:val="en-GB"/>
        </w:rPr>
        <w:t>top left</w:t>
      </w:r>
      <w:r w:rsidRPr="00FB3441">
        <w:rPr>
          <w:lang w:val="en-GB"/>
        </w:rPr>
        <w:t xml:space="preserve">) reflect both methodological and institutional specificity. In addition to “Humans” and sex-based terms, UK Biobank research is heavily indexed with </w:t>
      </w:r>
      <w:r w:rsidRPr="00FB3441">
        <w:rPr>
          <w:bCs/>
          <w:lang w:val="en-GB"/>
        </w:rPr>
        <w:t>“United Kingdom,” “Biological Specimen Banks,” “Risk Factors,” and “Genome-Wide Association Study”</w:t>
      </w:r>
      <w:r>
        <w:rPr>
          <w:lang w:val="en-GB"/>
        </w:rPr>
        <w:t xml:space="preserve">; </w:t>
      </w:r>
      <w:r w:rsidRPr="00FB3441">
        <w:rPr>
          <w:lang w:val="en-GB"/>
        </w:rPr>
        <w:t>the latter aligning with its foundational role in common variant discovery. The presence of “Biological Specimen Banks” as a top-10 term uniquely underscores UK Biobank’s role as a reference infrastructure as well as a data source.</w:t>
      </w:r>
    </w:p>
    <w:p w14:paraId="45672207" w14:textId="6B45BEF9" w:rsidR="00FB3441" w:rsidRPr="00FB3441" w:rsidRDefault="00FB3441" w:rsidP="00FB3441">
      <w:pPr>
        <w:jc w:val="both"/>
        <w:rPr>
          <w:lang w:val="en-GB"/>
        </w:rPr>
      </w:pPr>
      <w:proofErr w:type="spellStart"/>
      <w:r w:rsidRPr="00FB3441">
        <w:rPr>
          <w:lang w:val="en-GB"/>
        </w:rPr>
        <w:t>FinnGen</w:t>
      </w:r>
      <w:proofErr w:type="spellEnd"/>
      <w:r w:rsidRPr="00FB3441">
        <w:rPr>
          <w:lang w:val="en-GB"/>
        </w:rPr>
        <w:t xml:space="preserve"> (</w:t>
      </w:r>
      <w:r w:rsidRPr="00FB3441">
        <w:rPr>
          <w:b/>
          <w:bCs/>
          <w:lang w:val="en-GB"/>
        </w:rPr>
        <w:t>Figure 2</w:t>
      </w:r>
      <w:r w:rsidRPr="00FB3441">
        <w:rPr>
          <w:bCs/>
          <w:lang w:val="en-GB"/>
        </w:rPr>
        <w:t>,</w:t>
      </w:r>
      <w:r w:rsidRPr="00FB3441">
        <w:rPr>
          <w:b/>
          <w:bCs/>
          <w:lang w:val="en-GB"/>
        </w:rPr>
        <w:t xml:space="preserve"> </w:t>
      </w:r>
      <w:r w:rsidRPr="00FB3441">
        <w:rPr>
          <w:bCs/>
          <w:lang w:val="en-GB"/>
        </w:rPr>
        <w:t>top right</w:t>
      </w:r>
      <w:r w:rsidRPr="00FB3441">
        <w:rPr>
          <w:lang w:val="en-GB"/>
        </w:rPr>
        <w:t xml:space="preserve">) exhibits a distinct methodological tilt, with </w:t>
      </w:r>
      <w:r w:rsidRPr="00FB3441">
        <w:rPr>
          <w:bCs/>
          <w:lang w:val="en-GB"/>
        </w:rPr>
        <w:t>“Mendelian Randomization Analysis”</w:t>
      </w:r>
      <w:r w:rsidRPr="00FB3441">
        <w:rPr>
          <w:lang w:val="en-GB"/>
        </w:rPr>
        <w:t xml:space="preserve"> among its most frequent terms</w:t>
      </w:r>
      <w:r>
        <w:rPr>
          <w:lang w:val="en-GB"/>
        </w:rPr>
        <w:t xml:space="preserve"> (</w:t>
      </w:r>
      <w:r w:rsidRPr="00FB3441">
        <w:rPr>
          <w:lang w:val="en-GB"/>
        </w:rPr>
        <w:t>more than 1000 articles</w:t>
      </w:r>
      <w:r>
        <w:rPr>
          <w:lang w:val="en-GB"/>
        </w:rPr>
        <w:t xml:space="preserve">) </w:t>
      </w:r>
      <w:r w:rsidRPr="00FB3441">
        <w:rPr>
          <w:lang w:val="en-GB"/>
        </w:rPr>
        <w:t>highlighting its contribution to causal inference frameworks. Other frequent tags include “Genome-Wide Association Study,” “Polymorphism, Single Nucleotide,” and “Genetic Predisposition to Disease,” aligning with its registry-linked design for genotype-to-phenotype discovery. The inclusion of “Gastrointestinal Microbiome” is noteworthy, suggesting emerging interest in host-microbiome interactions.</w:t>
      </w:r>
    </w:p>
    <w:p w14:paraId="20913DFD" w14:textId="77777777" w:rsidR="00FB3441" w:rsidRPr="00FB3441" w:rsidRDefault="00FB3441" w:rsidP="00FB3441">
      <w:pPr>
        <w:jc w:val="both"/>
        <w:rPr>
          <w:lang w:val="en-GB"/>
        </w:rPr>
      </w:pPr>
      <w:r w:rsidRPr="00FB3441">
        <w:rPr>
          <w:lang w:val="en-GB"/>
        </w:rPr>
        <w:t>All of Us (</w:t>
      </w:r>
      <w:r w:rsidRPr="00FB3441">
        <w:rPr>
          <w:b/>
          <w:bCs/>
          <w:lang w:val="en-GB"/>
        </w:rPr>
        <w:t>Figure 2</w:t>
      </w:r>
      <w:r w:rsidRPr="00FB3441">
        <w:rPr>
          <w:bCs/>
          <w:lang w:val="en-GB"/>
        </w:rPr>
        <w:t>,</w:t>
      </w:r>
      <w:r w:rsidRPr="00FB3441">
        <w:rPr>
          <w:b/>
          <w:bCs/>
          <w:lang w:val="en-GB"/>
        </w:rPr>
        <w:t xml:space="preserve"> </w:t>
      </w:r>
      <w:r w:rsidRPr="00FB3441">
        <w:rPr>
          <w:bCs/>
          <w:lang w:val="en-GB"/>
        </w:rPr>
        <w:t>bottom left</w:t>
      </w:r>
      <w:r w:rsidRPr="00FB3441">
        <w:rPr>
          <w:lang w:val="en-GB"/>
        </w:rPr>
        <w:t xml:space="preserve">) presents a more </w:t>
      </w:r>
      <w:proofErr w:type="spellStart"/>
      <w:r w:rsidRPr="00FB3441">
        <w:rPr>
          <w:lang w:val="en-GB"/>
        </w:rPr>
        <w:t>socioclinical</w:t>
      </w:r>
      <w:proofErr w:type="spellEnd"/>
      <w:r w:rsidRPr="00FB3441">
        <w:rPr>
          <w:lang w:val="en-GB"/>
        </w:rPr>
        <w:t xml:space="preserve"> profile. In addition to standard demographic terms, high-frequency </w:t>
      </w:r>
      <w:proofErr w:type="spellStart"/>
      <w:r w:rsidRPr="00FB3441">
        <w:rPr>
          <w:lang w:val="en-GB"/>
        </w:rPr>
        <w:t>MeSH</w:t>
      </w:r>
      <w:proofErr w:type="spellEnd"/>
      <w:r w:rsidRPr="00FB3441">
        <w:rPr>
          <w:lang w:val="en-GB"/>
        </w:rPr>
        <w:t xml:space="preserve"> annotations include </w:t>
      </w:r>
      <w:r w:rsidRPr="00FB3441">
        <w:rPr>
          <w:bCs/>
          <w:lang w:val="en-GB"/>
        </w:rPr>
        <w:t>“United States,” “Population Health,” “Cross-Sectional Studies,” and “Young Adult.”</w:t>
      </w:r>
      <w:r w:rsidRPr="00FB3441">
        <w:rPr>
          <w:lang w:val="en-GB"/>
        </w:rPr>
        <w:t xml:space="preserve"> This pattern reflects the program’s emphasis on representation, diversity, and broad EHR-based phenotyping in younger and underserved populations. Notably, “Genome-Wide Association Study” is absent from the top 10, suggesting relatively less genomic emphasis in published outputs to date.</w:t>
      </w:r>
    </w:p>
    <w:p w14:paraId="7F03C569" w14:textId="77777777" w:rsidR="00FB3441" w:rsidRPr="00FB3441" w:rsidRDefault="00FB3441" w:rsidP="00FB3441">
      <w:pPr>
        <w:jc w:val="both"/>
        <w:rPr>
          <w:lang w:val="en-GB"/>
        </w:rPr>
      </w:pPr>
      <w:r w:rsidRPr="00FB3441">
        <w:rPr>
          <w:lang w:val="en-GB"/>
        </w:rPr>
        <w:t>The Estonian Biobank (</w:t>
      </w:r>
      <w:r w:rsidRPr="00FB3441">
        <w:rPr>
          <w:b/>
          <w:bCs/>
          <w:lang w:val="en-GB"/>
        </w:rPr>
        <w:t>Figure 2</w:t>
      </w:r>
      <w:r w:rsidRPr="00FB3441">
        <w:rPr>
          <w:bCs/>
          <w:lang w:val="en-GB"/>
        </w:rPr>
        <w:t>,</w:t>
      </w:r>
      <w:r w:rsidRPr="00FB3441">
        <w:rPr>
          <w:b/>
          <w:bCs/>
          <w:lang w:val="en-GB"/>
        </w:rPr>
        <w:t xml:space="preserve"> </w:t>
      </w:r>
      <w:r w:rsidRPr="00FB3441">
        <w:rPr>
          <w:bCs/>
          <w:lang w:val="en-GB"/>
        </w:rPr>
        <w:t xml:space="preserve">bottom </w:t>
      </w:r>
      <w:proofErr w:type="spellStart"/>
      <w:r w:rsidRPr="00FB3441">
        <w:rPr>
          <w:bCs/>
          <w:lang w:val="en-GB"/>
        </w:rPr>
        <w:t>center</w:t>
      </w:r>
      <w:proofErr w:type="spellEnd"/>
      <w:r w:rsidRPr="00FB3441">
        <w:rPr>
          <w:lang w:val="en-GB"/>
        </w:rPr>
        <w:t xml:space="preserve">) aligns more closely with </w:t>
      </w:r>
      <w:proofErr w:type="spellStart"/>
      <w:r w:rsidRPr="00FB3441">
        <w:rPr>
          <w:lang w:val="en-GB"/>
        </w:rPr>
        <w:t>FinnGen</w:t>
      </w:r>
      <w:proofErr w:type="spellEnd"/>
      <w:r w:rsidRPr="00FB3441">
        <w:rPr>
          <w:lang w:val="en-GB"/>
        </w:rPr>
        <w:t xml:space="preserve"> in its top </w:t>
      </w:r>
      <w:proofErr w:type="spellStart"/>
      <w:r w:rsidRPr="00FB3441">
        <w:rPr>
          <w:lang w:val="en-GB"/>
        </w:rPr>
        <w:t>MeSH</w:t>
      </w:r>
      <w:proofErr w:type="spellEnd"/>
      <w:r w:rsidRPr="00FB3441">
        <w:rPr>
          <w:lang w:val="en-GB"/>
        </w:rPr>
        <w:t xml:space="preserve"> terms, with frequent annotation of </w:t>
      </w:r>
      <w:r w:rsidRPr="00FB3441">
        <w:rPr>
          <w:bCs/>
          <w:lang w:val="en-GB"/>
        </w:rPr>
        <w:t>“Genome-Wide Association Study,” “Polymorphism, Single Nucleotide,” and “Phenotype.”</w:t>
      </w:r>
      <w:r w:rsidRPr="00FB3441">
        <w:rPr>
          <w:lang w:val="en-GB"/>
        </w:rPr>
        <w:t xml:space="preserve"> These terms reinforce Estonia’s long-standing investment in population-scale genetics and integrative omics, albeit at lower publication volume.</w:t>
      </w:r>
    </w:p>
    <w:p w14:paraId="4EB93751" w14:textId="77777777" w:rsidR="00FB3441" w:rsidRPr="00FB3441" w:rsidRDefault="00FB3441" w:rsidP="00FB3441">
      <w:pPr>
        <w:jc w:val="both"/>
        <w:rPr>
          <w:lang w:val="en-GB"/>
        </w:rPr>
      </w:pPr>
      <w:r w:rsidRPr="00FB3441">
        <w:rPr>
          <w:lang w:val="en-GB"/>
        </w:rPr>
        <w:t>The Million Veteran Program (</w:t>
      </w:r>
      <w:r w:rsidRPr="00FB3441">
        <w:rPr>
          <w:b/>
          <w:bCs/>
          <w:lang w:val="en-GB"/>
        </w:rPr>
        <w:t>Figure 2</w:t>
      </w:r>
      <w:r w:rsidRPr="00FB3441">
        <w:rPr>
          <w:bCs/>
          <w:lang w:val="en-GB"/>
        </w:rPr>
        <w:t xml:space="preserve">, top </w:t>
      </w:r>
      <w:proofErr w:type="spellStart"/>
      <w:r w:rsidRPr="00FB3441">
        <w:rPr>
          <w:bCs/>
          <w:lang w:val="en-GB"/>
        </w:rPr>
        <w:t>center</w:t>
      </w:r>
      <w:proofErr w:type="spellEnd"/>
      <w:r w:rsidRPr="00FB3441">
        <w:rPr>
          <w:lang w:val="en-GB"/>
        </w:rPr>
        <w:t xml:space="preserve">) exhibits a unique institutional signature. In addition to genetic terms, </w:t>
      </w:r>
      <w:r w:rsidRPr="00FB3441">
        <w:rPr>
          <w:bCs/>
          <w:lang w:val="en-GB"/>
        </w:rPr>
        <w:t>“Veterans”</w:t>
      </w:r>
      <w:r w:rsidRPr="00FB3441">
        <w:rPr>
          <w:lang w:val="en-GB"/>
        </w:rPr>
        <w:t xml:space="preserve"> appears among the top descriptors, reflecting the biobank’s mission and participant base. The co-occurrence of “Genome-Wide Association Study,” “Risk Factors,” and “Genetic Predisposition to Disease” alongside “Veterans” suggests a convergence of genomics and military-linked population health.</w:t>
      </w:r>
    </w:p>
    <w:p w14:paraId="328C071A" w14:textId="2E3A4734" w:rsidR="00FB3441" w:rsidRDefault="00FB3441" w:rsidP="00FB3441">
      <w:pPr>
        <w:jc w:val="both"/>
        <w:rPr>
          <w:lang w:val="en-GB"/>
        </w:rPr>
      </w:pPr>
      <w:r w:rsidRPr="00FB3441">
        <w:rPr>
          <w:lang w:val="en-GB"/>
        </w:rPr>
        <w:lastRenderedPageBreak/>
        <w:t xml:space="preserve">For comparison, </w:t>
      </w:r>
      <w:r w:rsidRPr="00FB3441">
        <w:rPr>
          <w:b/>
          <w:bCs/>
          <w:lang w:val="en-GB"/>
        </w:rPr>
        <w:t xml:space="preserve">Figure 2 </w:t>
      </w:r>
      <w:r w:rsidRPr="00FB3441">
        <w:rPr>
          <w:bCs/>
          <w:lang w:val="en-GB"/>
        </w:rPr>
        <w:t>(bottom right)</w:t>
      </w:r>
      <w:r w:rsidRPr="00FB3441">
        <w:rPr>
          <w:lang w:val="en-GB"/>
        </w:rPr>
        <w:t xml:space="preserve"> presents the top </w:t>
      </w:r>
      <w:proofErr w:type="spellStart"/>
      <w:r w:rsidRPr="00FB3441">
        <w:rPr>
          <w:lang w:val="en-GB"/>
        </w:rPr>
        <w:t>MeSH</w:t>
      </w:r>
      <w:proofErr w:type="spellEnd"/>
      <w:r w:rsidRPr="00FB3441">
        <w:rPr>
          <w:lang w:val="en-GB"/>
        </w:rPr>
        <w:t xml:space="preserve"> terms aggregated across all non-UK biobanks</w:t>
      </w:r>
      <w:r w:rsidR="00A21393">
        <w:rPr>
          <w:lang w:val="en-GB"/>
        </w:rPr>
        <w:t xml:space="preserve"> (otherwise UK Biobank terms would dominate</w:t>
      </w:r>
      <w:r w:rsidR="00D84AC5">
        <w:rPr>
          <w:lang w:val="en-GB"/>
        </w:rPr>
        <w:t xml:space="preserve"> due to its much greater volume</w:t>
      </w:r>
      <w:r w:rsidR="00A21393">
        <w:rPr>
          <w:lang w:val="en-GB"/>
        </w:rPr>
        <w:t>)</w:t>
      </w:r>
      <w:r w:rsidRPr="00FB3441">
        <w:rPr>
          <w:lang w:val="en-GB"/>
        </w:rPr>
        <w:t>. While</w:t>
      </w:r>
      <w:r w:rsidR="00D84AC5">
        <w:rPr>
          <w:lang w:val="en-GB"/>
        </w:rPr>
        <w:t xml:space="preserve"> </w:t>
      </w:r>
      <w:proofErr w:type="spellStart"/>
      <w:r w:rsidR="00D84AC5">
        <w:rPr>
          <w:lang w:val="en-GB"/>
        </w:rPr>
        <w:t>MeSH</w:t>
      </w:r>
      <w:proofErr w:type="spellEnd"/>
      <w:r w:rsidR="00D84AC5">
        <w:rPr>
          <w:lang w:val="en-GB"/>
        </w:rPr>
        <w:t xml:space="preserve"> terms in </w:t>
      </w:r>
      <w:r w:rsidR="00D84AC5" w:rsidRPr="00FB3441">
        <w:rPr>
          <w:lang w:val="en-GB"/>
        </w:rPr>
        <w:t>non-UK biobanks</w:t>
      </w:r>
      <w:r w:rsidRPr="00FB3441">
        <w:rPr>
          <w:lang w:val="en-GB"/>
        </w:rPr>
        <w:t xml:space="preserve"> echo the prevalence of human, sex, and genetic descriptors, the overall frequency is markedly lower, and terms related to specimen infrastructure or environmental exposure are notably absent. This contrast illustrates how </w:t>
      </w:r>
      <w:r w:rsidR="000F7019">
        <w:rPr>
          <w:lang w:val="en-GB"/>
        </w:rPr>
        <w:t xml:space="preserve">the </w:t>
      </w:r>
      <w:r w:rsidRPr="00FB3441">
        <w:rPr>
          <w:lang w:val="en-GB"/>
        </w:rPr>
        <w:t>UK Biobank has not only scaled publication output but has also broadened its thematic reach, incorporating environmental epidemiology and infrastructure-focused research.</w:t>
      </w:r>
    </w:p>
    <w:p w14:paraId="15EC2C49" w14:textId="65113065" w:rsidR="00FB3441" w:rsidRDefault="001A272F" w:rsidP="00FB3441">
      <w:pPr>
        <w:jc w:val="both"/>
        <w:rPr>
          <w:lang w:val="en-GB"/>
        </w:rPr>
      </w:pPr>
      <w:r>
        <w:rPr>
          <w:noProof/>
          <w:lang w:val="en-GB"/>
        </w:rPr>
        <w:drawing>
          <wp:inline distT="0" distB="0" distL="0" distR="0" wp14:anchorId="5F7A74FF" wp14:editId="56F6723E">
            <wp:extent cx="5759450" cy="285940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2-biobank_mesh_terms_publishe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2859405"/>
                    </a:xfrm>
                    <a:prstGeom prst="rect">
                      <a:avLst/>
                    </a:prstGeom>
                  </pic:spPr>
                </pic:pic>
              </a:graphicData>
            </a:graphic>
          </wp:inline>
        </w:drawing>
      </w:r>
    </w:p>
    <w:p w14:paraId="11BB45AD" w14:textId="237C6F50" w:rsidR="00FB3441" w:rsidRPr="00FB3441" w:rsidRDefault="00FB3441" w:rsidP="00FB3441">
      <w:pPr>
        <w:jc w:val="both"/>
        <w:rPr>
          <w:sz w:val="20"/>
          <w:szCs w:val="20"/>
          <w:lang w:val="en-GB"/>
        </w:rPr>
      </w:pPr>
      <w:r w:rsidRPr="00537D4E">
        <w:rPr>
          <w:b/>
          <w:bCs/>
          <w:sz w:val="20"/>
          <w:szCs w:val="20"/>
        </w:rPr>
        <w:t xml:space="preserve">Figure </w:t>
      </w:r>
      <w:r>
        <w:rPr>
          <w:b/>
          <w:bCs/>
          <w:sz w:val="20"/>
          <w:szCs w:val="20"/>
        </w:rPr>
        <w:t>2</w:t>
      </w:r>
      <w:r w:rsidRPr="00D84AC5">
        <w:rPr>
          <w:b/>
          <w:sz w:val="20"/>
          <w:szCs w:val="20"/>
        </w:rPr>
        <w:t xml:space="preserve">. </w:t>
      </w:r>
      <w:r w:rsidRPr="00D84AC5">
        <w:rPr>
          <w:b/>
          <w:sz w:val="20"/>
          <w:szCs w:val="20"/>
          <w:lang w:val="en-GB"/>
        </w:rPr>
        <w:t xml:space="preserve">Most Frequently Occurring </w:t>
      </w:r>
      <w:proofErr w:type="spellStart"/>
      <w:r w:rsidRPr="00D84AC5">
        <w:rPr>
          <w:b/>
          <w:sz w:val="20"/>
          <w:szCs w:val="20"/>
          <w:lang w:val="en-GB"/>
        </w:rPr>
        <w:t>MeSH</w:t>
      </w:r>
      <w:proofErr w:type="spellEnd"/>
      <w:r w:rsidRPr="00D84AC5">
        <w:rPr>
          <w:b/>
          <w:sz w:val="20"/>
          <w:szCs w:val="20"/>
          <w:lang w:val="en-GB"/>
        </w:rPr>
        <w:t xml:space="preserve"> Terms Across Global EHR-Linked Biobanks (2000–2024)</w:t>
      </w:r>
      <w:r w:rsidRPr="00D84AC5">
        <w:rPr>
          <w:b/>
          <w:sz w:val="20"/>
          <w:szCs w:val="20"/>
        </w:rPr>
        <w:t>.</w:t>
      </w:r>
      <w:r w:rsidRPr="00522C53">
        <w:rPr>
          <w:sz w:val="20"/>
          <w:szCs w:val="20"/>
        </w:rPr>
        <w:t xml:space="preserve"> </w:t>
      </w:r>
      <w:r w:rsidRPr="00FB3441">
        <w:rPr>
          <w:sz w:val="20"/>
          <w:szCs w:val="20"/>
          <w:lang w:val="en-GB"/>
        </w:rPr>
        <w:t>Bar plots showing the top 10 Medical Subject Headings (</w:t>
      </w:r>
      <w:proofErr w:type="spellStart"/>
      <w:r w:rsidRPr="00FB3441">
        <w:rPr>
          <w:sz w:val="20"/>
          <w:szCs w:val="20"/>
          <w:lang w:val="en-GB"/>
        </w:rPr>
        <w:t>MeSH</w:t>
      </w:r>
      <w:proofErr w:type="spellEnd"/>
      <w:r w:rsidRPr="00FB3441">
        <w:rPr>
          <w:sz w:val="20"/>
          <w:szCs w:val="20"/>
          <w:lang w:val="en-GB"/>
        </w:rPr>
        <w:t>) terms by frequency for each of five biobanks</w:t>
      </w:r>
      <w:r>
        <w:rPr>
          <w:sz w:val="20"/>
          <w:szCs w:val="20"/>
          <w:lang w:val="en-GB"/>
        </w:rPr>
        <w:t xml:space="preserve"> (</w:t>
      </w:r>
      <w:r w:rsidRPr="00FB3441">
        <w:rPr>
          <w:sz w:val="20"/>
          <w:szCs w:val="20"/>
          <w:lang w:val="en-GB"/>
        </w:rPr>
        <w:t xml:space="preserve">UK Biobank, Million Veteran Program, </w:t>
      </w:r>
      <w:proofErr w:type="spellStart"/>
      <w:r w:rsidRPr="00FB3441">
        <w:rPr>
          <w:sz w:val="20"/>
          <w:szCs w:val="20"/>
          <w:lang w:val="en-GB"/>
        </w:rPr>
        <w:t>FinnGen</w:t>
      </w:r>
      <w:proofErr w:type="spellEnd"/>
      <w:r w:rsidRPr="00FB3441">
        <w:rPr>
          <w:sz w:val="20"/>
          <w:szCs w:val="20"/>
          <w:lang w:val="en-GB"/>
        </w:rPr>
        <w:t>, All of Us, and Estonian Biobank</w:t>
      </w:r>
      <w:r>
        <w:rPr>
          <w:sz w:val="20"/>
          <w:szCs w:val="20"/>
          <w:lang w:val="en-GB"/>
        </w:rPr>
        <w:t xml:space="preserve">) </w:t>
      </w:r>
      <w:r w:rsidRPr="00FB3441">
        <w:rPr>
          <w:sz w:val="20"/>
          <w:szCs w:val="20"/>
          <w:lang w:val="en-GB"/>
        </w:rPr>
        <w:t>as well as for all non-UK biobanks combined. Terms were extracted from peer-reviewed, PubMed-indexed articles and reflect high-level descriptors of study focus, population characteristics, and methodological orientation.</w:t>
      </w:r>
    </w:p>
    <w:p w14:paraId="0B191FC6" w14:textId="77777777" w:rsidR="00742957" w:rsidRPr="00742957" w:rsidRDefault="00742957" w:rsidP="005370DD">
      <w:pPr>
        <w:pStyle w:val="Heading2"/>
      </w:pPr>
      <w:r w:rsidRPr="00742957">
        <w:t>Semantic Clustering Reveals Biobank-Specific Research Signatures</w:t>
      </w:r>
    </w:p>
    <w:p w14:paraId="4BDE41CB" w14:textId="667FD79A" w:rsidR="00FB3441" w:rsidRPr="00742957" w:rsidRDefault="00B72E40" w:rsidP="00742957">
      <w:pPr>
        <w:jc w:val="both"/>
        <w:rPr>
          <w:lang w:val="en-GB"/>
        </w:rPr>
      </w:pPr>
      <w:r w:rsidRPr="00B72E40">
        <w:rPr>
          <w:lang w:val="en-GB"/>
        </w:rPr>
        <w:t xml:space="preserve">To investigate the thematic composition of publications linked to the five major biobank initiatives </w:t>
      </w:r>
      <w:proofErr w:type="spellStart"/>
      <w:r w:rsidRPr="00B72E40">
        <w:rPr>
          <w:lang w:val="en-GB"/>
        </w:rPr>
        <w:t>analyzed</w:t>
      </w:r>
      <w:proofErr w:type="spellEnd"/>
      <w:r w:rsidRPr="00B72E40">
        <w:rPr>
          <w:lang w:val="en-GB"/>
        </w:rPr>
        <w:t xml:space="preserve"> here, we applied unsupervised clustering to </w:t>
      </w:r>
      <w:proofErr w:type="spellStart"/>
      <w:r w:rsidRPr="00B72E40">
        <w:rPr>
          <w:lang w:val="en-GB"/>
        </w:rPr>
        <w:t>MeSH</w:t>
      </w:r>
      <w:proofErr w:type="spellEnd"/>
      <w:r w:rsidRPr="00B72E40">
        <w:rPr>
          <w:lang w:val="en-GB"/>
        </w:rPr>
        <w:t xml:space="preserve"> term profiles extracted from 11,726 publications with available </w:t>
      </w:r>
      <w:proofErr w:type="spellStart"/>
      <w:r w:rsidRPr="00B72E40">
        <w:rPr>
          <w:lang w:val="en-GB"/>
        </w:rPr>
        <w:t>MeSH</w:t>
      </w:r>
      <w:proofErr w:type="spellEnd"/>
      <w:r w:rsidRPr="00B72E40">
        <w:rPr>
          <w:lang w:val="en-GB"/>
        </w:rPr>
        <w:t xml:space="preserve"> annotations from the 14,142 PubMed-indexed articles. Each biobank was </w:t>
      </w:r>
      <w:proofErr w:type="spellStart"/>
      <w:r w:rsidRPr="00B72E40">
        <w:rPr>
          <w:lang w:val="en-GB"/>
        </w:rPr>
        <w:t>analyzed</w:t>
      </w:r>
      <w:proofErr w:type="spellEnd"/>
      <w:r w:rsidRPr="00B72E40">
        <w:rPr>
          <w:lang w:val="en-GB"/>
        </w:rPr>
        <w:t xml:space="preserve"> independently to preserve its distinct research identity, and clustering was performed using a TF-IDF representation of </w:t>
      </w:r>
      <w:proofErr w:type="spellStart"/>
      <w:r w:rsidRPr="00B72E40">
        <w:rPr>
          <w:lang w:val="en-GB"/>
        </w:rPr>
        <w:t>MeSH</w:t>
      </w:r>
      <w:proofErr w:type="spellEnd"/>
      <w:r w:rsidRPr="00B72E40">
        <w:rPr>
          <w:lang w:val="en-GB"/>
        </w:rPr>
        <w:t xml:space="preserve"> terms, followed by bootstrap-based selection of the optimal number of clusters and k-means clustering. To aid interpretation, we projected the high-dimensional term vectors onto a two-dimensional space using principal component analysis (PCA). The resulting visualization highlights the spatial arrangement and density of semantic clusters for each biobank (</w:t>
      </w:r>
      <w:r w:rsidRPr="00B72E40">
        <w:rPr>
          <w:b/>
          <w:lang w:val="en-GB"/>
        </w:rPr>
        <w:t>Figure 3</w:t>
      </w:r>
      <w:r w:rsidRPr="00B72E40">
        <w:rPr>
          <w:lang w:val="en-GB"/>
        </w:rPr>
        <w:t>), with clusters varying in compactness and dispersion according to the biobank's thematic breadth</w:t>
      </w:r>
      <w:r w:rsidR="00742957" w:rsidRPr="00742957">
        <w:rPr>
          <w:lang w:val="en-GB"/>
        </w:rPr>
        <w:t>.</w:t>
      </w:r>
    </w:p>
    <w:p w14:paraId="29C3C419" w14:textId="77777777" w:rsidR="00742957" w:rsidRPr="00742957" w:rsidRDefault="00742957" w:rsidP="00742957">
      <w:pPr>
        <w:jc w:val="both"/>
        <w:rPr>
          <w:b/>
          <w:bCs/>
          <w:lang w:val="en-GB"/>
        </w:rPr>
      </w:pPr>
      <w:r w:rsidRPr="00742957">
        <w:rPr>
          <w:b/>
          <w:bCs/>
          <w:lang w:val="en-GB"/>
        </w:rPr>
        <w:t>UK Biobank Shows the Most Heterogeneous and Structurally Complex Landscape</w:t>
      </w:r>
    </w:p>
    <w:p w14:paraId="5EB46CB5" w14:textId="218660CF" w:rsidR="00FC2C7A" w:rsidRPr="00742957" w:rsidRDefault="00B72E40" w:rsidP="00742957">
      <w:pPr>
        <w:jc w:val="both"/>
        <w:rPr>
          <w:lang w:val="en-GB"/>
        </w:rPr>
      </w:pPr>
      <w:r w:rsidRPr="00B72E40">
        <w:rPr>
          <w:lang w:val="en-GB"/>
        </w:rPr>
        <w:lastRenderedPageBreak/>
        <w:t xml:space="preserve">Among all biobanks </w:t>
      </w:r>
      <w:proofErr w:type="spellStart"/>
      <w:r w:rsidRPr="00B72E40">
        <w:rPr>
          <w:lang w:val="en-GB"/>
        </w:rPr>
        <w:t>analyzed</w:t>
      </w:r>
      <w:proofErr w:type="spellEnd"/>
      <w:r w:rsidRPr="00B72E40">
        <w:rPr>
          <w:lang w:val="en-GB"/>
        </w:rPr>
        <w:t xml:space="preserve">, the UK Biobank exhibited the most extensive semantic spread, consistent with its large publication volume (9,056 </w:t>
      </w:r>
      <w:proofErr w:type="spellStart"/>
      <w:r w:rsidRPr="00B72E40">
        <w:rPr>
          <w:lang w:val="en-GB"/>
        </w:rPr>
        <w:t>clusterable</w:t>
      </w:r>
      <w:proofErr w:type="spellEnd"/>
      <w:r w:rsidRPr="00B72E40">
        <w:rPr>
          <w:lang w:val="en-GB"/>
        </w:rPr>
        <w:t xml:space="preserve"> articles). The clustering revealed ten distinct thematic groups with marked size variation. The largest cluster (C1, 1,858 publications) represents general biobank research infrastructure, characterized by terms such as "biological specimen banks" and "United Kingdom." A substantial Mendelian randomization cluster (C5, 1,174 publications) reflects the biobank's methodological focus on causal inference. The neuroimaging cluster (C7, 581 publications) is uniquely defined by "brain," "magnetic resonance imaging," and "white matter," underscoring UK Biobank's imaging </w:t>
      </w:r>
      <w:proofErr w:type="spellStart"/>
      <w:r w:rsidRPr="00B72E40">
        <w:rPr>
          <w:lang w:val="en-GB"/>
        </w:rPr>
        <w:t>subcohort</w:t>
      </w:r>
      <w:proofErr w:type="spellEnd"/>
      <w:r w:rsidRPr="00B72E40">
        <w:rPr>
          <w:lang w:val="en-GB"/>
        </w:rPr>
        <w:t>. A distinct environmental health cluster (C2, 207 publications) emerged with high-weight terms including "air pollution," "particulate matter," and "environmental exposure," revealing a specialized research focus on environmental determinants of health. Two large demographic clusters (C8 and C9, 1,499 and 1,253 publications respectively) capture age and sex-stratified analyses typical of population-scale studies</w:t>
      </w:r>
      <w:r w:rsidR="00742957" w:rsidRPr="00742957">
        <w:rPr>
          <w:lang w:val="en-GB"/>
        </w:rPr>
        <w:t>.</w:t>
      </w:r>
    </w:p>
    <w:p w14:paraId="72E8C5A8" w14:textId="4693DB8A" w:rsidR="00742957" w:rsidRPr="00742957" w:rsidRDefault="0036760D" w:rsidP="00742957">
      <w:pPr>
        <w:jc w:val="both"/>
        <w:rPr>
          <w:b/>
          <w:bCs/>
          <w:lang w:val="en-GB"/>
        </w:rPr>
      </w:pPr>
      <w:proofErr w:type="spellStart"/>
      <w:r w:rsidRPr="0036760D">
        <w:rPr>
          <w:b/>
          <w:bCs/>
          <w:lang w:val="en-GB"/>
        </w:rPr>
        <w:t>FinnGen</w:t>
      </w:r>
      <w:proofErr w:type="spellEnd"/>
      <w:r w:rsidRPr="0036760D">
        <w:rPr>
          <w:b/>
          <w:bCs/>
          <w:lang w:val="en-GB"/>
        </w:rPr>
        <w:t xml:space="preserve"> Prioritizes Disease-Specific Research with Genomic Methods</w:t>
      </w:r>
    </w:p>
    <w:p w14:paraId="66F3B65D" w14:textId="2B7667F9" w:rsidR="00742957" w:rsidRPr="00742957" w:rsidRDefault="00DF2045" w:rsidP="00742957">
      <w:pPr>
        <w:jc w:val="both"/>
        <w:rPr>
          <w:lang w:val="en-GB"/>
        </w:rPr>
      </w:pPr>
      <w:proofErr w:type="spellStart"/>
      <w:r w:rsidRPr="00DF2045">
        <w:rPr>
          <w:lang w:val="en-GB"/>
        </w:rPr>
        <w:t>FinnGen's</w:t>
      </w:r>
      <w:proofErr w:type="spellEnd"/>
      <w:r w:rsidRPr="00DF2045">
        <w:rPr>
          <w:lang w:val="en-GB"/>
        </w:rPr>
        <w:t xml:space="preserve"> publication profile (1,308 </w:t>
      </w:r>
      <w:proofErr w:type="spellStart"/>
      <w:r w:rsidRPr="00DF2045">
        <w:rPr>
          <w:lang w:val="en-GB"/>
        </w:rPr>
        <w:t>clusterable</w:t>
      </w:r>
      <w:proofErr w:type="spellEnd"/>
      <w:r w:rsidRPr="00DF2045">
        <w:rPr>
          <w:lang w:val="en-GB"/>
        </w:rPr>
        <w:t xml:space="preserve"> articles) revealed a distinctive clustering structure dominated by one massive cluster (C8, 456 publications) representing general genome-wide association studies and Mendelian randomization analyses. Specialized disease clusters included inflammatory bowel diseases (C5, 34 publications) with terms "Crohn disease," "colitis ulcerative," and "inflammatory bowel diseases," and a pregnancy cluster (C3, 73 publications) </w:t>
      </w:r>
      <w:proofErr w:type="spellStart"/>
      <w:r w:rsidRPr="00DF2045">
        <w:rPr>
          <w:lang w:val="en-GB"/>
        </w:rPr>
        <w:t>centered</w:t>
      </w:r>
      <w:proofErr w:type="spellEnd"/>
      <w:r w:rsidRPr="00DF2045">
        <w:rPr>
          <w:lang w:val="en-GB"/>
        </w:rPr>
        <w:t xml:space="preserve"> on "pregnancy," "gestational diabetes," and "preeclampsia." A notable gastrointestinal microbiome cluster (C6, 100 publications) and an autoimmune diseases cluster (C4, 47 publications) demonstrate </w:t>
      </w:r>
      <w:proofErr w:type="spellStart"/>
      <w:r w:rsidRPr="00DF2045">
        <w:rPr>
          <w:lang w:val="en-GB"/>
        </w:rPr>
        <w:t>FinnGen's</w:t>
      </w:r>
      <w:proofErr w:type="spellEnd"/>
      <w:r w:rsidRPr="00DF2045">
        <w:rPr>
          <w:lang w:val="en-GB"/>
        </w:rPr>
        <w:t xml:space="preserve"> focus on specific disease mechanisms. The causality and depression cluster (C1, 61 publications) highlights methodological applications in psychiatric phenotypes</w:t>
      </w:r>
      <w:r w:rsidR="00742957" w:rsidRPr="00742957">
        <w:rPr>
          <w:lang w:val="en-GB"/>
        </w:rPr>
        <w:t>.</w:t>
      </w:r>
    </w:p>
    <w:p w14:paraId="2EA80333" w14:textId="77777777" w:rsidR="00742957" w:rsidRPr="00742957" w:rsidRDefault="00742957" w:rsidP="00742957">
      <w:pPr>
        <w:jc w:val="both"/>
        <w:rPr>
          <w:b/>
          <w:bCs/>
          <w:lang w:val="en-GB"/>
        </w:rPr>
      </w:pPr>
      <w:r w:rsidRPr="00742957">
        <w:rPr>
          <w:b/>
          <w:bCs/>
          <w:lang w:val="en-GB"/>
        </w:rPr>
        <w:t>Estonian Biobank Emphasizes Regulatory Genomics and Cardiometabolic Traits</w:t>
      </w:r>
    </w:p>
    <w:p w14:paraId="7E8F8734" w14:textId="3D669A30" w:rsidR="00742957" w:rsidRPr="00742957" w:rsidRDefault="001A1ACD" w:rsidP="00742957">
      <w:pPr>
        <w:jc w:val="both"/>
        <w:rPr>
          <w:lang w:val="en-GB"/>
        </w:rPr>
      </w:pPr>
      <w:r w:rsidRPr="001A1ACD">
        <w:rPr>
          <w:lang w:val="en-GB"/>
        </w:rPr>
        <w:t xml:space="preserve">Publications from the Estonian Biobank (587 </w:t>
      </w:r>
      <w:proofErr w:type="spellStart"/>
      <w:r w:rsidRPr="001A1ACD">
        <w:rPr>
          <w:lang w:val="en-GB"/>
        </w:rPr>
        <w:t>clusterable</w:t>
      </w:r>
      <w:proofErr w:type="spellEnd"/>
      <w:r w:rsidRPr="001A1ACD">
        <w:rPr>
          <w:lang w:val="en-GB"/>
        </w:rPr>
        <w:t xml:space="preserve"> articles) formed nine relatively balanced clusters, indicative of a well-defined research scope. The largest clusters included genetic variation and cardiometabolic traits (C5, 105 publications) with terms "genetic variation," "body mass index," and "obesity," and GWAS methodology (C1, 108 publications). A distinctive epigenetics cluster (C7, 33 publications) was anchored by "DNA methylation," "CpG islands," and "epigenesis genetic," reflecting the biobank's contributions to regulatory genomics. A metabolomics cluster (C3, 54 publications) and a European biobank infrastructure cluster (C6, 50 publications) demonstrate collaborative research themes. Notably, an animal model cluster (C8, 26 publications) with "animals," "mice," and "mice knockout" suggests translational research applications</w:t>
      </w:r>
      <w:r w:rsidR="00742957" w:rsidRPr="00742957">
        <w:rPr>
          <w:lang w:val="en-GB"/>
        </w:rPr>
        <w:t>.</w:t>
      </w:r>
    </w:p>
    <w:p w14:paraId="6342C143" w14:textId="661E6154" w:rsidR="00742957" w:rsidRPr="00742957" w:rsidRDefault="00742957" w:rsidP="00742957">
      <w:pPr>
        <w:jc w:val="both"/>
        <w:rPr>
          <w:b/>
          <w:bCs/>
          <w:lang w:val="en-GB"/>
        </w:rPr>
      </w:pPr>
      <w:r w:rsidRPr="00742957">
        <w:rPr>
          <w:b/>
          <w:bCs/>
          <w:lang w:val="en-GB"/>
        </w:rPr>
        <w:t xml:space="preserve">All of Us Concentrates on Diversity, </w:t>
      </w:r>
      <w:r w:rsidR="00D2058A">
        <w:rPr>
          <w:b/>
          <w:bCs/>
          <w:lang w:val="en-GB"/>
        </w:rPr>
        <w:t>Population Health</w:t>
      </w:r>
      <w:r w:rsidRPr="00742957">
        <w:rPr>
          <w:b/>
          <w:bCs/>
          <w:lang w:val="en-GB"/>
        </w:rPr>
        <w:t>, and Pandemic Response</w:t>
      </w:r>
    </w:p>
    <w:p w14:paraId="12FD0C6C" w14:textId="1752FBFD" w:rsidR="00742957" w:rsidRPr="00742957" w:rsidRDefault="00BA3A42" w:rsidP="00742957">
      <w:pPr>
        <w:jc w:val="both"/>
        <w:rPr>
          <w:lang w:val="en-GB"/>
        </w:rPr>
      </w:pPr>
      <w:r w:rsidRPr="00BA3A42">
        <w:rPr>
          <w:lang w:val="en-GB"/>
        </w:rPr>
        <w:lastRenderedPageBreak/>
        <w:t xml:space="preserve">The All of Us research corpus (450 </w:t>
      </w:r>
      <w:proofErr w:type="spellStart"/>
      <w:r w:rsidRPr="00BA3A42">
        <w:rPr>
          <w:lang w:val="en-GB"/>
        </w:rPr>
        <w:t>clusterable</w:t>
      </w:r>
      <w:proofErr w:type="spellEnd"/>
      <w:r w:rsidRPr="00BA3A42">
        <w:rPr>
          <w:lang w:val="en-GB"/>
        </w:rPr>
        <w:t xml:space="preserve"> articles) displayed ten compact clusters with diverse thematic foci. A precision medicine cluster (C5, 38 publications) was characterized by high-weight terms "precision medicine" and "biomedical research." A COVID-19 and mental health cluster (C6, 32 publications) included "depression," "COVID-19," "anxiety," and "SARS-CoV-2," reflecting rapid pandemic research mobilization. Multiple population health clusters (C3 and C4, 28 and 58 publications respectively) emphasized "case-control studies," "cross-sectional studies," and "population health," reinforcing the program's epidemiological focus. A genomics cluster (C7, 35 publications) captured foundational genetic studies, while demographic clusters captured diverse population analyses</w:t>
      </w:r>
      <w:r w:rsidR="00742957" w:rsidRPr="00742957">
        <w:rPr>
          <w:lang w:val="en-GB"/>
        </w:rPr>
        <w:t>.</w:t>
      </w:r>
    </w:p>
    <w:p w14:paraId="10D23FFD" w14:textId="77777777" w:rsidR="00742957" w:rsidRPr="00742957" w:rsidRDefault="00742957" w:rsidP="00742957">
      <w:pPr>
        <w:jc w:val="both"/>
        <w:rPr>
          <w:b/>
          <w:bCs/>
          <w:lang w:val="en-GB"/>
        </w:rPr>
      </w:pPr>
      <w:r w:rsidRPr="00742957">
        <w:rPr>
          <w:b/>
          <w:bCs/>
          <w:lang w:val="en-GB"/>
        </w:rPr>
        <w:t>Million Veteran Program Features Veteran-Specific Pathologies and Risk Profiles</w:t>
      </w:r>
    </w:p>
    <w:p w14:paraId="6CED7B97" w14:textId="2820328B" w:rsidR="00742957" w:rsidRPr="00742957" w:rsidRDefault="00F96D72" w:rsidP="00742957">
      <w:pPr>
        <w:jc w:val="both"/>
        <w:rPr>
          <w:lang w:val="en-GB"/>
        </w:rPr>
      </w:pPr>
      <w:r w:rsidRPr="00F96D72">
        <w:rPr>
          <w:lang w:val="en-GB"/>
        </w:rPr>
        <w:t xml:space="preserve">Despite comprising the fewest </w:t>
      </w:r>
      <w:proofErr w:type="spellStart"/>
      <w:r w:rsidRPr="00F96D72">
        <w:rPr>
          <w:lang w:val="en-GB"/>
        </w:rPr>
        <w:t>clusterable</w:t>
      </w:r>
      <w:proofErr w:type="spellEnd"/>
      <w:r w:rsidRPr="00F96D72">
        <w:rPr>
          <w:lang w:val="en-GB"/>
        </w:rPr>
        <w:t xml:space="preserve"> publications (325 articles), the Million Veteran Program displayed distinctive veteran-focused themes across ten clusters. A lipid genetics cluster (C3, 28 publications) featured "Mendelian randomization analysis," "triglycerides," and "HDL cholesterol." The veteran-specific health cluster (C7, 21 publications) included "humans veterans," "brain injuries traumatic," and "aortic aneurysm abdominal." Mental health research was captured in both a PTSD cluster (C6, 29 publications) with "stress disorders posttraumatic" and a suicide research cluster (C9, 12 publications) featuring "depressive disorder major" and "suicide attempted." A COVID-19 response cluster (C4, 37 publications) and a Veterans Affairs institutional cluster (C0, 31 publications) reflected organizational research priorities</w:t>
      </w:r>
      <w:r w:rsidR="00742957" w:rsidRPr="00742957">
        <w:rPr>
          <w:lang w:val="en-GB"/>
        </w:rPr>
        <w:t>.</w:t>
      </w:r>
    </w:p>
    <w:p w14:paraId="6DAB2FE9" w14:textId="77777777" w:rsidR="00742957" w:rsidRPr="00742957" w:rsidRDefault="00742957" w:rsidP="00742957">
      <w:pPr>
        <w:jc w:val="both"/>
        <w:rPr>
          <w:b/>
          <w:bCs/>
          <w:lang w:val="en-GB"/>
        </w:rPr>
      </w:pPr>
      <w:r w:rsidRPr="00742957">
        <w:rPr>
          <w:b/>
          <w:bCs/>
          <w:lang w:val="en-GB"/>
        </w:rPr>
        <w:t>Converging and Diverging Themes in Global Biobank Research</w:t>
      </w:r>
    </w:p>
    <w:p w14:paraId="5B59F8C0" w14:textId="481400FF" w:rsidR="00742957" w:rsidRPr="00742957" w:rsidRDefault="00F96D72" w:rsidP="00742957">
      <w:pPr>
        <w:jc w:val="both"/>
        <w:rPr>
          <w:lang w:val="en-GB"/>
        </w:rPr>
      </w:pPr>
      <w:r w:rsidRPr="00F96D72">
        <w:rPr>
          <w:lang w:val="en-GB"/>
        </w:rPr>
        <w:t xml:space="preserve">Cross-biobank comparison reveals both shared methodological cores and distinct research specializations visible in Figure 3's PCA projections. All biobanks featured prominent GWAS and genetic predisposition clusters, but their positioning and associated terms varied significantly. UK Biobank's broad dispersion across PC1 and PC2 space reflects its methodological and phenotypic diversity, while </w:t>
      </w:r>
      <w:proofErr w:type="spellStart"/>
      <w:r w:rsidRPr="00F96D72">
        <w:rPr>
          <w:lang w:val="en-GB"/>
        </w:rPr>
        <w:t>FinnGen's</w:t>
      </w:r>
      <w:proofErr w:type="spellEnd"/>
      <w:r w:rsidRPr="00F96D72">
        <w:rPr>
          <w:lang w:val="en-GB"/>
        </w:rPr>
        <w:t xml:space="preserve"> clustering around specific disease entities creates a more focused pattern. The Estonian Biobank's tight clustering structure suggests concentrated research themes, contrasting with All of </w:t>
      </w:r>
      <w:proofErr w:type="spellStart"/>
      <w:r w:rsidRPr="00F96D72">
        <w:rPr>
          <w:lang w:val="en-GB"/>
        </w:rPr>
        <w:t>Us's</w:t>
      </w:r>
      <w:proofErr w:type="spellEnd"/>
      <w:r w:rsidRPr="00F96D72">
        <w:rPr>
          <w:lang w:val="en-GB"/>
        </w:rPr>
        <w:t xml:space="preserve"> dispersed pattern reflecting diverse population health applications. Million Veteran Program's unique positioning reflects its specialized demographic focus, with clusters that do not overlap with civilian biobank themes</w:t>
      </w:r>
      <w:r w:rsidR="00742957" w:rsidRPr="00742957">
        <w:rPr>
          <w:lang w:val="en-GB"/>
        </w:rPr>
        <w:t>.</w:t>
      </w:r>
    </w:p>
    <w:p w14:paraId="6259B92E" w14:textId="3FA252C5" w:rsidR="002540CE" w:rsidRDefault="00B53ADF" w:rsidP="002540CE">
      <w:pPr>
        <w:jc w:val="both"/>
      </w:pPr>
      <w:r>
        <w:rPr>
          <w:noProof/>
        </w:rPr>
        <w:lastRenderedPageBreak/>
        <w:drawing>
          <wp:inline distT="0" distB="0" distL="0" distR="0" wp14:anchorId="74E2F983" wp14:editId="00CC7B49">
            <wp:extent cx="5759450" cy="305181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3-composite_pca_all_biobank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3051810"/>
                    </a:xfrm>
                    <a:prstGeom prst="rect">
                      <a:avLst/>
                    </a:prstGeom>
                  </pic:spPr>
                </pic:pic>
              </a:graphicData>
            </a:graphic>
          </wp:inline>
        </w:drawing>
      </w:r>
    </w:p>
    <w:p w14:paraId="514E32B2" w14:textId="77777777" w:rsidR="00B53ADF" w:rsidRPr="00522C53" w:rsidRDefault="00B53ADF" w:rsidP="002540CE">
      <w:pPr>
        <w:jc w:val="both"/>
      </w:pPr>
    </w:p>
    <w:p w14:paraId="7ED07F2F" w14:textId="394808A3" w:rsidR="006D1D0F" w:rsidRPr="006C6D6B" w:rsidRDefault="006D1D0F" w:rsidP="006D1D0F">
      <w:pPr>
        <w:jc w:val="both"/>
        <w:rPr>
          <w:sz w:val="20"/>
          <w:szCs w:val="20"/>
          <w:lang w:val="en-GB"/>
        </w:rPr>
      </w:pPr>
      <w:r w:rsidRPr="00537D4E">
        <w:rPr>
          <w:b/>
          <w:bCs/>
          <w:sz w:val="20"/>
          <w:szCs w:val="20"/>
        </w:rPr>
        <w:t xml:space="preserve">Figure </w:t>
      </w:r>
      <w:r w:rsidR="00537D4E">
        <w:rPr>
          <w:b/>
          <w:bCs/>
          <w:sz w:val="20"/>
          <w:szCs w:val="20"/>
        </w:rPr>
        <w:t>3</w:t>
      </w:r>
      <w:r w:rsidRPr="00537D4E">
        <w:rPr>
          <w:sz w:val="20"/>
          <w:szCs w:val="20"/>
        </w:rPr>
        <w:t xml:space="preserve">. </w:t>
      </w:r>
      <w:r w:rsidR="006C6D6B" w:rsidRPr="00F96D72">
        <w:rPr>
          <w:b/>
          <w:sz w:val="20"/>
          <w:szCs w:val="20"/>
          <w:lang w:val="en-GB"/>
        </w:rPr>
        <w:t>Semantic cluster composition by biobank</w:t>
      </w:r>
      <w:r w:rsidRPr="00F96D72">
        <w:rPr>
          <w:b/>
          <w:sz w:val="20"/>
          <w:szCs w:val="20"/>
        </w:rPr>
        <w:t>.</w:t>
      </w:r>
      <w:r w:rsidR="00960127" w:rsidRPr="00522C53">
        <w:rPr>
          <w:sz w:val="20"/>
          <w:szCs w:val="20"/>
        </w:rPr>
        <w:t xml:space="preserve"> </w:t>
      </w:r>
      <w:r w:rsidR="00F96D72" w:rsidRPr="00F96D72">
        <w:rPr>
          <w:sz w:val="20"/>
          <w:szCs w:val="20"/>
          <w:lang w:val="en-GB"/>
        </w:rPr>
        <w:t xml:space="preserve">Principal component analysis (PCA) plots showing </w:t>
      </w:r>
      <w:proofErr w:type="spellStart"/>
      <w:r w:rsidR="00F96D72" w:rsidRPr="00F96D72">
        <w:rPr>
          <w:sz w:val="20"/>
          <w:szCs w:val="20"/>
          <w:lang w:val="en-GB"/>
        </w:rPr>
        <w:t>MeSH</w:t>
      </w:r>
      <w:proofErr w:type="spellEnd"/>
      <w:r w:rsidR="00F96D72" w:rsidRPr="00F96D72">
        <w:rPr>
          <w:sz w:val="20"/>
          <w:szCs w:val="20"/>
          <w:lang w:val="en-GB"/>
        </w:rPr>
        <w:t xml:space="preserve">-based semantic clusters for five major biobanks: All of Us, Estonian Biobank, </w:t>
      </w:r>
      <w:proofErr w:type="spellStart"/>
      <w:r w:rsidR="00F96D72" w:rsidRPr="00F96D72">
        <w:rPr>
          <w:sz w:val="20"/>
          <w:szCs w:val="20"/>
          <w:lang w:val="en-GB"/>
        </w:rPr>
        <w:t>FinnGen</w:t>
      </w:r>
      <w:proofErr w:type="spellEnd"/>
      <w:r w:rsidR="00F96D72" w:rsidRPr="00F96D72">
        <w:rPr>
          <w:sz w:val="20"/>
          <w:szCs w:val="20"/>
          <w:lang w:val="en-GB"/>
        </w:rPr>
        <w:t xml:space="preserve">, Million Veteran Program, and UK Biobank. Each panel represents one biobank and displays clusters identified through TF-IDF-weighted </w:t>
      </w:r>
      <w:proofErr w:type="spellStart"/>
      <w:r w:rsidR="00F96D72" w:rsidRPr="00F96D72">
        <w:rPr>
          <w:sz w:val="20"/>
          <w:szCs w:val="20"/>
          <w:lang w:val="en-GB"/>
        </w:rPr>
        <w:t>MeSH</w:t>
      </w:r>
      <w:proofErr w:type="spellEnd"/>
      <w:r w:rsidR="00F96D72" w:rsidRPr="00F96D72">
        <w:rPr>
          <w:sz w:val="20"/>
          <w:szCs w:val="20"/>
          <w:lang w:val="en-GB"/>
        </w:rPr>
        <w:t xml:space="preserve"> term embeddings and k-means clustering (K=9-10). Axes represent the first two principal components of the </w:t>
      </w:r>
      <w:proofErr w:type="spellStart"/>
      <w:r w:rsidR="00F96D72" w:rsidRPr="00F96D72">
        <w:rPr>
          <w:sz w:val="20"/>
          <w:szCs w:val="20"/>
          <w:lang w:val="en-GB"/>
        </w:rPr>
        <w:t>MeSH</w:t>
      </w:r>
      <w:proofErr w:type="spellEnd"/>
      <w:r w:rsidR="00F96D72" w:rsidRPr="00F96D72">
        <w:rPr>
          <w:sz w:val="20"/>
          <w:szCs w:val="20"/>
          <w:lang w:val="en-GB"/>
        </w:rPr>
        <w:t xml:space="preserve"> term vector space, with variance explained by PC1 and PC2 </w:t>
      </w:r>
      <w:proofErr w:type="spellStart"/>
      <w:r w:rsidR="00F96D72" w:rsidRPr="00F96D72">
        <w:rPr>
          <w:sz w:val="20"/>
          <w:szCs w:val="20"/>
          <w:lang w:val="en-GB"/>
        </w:rPr>
        <w:t>labeled</w:t>
      </w:r>
      <w:proofErr w:type="spellEnd"/>
      <w:r w:rsidR="00F96D72" w:rsidRPr="00F96D72">
        <w:rPr>
          <w:sz w:val="20"/>
          <w:szCs w:val="20"/>
          <w:lang w:val="en-GB"/>
        </w:rPr>
        <w:t xml:space="preserve"> on each plot. Circle size is proportional to the number of publications in each cluster. Cluster IDs (C0-C9) correspond to specific thematic groups detailed in the supplementary tables. Distinct separation and density patterns reflect differences in research thematic breadth and structure across biobanks</w:t>
      </w:r>
      <w:r w:rsidR="00960127" w:rsidRPr="00522C53">
        <w:rPr>
          <w:sz w:val="20"/>
          <w:szCs w:val="20"/>
        </w:rPr>
        <w:t>.</w:t>
      </w:r>
    </w:p>
    <w:p w14:paraId="3ACC0084" w14:textId="37030019" w:rsidR="00D52BF7" w:rsidRPr="00D52BF7" w:rsidRDefault="00D52BF7" w:rsidP="00D52BF7">
      <w:pPr>
        <w:pStyle w:val="Heading2"/>
      </w:pPr>
      <w:r w:rsidRPr="00D52BF7">
        <w:t>Research Gaps Reveal Missed Opportunities for Biobank</w:t>
      </w:r>
      <w:r w:rsidR="00487F31">
        <w:t xml:space="preserve"> </w:t>
      </w:r>
      <w:r w:rsidRPr="00D52BF7">
        <w:t>Contributions</w:t>
      </w:r>
    </w:p>
    <w:p w14:paraId="3678E015" w14:textId="29B645E3" w:rsidR="003D4C61" w:rsidRPr="003D4C61" w:rsidRDefault="003D4C61" w:rsidP="003D4C61">
      <w:pPr>
        <w:jc w:val="both"/>
        <w:rPr>
          <w:lang w:val="en-GB"/>
        </w:rPr>
      </w:pPr>
      <w:r w:rsidRPr="003D4C61">
        <w:rPr>
          <w:lang w:val="en-GB"/>
        </w:rPr>
        <w:t xml:space="preserve">To evaluate the alignment between biobank-linked research and global health needs, we analysed 14,142 peer-reviewed, </w:t>
      </w:r>
      <w:proofErr w:type="spellStart"/>
      <w:r w:rsidRPr="003D4C61">
        <w:rPr>
          <w:lang w:val="en-GB"/>
        </w:rPr>
        <w:t>MeSH</w:t>
      </w:r>
      <w:proofErr w:type="spellEnd"/>
      <w:r w:rsidRPr="003D4C61">
        <w:rPr>
          <w:lang w:val="en-GB"/>
        </w:rPr>
        <w:t xml:space="preserve">-annotated publications across </w:t>
      </w:r>
      <w:r>
        <w:rPr>
          <w:lang w:val="en-GB"/>
        </w:rPr>
        <w:t xml:space="preserve">the </w:t>
      </w:r>
      <w:r w:rsidRPr="003D4C61">
        <w:rPr>
          <w:lang w:val="en-GB"/>
        </w:rPr>
        <w:t xml:space="preserve">five major biobanks and mapped them to 25 high-burden disease areas using curated </w:t>
      </w:r>
      <w:proofErr w:type="spellStart"/>
      <w:r w:rsidRPr="003D4C61">
        <w:rPr>
          <w:lang w:val="en-GB"/>
        </w:rPr>
        <w:t>MeSH</w:t>
      </w:r>
      <w:proofErr w:type="spellEnd"/>
      <w:r w:rsidRPr="003D4C61">
        <w:rPr>
          <w:lang w:val="en-GB"/>
        </w:rPr>
        <w:t xml:space="preserve"> terms. </w:t>
      </w:r>
      <w:r w:rsidRPr="003D4C61">
        <w:rPr>
          <w:b/>
          <w:lang w:val="en-GB"/>
        </w:rPr>
        <w:t>Figure 4A</w:t>
      </w:r>
      <w:r w:rsidRPr="003D4C61">
        <w:rPr>
          <w:lang w:val="en-GB"/>
        </w:rPr>
        <w:t xml:space="preserve"> shows a heatmap of publication counts per disease-biobank pair. The UK Biobank dominates research output across nearly all disease areas, contributing over 1,000 publications on stroke, nearly 700 on Alzheimer disease, and several hundred on common conditions such as lung cancer, asthma, and ischemic heart disease.</w:t>
      </w:r>
    </w:p>
    <w:p w14:paraId="56396516" w14:textId="0AE69824" w:rsidR="003D4C61" w:rsidRPr="003D4C61" w:rsidRDefault="003D4C61" w:rsidP="003D4C61">
      <w:pPr>
        <w:jc w:val="both"/>
        <w:rPr>
          <w:lang w:val="en-GB"/>
        </w:rPr>
      </w:pPr>
      <w:r w:rsidRPr="003D4C61">
        <w:rPr>
          <w:lang w:val="en-GB"/>
        </w:rPr>
        <w:t xml:space="preserve">In contrast, non-UK biobanks (Million Veteran Program, </w:t>
      </w:r>
      <w:proofErr w:type="spellStart"/>
      <w:r w:rsidRPr="003D4C61">
        <w:rPr>
          <w:lang w:val="en-GB"/>
        </w:rPr>
        <w:t>FinnGen</w:t>
      </w:r>
      <w:proofErr w:type="spellEnd"/>
      <w:r w:rsidRPr="003D4C61">
        <w:rPr>
          <w:lang w:val="en-GB"/>
        </w:rPr>
        <w:t>, All of Us, and the Estonian Biobank) exhibit markedly sparser coverage. Many diseases with substantial global burden</w:t>
      </w:r>
      <w:r>
        <w:rPr>
          <w:lang w:val="en-GB"/>
        </w:rPr>
        <w:t xml:space="preserve"> (</w:t>
      </w:r>
      <w:r w:rsidRPr="003D4C61">
        <w:rPr>
          <w:lang w:val="en-GB"/>
        </w:rPr>
        <w:t>particularly tuberculosis, neglected tropical diseases, diarrheal diseases, road traffic injuries, and malaria</w:t>
      </w:r>
      <w:r>
        <w:rPr>
          <w:lang w:val="en-GB"/>
        </w:rPr>
        <w:t xml:space="preserve">) </w:t>
      </w:r>
      <w:r w:rsidRPr="003D4C61">
        <w:rPr>
          <w:lang w:val="en-GB"/>
        </w:rPr>
        <w:t>remain underrepresented or entirely absent from their research portfolios. For example, malaria and road traffic accidents have only one publication each across all five biobanks. Diseases with high nonfatal burden, such as low back pain and cataracts, also receive limited attention.</w:t>
      </w:r>
    </w:p>
    <w:p w14:paraId="6D385727" w14:textId="460CB8D0" w:rsidR="00D52BF7" w:rsidRDefault="003D4C61" w:rsidP="00D52BF7">
      <w:pPr>
        <w:jc w:val="both"/>
        <w:rPr>
          <w:lang w:val="en-GB"/>
        </w:rPr>
      </w:pPr>
      <w:r w:rsidRPr="003D4C61">
        <w:rPr>
          <w:b/>
          <w:lang w:val="en-GB"/>
        </w:rPr>
        <w:lastRenderedPageBreak/>
        <w:t>Figure 4B</w:t>
      </w:r>
      <w:r w:rsidRPr="003D4C61">
        <w:rPr>
          <w:lang w:val="en-GB"/>
        </w:rPr>
        <w:t xml:space="preserve"> quantifies this imbalance through a biobank-specific </w:t>
      </w:r>
      <w:r>
        <w:rPr>
          <w:lang w:val="en-GB"/>
        </w:rPr>
        <w:t>“</w:t>
      </w:r>
      <w:r w:rsidRPr="003D4C61">
        <w:rPr>
          <w:bCs/>
          <w:lang w:val="en-GB"/>
        </w:rPr>
        <w:t>Research Opportunity Score</w:t>
      </w:r>
      <w:r>
        <w:rPr>
          <w:bCs/>
          <w:lang w:val="en-GB"/>
        </w:rPr>
        <w:t>”</w:t>
      </w:r>
      <w:r w:rsidRPr="003D4C61">
        <w:rPr>
          <w:lang w:val="en-GB"/>
        </w:rPr>
        <w:t>, which captures the cumulative burden of diseases with two or fewer associated publications in each biobank. UK Biobank, despite having the broadest coverage, still exhibits unrealized potential with a score of 848 across two critical gaps</w:t>
      </w:r>
      <w:r>
        <w:rPr>
          <w:lang w:val="en-GB"/>
        </w:rPr>
        <w:t xml:space="preserve"> (malaria and road traffic accidents)</w:t>
      </w:r>
      <w:r w:rsidRPr="003D4C61">
        <w:rPr>
          <w:lang w:val="en-GB"/>
        </w:rPr>
        <w:t xml:space="preserve">. Other biobanks show significantly higher opportunity scores and a greater number of underrepresented diseases: MVP (464; 6 gaps), Estonian Biobank (456; 5 gaps), </w:t>
      </w:r>
      <w:proofErr w:type="spellStart"/>
      <w:r w:rsidRPr="003D4C61">
        <w:rPr>
          <w:lang w:val="en-GB"/>
        </w:rPr>
        <w:t>FinnGen</w:t>
      </w:r>
      <w:proofErr w:type="spellEnd"/>
      <w:r w:rsidRPr="003D4C61">
        <w:rPr>
          <w:lang w:val="en-GB"/>
        </w:rPr>
        <w:t xml:space="preserve"> (428; 3 gaps), and All of Us (366; 3 gaps). These findings highlight major institutional opportunities to address neglected, yet high-impact, disease areas through more inclusive biobank research strategies</w:t>
      </w:r>
      <w:r w:rsidR="00A97418" w:rsidRPr="00A97418">
        <w:rPr>
          <w:lang w:val="en-GB"/>
        </w:rPr>
        <w:t>.</w:t>
      </w:r>
    </w:p>
    <w:p w14:paraId="29D638F3" w14:textId="3EE9DE1B" w:rsidR="0060603C" w:rsidRPr="0060603C" w:rsidRDefault="003D4C61" w:rsidP="00D52BF7">
      <w:pPr>
        <w:jc w:val="both"/>
        <w:rPr>
          <w:lang w:val="en-GB"/>
        </w:rPr>
      </w:pPr>
      <w:r>
        <w:rPr>
          <w:noProof/>
          <w:lang w:val="en-GB"/>
        </w:rPr>
        <w:drawing>
          <wp:inline distT="0" distB="0" distL="0" distR="0" wp14:anchorId="64CDD6AE" wp14:editId="78D64CA3">
            <wp:extent cx="5759450" cy="344424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4-biobank_research_heatmap_25disease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3444240"/>
                    </a:xfrm>
                    <a:prstGeom prst="rect">
                      <a:avLst/>
                    </a:prstGeom>
                  </pic:spPr>
                </pic:pic>
              </a:graphicData>
            </a:graphic>
          </wp:inline>
        </w:drawing>
      </w:r>
    </w:p>
    <w:p w14:paraId="59029215" w14:textId="70DC5836" w:rsidR="0060603C" w:rsidRPr="0057678E" w:rsidRDefault="0060603C" w:rsidP="00D52BF7">
      <w:pPr>
        <w:jc w:val="both"/>
        <w:rPr>
          <w:sz w:val="20"/>
          <w:lang w:val="en-GB"/>
        </w:rPr>
      </w:pPr>
      <w:r w:rsidRPr="0060603C">
        <w:rPr>
          <w:b/>
          <w:bCs/>
          <w:sz w:val="20"/>
          <w:lang w:val="en-GB"/>
        </w:rPr>
        <w:t>Figure 4.</w:t>
      </w:r>
      <w:r w:rsidRPr="0060603C">
        <w:rPr>
          <w:b/>
          <w:sz w:val="20"/>
          <w:lang w:val="en-GB"/>
        </w:rPr>
        <w:t xml:space="preserve"> </w:t>
      </w:r>
      <w:r w:rsidRPr="0060603C">
        <w:rPr>
          <w:b/>
          <w:iCs/>
          <w:sz w:val="20"/>
          <w:lang w:val="en-GB"/>
        </w:rPr>
        <w:t>Disease-specific research coverage and research opportunity scores by biobank.</w:t>
      </w:r>
      <w:r w:rsidRPr="0060603C">
        <w:rPr>
          <w:b/>
          <w:sz w:val="20"/>
          <w:lang w:val="en-GB"/>
        </w:rPr>
        <w:t xml:space="preserve"> (A)</w:t>
      </w:r>
      <w:r w:rsidRPr="0060603C">
        <w:rPr>
          <w:sz w:val="20"/>
          <w:lang w:val="en-GB"/>
        </w:rPr>
        <w:t xml:space="preserve"> Heatmap showing the number of peer-reviewed, PubMed-indexed publications linked to each of five biobanks across 25 high-burden global diseases. Disease burden rankings are derived from DALYs, deaths, and prevalence metrics in GBD 2021</w:t>
      </w:r>
      <w:r w:rsidR="00A87058">
        <w:rPr>
          <w:sz w:val="20"/>
          <w:lang w:val="en-GB"/>
        </w:rPr>
        <w:t xml:space="preserve"> </w:t>
      </w:r>
      <w:r w:rsidR="00A87058">
        <w:rPr>
          <w:sz w:val="20"/>
          <w:lang w:val="en-GB"/>
        </w:rPr>
        <w:fldChar w:fldCharType="begin"/>
      </w:r>
      <w:r w:rsidR="00A87058">
        <w:rPr>
          <w:sz w:val="20"/>
          <w:lang w:val="en-GB"/>
        </w:rPr>
        <w:instrText xml:space="preserve"> ADDIN ZOTERO_ITEM CSL_CITATION {"citationID":"itGDWr67","properties":{"formattedCitation":"\\super 22\\nosupersub{}","plainCitation":"22","noteIndex":0},"citationItems":[{"id":903,"uris":["http://zotero.org/users/16405780/items/C7YJGUGG"],"itemData":{"id":903,"type":"webpage","container-title":"Institute for Health Metrics and Evaluation","language":"en","title":"GBD Results","URL":"https://vizhub.healthdata.org/gbd-results","accessed":{"date-parts":[["2025",7,7]]}}}],"schema":"https://github.com/citation-style-language/schema/raw/master/csl-citation.json"} </w:instrText>
      </w:r>
      <w:r w:rsidR="00A87058">
        <w:rPr>
          <w:sz w:val="20"/>
          <w:lang w:val="en-GB"/>
        </w:rPr>
        <w:fldChar w:fldCharType="separate"/>
      </w:r>
      <w:r w:rsidR="00A87058" w:rsidRPr="00A87058">
        <w:rPr>
          <w:rFonts w:ascii="Aptos" w:cs="Times New Roman"/>
          <w:kern w:val="0"/>
          <w:sz w:val="20"/>
          <w:vertAlign w:val="superscript"/>
        </w:rPr>
        <w:t>22</w:t>
      </w:r>
      <w:r w:rsidR="00A87058">
        <w:rPr>
          <w:sz w:val="20"/>
          <w:lang w:val="en-GB"/>
        </w:rPr>
        <w:fldChar w:fldCharType="end"/>
      </w:r>
      <w:r w:rsidRPr="0060603C">
        <w:rPr>
          <w:sz w:val="20"/>
          <w:lang w:val="en-GB"/>
        </w:rPr>
        <w:t xml:space="preserve">. </w:t>
      </w:r>
      <w:proofErr w:type="spellStart"/>
      <w:r w:rsidRPr="0060603C">
        <w:rPr>
          <w:sz w:val="20"/>
          <w:lang w:val="en-GB"/>
        </w:rPr>
        <w:t>Color</w:t>
      </w:r>
      <w:proofErr w:type="spellEnd"/>
      <w:r w:rsidRPr="0060603C">
        <w:rPr>
          <w:sz w:val="20"/>
          <w:lang w:val="en-GB"/>
        </w:rPr>
        <w:t xml:space="preserve"> intensity indicates publication volume. UK Biobank demonstrates broad thematic coverage, while other biobanks show selective emphasis and limited engagement with diseases like malaria, tuberculosis, and neglected tropical diseases.</w:t>
      </w:r>
      <w:r>
        <w:rPr>
          <w:sz w:val="20"/>
          <w:lang w:val="en-GB"/>
        </w:rPr>
        <w:t xml:space="preserve"> </w:t>
      </w:r>
      <w:r w:rsidRPr="0060603C">
        <w:rPr>
          <w:b/>
          <w:sz w:val="20"/>
          <w:lang w:val="en-GB"/>
        </w:rPr>
        <w:t>(B)</w:t>
      </w:r>
      <w:r w:rsidRPr="0060603C">
        <w:rPr>
          <w:sz w:val="20"/>
          <w:lang w:val="en-GB"/>
        </w:rPr>
        <w:t xml:space="preserve"> Bar plot showing each biobank’s Research Opportunity Score, defined as the summed burden of diseases with ≤2 associated publications. Higher scores indicate more unmet potential to address critical global health gaps.</w:t>
      </w:r>
    </w:p>
    <w:p w14:paraId="4A137510" w14:textId="449B9EFE" w:rsidR="00A87058" w:rsidRPr="00A87058" w:rsidRDefault="00A87058" w:rsidP="00A87058">
      <w:pPr>
        <w:pStyle w:val="Heading3"/>
      </w:pPr>
      <w:r w:rsidRPr="00A87058">
        <w:t>Structural Imbalances in Disease Representation</w:t>
      </w:r>
    </w:p>
    <w:p w14:paraId="677EBEC7" w14:textId="07DE99A9" w:rsidR="00A87058" w:rsidRPr="00A87058" w:rsidRDefault="00993EC0" w:rsidP="00A87058">
      <w:pPr>
        <w:jc w:val="both"/>
        <w:rPr>
          <w:lang w:val="en-GB"/>
        </w:rPr>
      </w:pPr>
      <w:r>
        <w:rPr>
          <w:lang w:val="en-GB"/>
        </w:rPr>
        <w:t>W</w:t>
      </w:r>
      <w:r w:rsidR="00A87058" w:rsidRPr="00A87058">
        <w:rPr>
          <w:lang w:val="en-GB"/>
        </w:rPr>
        <w:t>e evaluated the overall landscape of research gaps across all 25 disease areas, integrating gap severity, burden</w:t>
      </w:r>
      <w:r>
        <w:rPr>
          <w:lang w:val="en-GB"/>
        </w:rPr>
        <w:t>-</w:t>
      </w:r>
      <w:r w:rsidR="00A87058" w:rsidRPr="00A87058">
        <w:rPr>
          <w:lang w:val="en-GB"/>
        </w:rPr>
        <w:t>research misalignment, category-level intensity, and priority areas for intervention (</w:t>
      </w:r>
      <w:r w:rsidR="00A87058" w:rsidRPr="00993EC0">
        <w:rPr>
          <w:b/>
          <w:lang w:val="en-GB"/>
        </w:rPr>
        <w:t>Figure 5</w:t>
      </w:r>
      <w:r w:rsidR="00A87058" w:rsidRPr="00A87058">
        <w:rPr>
          <w:lang w:val="en-GB"/>
        </w:rPr>
        <w:t>). Among the diseases assessed, 64% were classified as having low research gaps, while 8% showed moderate gaps, 12% high gaps, and 16% critical gaps</w:t>
      </w:r>
      <w:r>
        <w:rPr>
          <w:lang w:val="en-GB"/>
        </w:rPr>
        <w:t xml:space="preserve">, </w:t>
      </w:r>
      <w:r w:rsidR="00A87058" w:rsidRPr="00A87058">
        <w:rPr>
          <w:lang w:val="en-GB"/>
        </w:rPr>
        <w:t xml:space="preserve">defined by high burden and minimal biobank representation </w:t>
      </w:r>
      <w:r w:rsidR="00A87058" w:rsidRPr="00A87058">
        <w:rPr>
          <w:lang w:val="en-GB"/>
        </w:rPr>
        <w:lastRenderedPageBreak/>
        <w:t>(</w:t>
      </w:r>
      <w:r w:rsidR="00A87058" w:rsidRPr="00993EC0">
        <w:rPr>
          <w:b/>
          <w:lang w:val="en-GB"/>
        </w:rPr>
        <w:t>Figure 5A</w:t>
      </w:r>
      <w:r w:rsidR="00A87058" w:rsidRPr="00A87058">
        <w:rPr>
          <w:lang w:val="en-GB"/>
        </w:rPr>
        <w:t>). This distribution underscores that while many diseases are reasonably represented, a significant subset remains severely neglected.</w:t>
      </w:r>
    </w:p>
    <w:p w14:paraId="0469BB94" w14:textId="73FEDCB1" w:rsidR="00A87058" w:rsidRPr="00A87058" w:rsidRDefault="00A87058" w:rsidP="00A87058">
      <w:pPr>
        <w:jc w:val="both"/>
        <w:rPr>
          <w:lang w:val="en-GB"/>
        </w:rPr>
      </w:pPr>
      <w:r w:rsidRPr="00993EC0">
        <w:rPr>
          <w:b/>
          <w:lang w:val="en-GB"/>
        </w:rPr>
        <w:t>Figure 5B</w:t>
      </w:r>
      <w:r w:rsidRPr="00A87058">
        <w:rPr>
          <w:lang w:val="en-GB"/>
        </w:rPr>
        <w:t xml:space="preserve"> compares disease burden and research output for the ten highest-burden conditions using normalized values. While stroke and ischemic heart disease show roughly proportional research engagement, several diseases</w:t>
      </w:r>
      <w:r w:rsidR="00993EC0">
        <w:rPr>
          <w:lang w:val="en-GB"/>
        </w:rPr>
        <w:t xml:space="preserve"> (</w:t>
      </w:r>
      <w:r w:rsidRPr="00A87058">
        <w:rPr>
          <w:lang w:val="en-GB"/>
        </w:rPr>
        <w:t>including diarrheal diseases, low back pain, road traffic accidents, depression, and malaria</w:t>
      </w:r>
      <w:r w:rsidR="00993EC0">
        <w:rPr>
          <w:lang w:val="en-GB"/>
        </w:rPr>
        <w:t xml:space="preserve">) </w:t>
      </w:r>
      <w:r w:rsidRPr="00A87058">
        <w:rPr>
          <w:lang w:val="en-GB"/>
        </w:rPr>
        <w:t>stand out for their high global burden yet disproportionately low biobank-linked publication counts. These imbalances suggest missed opportunities for impact in areas of major public health importance.</w:t>
      </w:r>
    </w:p>
    <w:p w14:paraId="674DC3BA" w14:textId="7DCE88C9" w:rsidR="00A87058" w:rsidRPr="00993EC0" w:rsidRDefault="00993EC0" w:rsidP="00A87058">
      <w:pPr>
        <w:jc w:val="both"/>
        <w:rPr>
          <w:lang w:val="en-GB"/>
        </w:rPr>
      </w:pPr>
      <w:r w:rsidRPr="00993EC0">
        <w:rPr>
          <w:lang w:val="en-GB"/>
        </w:rPr>
        <w:t xml:space="preserve">Research intensity also varied substantially across disease categories, as shown in </w:t>
      </w:r>
      <w:r w:rsidRPr="00993EC0">
        <w:rPr>
          <w:b/>
          <w:lang w:val="en-GB"/>
        </w:rPr>
        <w:t>Figure 5C</w:t>
      </w:r>
      <w:r w:rsidRPr="00993EC0">
        <w:rPr>
          <w:lang w:val="en-GB"/>
        </w:rPr>
        <w:t xml:space="preserve">. </w:t>
      </w:r>
      <w:r w:rsidRPr="00993EC0">
        <w:rPr>
          <w:bCs/>
          <w:lang w:val="en-GB"/>
        </w:rPr>
        <w:t>Injuries, maternal and child health, infectious diseases, and neglected diseases</w:t>
      </w:r>
      <w:r w:rsidRPr="00993EC0">
        <w:rPr>
          <w:lang w:val="en-GB"/>
        </w:rPr>
        <w:t xml:space="preserve"> exhibited the </w:t>
      </w:r>
      <w:r w:rsidRPr="00993EC0">
        <w:rPr>
          <w:bCs/>
          <w:lang w:val="en-GB"/>
        </w:rPr>
        <w:t>lowest levels of research intensity</w:t>
      </w:r>
      <w:r w:rsidRPr="00993EC0">
        <w:rPr>
          <w:lang w:val="en-GB"/>
        </w:rPr>
        <w:t xml:space="preserve">, indicating the largest misalignment between global burden and biobank-linked research activity. In contrast, </w:t>
      </w:r>
      <w:r w:rsidRPr="00993EC0">
        <w:rPr>
          <w:bCs/>
          <w:lang w:val="en-GB"/>
        </w:rPr>
        <w:t>endocrine and neurological diseases</w:t>
      </w:r>
      <w:r w:rsidRPr="00993EC0">
        <w:rPr>
          <w:lang w:val="en-GB"/>
        </w:rPr>
        <w:t xml:space="preserve"> showed the highest research intensity, suggesting that these areas receive disproportionately more attention relative to their DALY burden. This pattern reflects structural imbalances in thematic focus, where conditions prevalent in high-income settings are more comprehensively studied than those disproportionately affecting low- and middle-income populations</w:t>
      </w:r>
      <w:r w:rsidR="00A87058" w:rsidRPr="00993EC0">
        <w:rPr>
          <w:lang w:val="en-GB"/>
        </w:rPr>
        <w:t>.</w:t>
      </w:r>
    </w:p>
    <w:p w14:paraId="05F95473" w14:textId="7FFB9E0D" w:rsidR="00A87058" w:rsidRDefault="00A87058" w:rsidP="00993EC0">
      <w:pPr>
        <w:jc w:val="both"/>
        <w:rPr>
          <w:lang w:val="en-GB"/>
        </w:rPr>
      </w:pPr>
      <w:r w:rsidRPr="00A87058">
        <w:rPr>
          <w:lang w:val="en-GB"/>
        </w:rPr>
        <w:t xml:space="preserve">Four diseases emerged as especially critical: diarrheal diseases, malaria, tuberculosis, and neglected tropical diseases. As shown in </w:t>
      </w:r>
      <w:r w:rsidRPr="00993EC0">
        <w:rPr>
          <w:b/>
          <w:lang w:val="en-GB"/>
        </w:rPr>
        <w:t>Figure 5D</w:t>
      </w:r>
      <w:r w:rsidRPr="00A87058">
        <w:rPr>
          <w:lang w:val="en-GB"/>
        </w:rPr>
        <w:t xml:space="preserve">, these conditions account for a combined burden of over 175 million DALYs but have received negligible attention in biobank-enabled research. </w:t>
      </w:r>
    </w:p>
    <w:p w14:paraId="72EB612A" w14:textId="3A0E87DF" w:rsidR="00993EC0" w:rsidRDefault="00993EC0" w:rsidP="00993EC0">
      <w:pPr>
        <w:jc w:val="both"/>
        <w:rPr>
          <w:lang w:val="en-GB"/>
        </w:rPr>
      </w:pPr>
      <w:r>
        <w:rPr>
          <w:noProof/>
          <w:lang w:val="en-GB"/>
        </w:rPr>
        <w:lastRenderedPageBreak/>
        <w:drawing>
          <wp:inline distT="0" distB="0" distL="0" distR="0" wp14:anchorId="5A7F3BB2" wp14:editId="1CA2E76B">
            <wp:extent cx="5759450" cy="447675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5-research_gap_summary_25disease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4476750"/>
                    </a:xfrm>
                    <a:prstGeom prst="rect">
                      <a:avLst/>
                    </a:prstGeom>
                  </pic:spPr>
                </pic:pic>
              </a:graphicData>
            </a:graphic>
          </wp:inline>
        </w:drawing>
      </w:r>
    </w:p>
    <w:p w14:paraId="17642B7F" w14:textId="72F36F24" w:rsidR="00993EC0" w:rsidRPr="00993EC0" w:rsidRDefault="00993EC0" w:rsidP="00993EC0">
      <w:pPr>
        <w:jc w:val="both"/>
        <w:rPr>
          <w:sz w:val="20"/>
          <w:lang w:val="en-GB"/>
        </w:rPr>
      </w:pPr>
      <w:r w:rsidRPr="00993EC0">
        <w:rPr>
          <w:b/>
          <w:bCs/>
          <w:sz w:val="20"/>
          <w:lang w:val="en-GB"/>
        </w:rPr>
        <w:t>Figure 5. Summary of research gaps across 25 high-burden diseases.</w:t>
      </w:r>
      <w:r w:rsidRPr="00993EC0">
        <w:rPr>
          <w:sz w:val="20"/>
          <w:lang w:val="en-GB"/>
        </w:rPr>
        <w:t xml:space="preserve"> </w:t>
      </w:r>
      <w:r w:rsidRPr="00993EC0">
        <w:rPr>
          <w:b/>
          <w:sz w:val="20"/>
          <w:lang w:val="en-GB"/>
        </w:rPr>
        <w:t>(A)</w:t>
      </w:r>
      <w:r w:rsidRPr="00993EC0">
        <w:rPr>
          <w:sz w:val="20"/>
          <w:lang w:val="en-GB"/>
        </w:rPr>
        <w:t xml:space="preserve"> Pie chart showing the distribution of research gap severity classifications across 25 diseases. Categories are defined based on gap score thresholds derived from burden and publication alignment: Critical (&gt;70), High (50–70), Moderate (30–50), and Low (&lt;30). </w:t>
      </w:r>
      <w:r w:rsidRPr="00993EC0">
        <w:rPr>
          <w:b/>
          <w:sz w:val="20"/>
          <w:lang w:val="en-GB"/>
        </w:rPr>
        <w:t>(B)</w:t>
      </w:r>
      <w:r w:rsidRPr="00993EC0">
        <w:rPr>
          <w:sz w:val="20"/>
          <w:lang w:val="en-GB"/>
        </w:rPr>
        <w:t xml:space="preserve"> Bar plot comparing normalized disease burden (red) and research publications (blue) for the top 10 highest-burden conditions. Values are scaled from 0 to 100 for comparability. Discrepancies highlight under-researched conditions with disproportionately high global burden. </w:t>
      </w:r>
      <w:r w:rsidRPr="00993EC0">
        <w:rPr>
          <w:b/>
          <w:sz w:val="20"/>
          <w:lang w:val="en-GB"/>
        </w:rPr>
        <w:t>(C)</w:t>
      </w:r>
      <w:r w:rsidRPr="00993EC0">
        <w:rPr>
          <w:sz w:val="20"/>
          <w:lang w:val="en-GB"/>
        </w:rPr>
        <w:t xml:space="preserve"> Research intensity across disease categories, calculated as the number of biobank-linked publications per million DALYs. Lower bars indicate greater thematic neglect. Injuries, maternal and child health, infectious diseases, and neglected diseases rank among the lowest. </w:t>
      </w:r>
      <w:r w:rsidRPr="00993EC0">
        <w:rPr>
          <w:b/>
          <w:sz w:val="20"/>
          <w:lang w:val="en-GB"/>
        </w:rPr>
        <w:t>(D)</w:t>
      </w:r>
      <w:r w:rsidRPr="00993EC0">
        <w:rPr>
          <w:sz w:val="20"/>
          <w:lang w:val="en-GB"/>
        </w:rPr>
        <w:t xml:space="preserve"> Bar chart showing the disease burden (in millions of DALYs) for the four most critically underrepresented conditions: diarrheal diseases, malaria, tuberculosis, and neglected tropical diseases. These conditions received minimal or no attention in the biobank literature and represent urgent priorities for realignment.</w:t>
      </w:r>
    </w:p>
    <w:p w14:paraId="0CA99756" w14:textId="30401F93" w:rsidR="008D58CD" w:rsidRPr="00522C53" w:rsidRDefault="00D2129F" w:rsidP="008D58CD">
      <w:pPr>
        <w:pStyle w:val="Heading1"/>
        <w:rPr>
          <w:b/>
          <w:bCs/>
        </w:rPr>
      </w:pPr>
      <w:r w:rsidRPr="00522C53">
        <w:rPr>
          <w:b/>
          <w:bCs/>
        </w:rPr>
        <w:t>Discussion</w:t>
      </w:r>
    </w:p>
    <w:p w14:paraId="67D42627" w14:textId="77777777" w:rsidR="005C1EFF" w:rsidRPr="005C1EFF" w:rsidRDefault="005C1EFF" w:rsidP="005C1EFF">
      <w:pPr>
        <w:jc w:val="both"/>
        <w:rPr>
          <w:lang w:val="en-GB"/>
        </w:rPr>
      </w:pPr>
      <w:r w:rsidRPr="005C1EFF">
        <w:rPr>
          <w:lang w:val="en-GB"/>
        </w:rPr>
        <w:t>This review offers a data-driven analysis of the research footprint of five globally prominent EHR-linked biobanks, uncovering critical asymmetries between research activity and global disease burden. Over the past decade, research output from these initiatives has expanded rapidly, with 14,142 peer-reviewed publications indexed between 2000 and 2024 (</w:t>
      </w:r>
      <w:r w:rsidRPr="005C1EFF">
        <w:rPr>
          <w:b/>
          <w:lang w:val="en-GB"/>
        </w:rPr>
        <w:t>Figure 1</w:t>
      </w:r>
      <w:r w:rsidRPr="005C1EFF">
        <w:rPr>
          <w:lang w:val="en-GB"/>
        </w:rPr>
        <w:t xml:space="preserve">). This surge reflects a broader inflection point in genomics, marked by the rise of open-access data models, high-throughput genotyping, and scalable analytic pipelines. UK Biobank stands out as the dominant contributor by </w:t>
      </w:r>
      <w:r w:rsidRPr="005C1EFF">
        <w:rPr>
          <w:lang w:val="en-GB"/>
        </w:rPr>
        <w:lastRenderedPageBreak/>
        <w:t xml:space="preserve">volume, but newer programs such as </w:t>
      </w:r>
      <w:proofErr w:type="spellStart"/>
      <w:r w:rsidRPr="005C1EFF">
        <w:rPr>
          <w:lang w:val="en-GB"/>
        </w:rPr>
        <w:t>FinnGen</w:t>
      </w:r>
      <w:proofErr w:type="spellEnd"/>
      <w:r w:rsidRPr="005C1EFF">
        <w:rPr>
          <w:lang w:val="en-GB"/>
        </w:rPr>
        <w:t xml:space="preserve"> are gaining momentum, demonstrating rapid growth and a strong focus on methodological coherence. Notably, each biobank exhibits a distinct thematic identity shaped by its institutional design, participant demographics, and data architecture.</w:t>
      </w:r>
    </w:p>
    <w:p w14:paraId="50C89E34" w14:textId="77777777" w:rsidR="005C1EFF" w:rsidRPr="005C1EFF" w:rsidRDefault="005C1EFF" w:rsidP="005C1EFF">
      <w:pPr>
        <w:jc w:val="both"/>
        <w:rPr>
          <w:lang w:val="en-GB"/>
        </w:rPr>
      </w:pPr>
      <w:r w:rsidRPr="005C1EFF">
        <w:rPr>
          <w:lang w:val="en-GB"/>
        </w:rPr>
        <w:t xml:space="preserve">Thematic profiles derived from </w:t>
      </w:r>
      <w:proofErr w:type="spellStart"/>
      <w:r w:rsidRPr="005C1EFF">
        <w:rPr>
          <w:lang w:val="en-GB"/>
        </w:rPr>
        <w:t>MeSH</w:t>
      </w:r>
      <w:proofErr w:type="spellEnd"/>
      <w:r w:rsidRPr="005C1EFF">
        <w:rPr>
          <w:lang w:val="en-GB"/>
        </w:rPr>
        <w:t xml:space="preserve"> term frequencies (</w:t>
      </w:r>
      <w:r w:rsidRPr="005C1EFF">
        <w:rPr>
          <w:b/>
          <w:lang w:val="en-GB"/>
        </w:rPr>
        <w:t>Figure 2</w:t>
      </w:r>
      <w:r w:rsidRPr="005C1EFF">
        <w:rPr>
          <w:lang w:val="en-GB"/>
        </w:rPr>
        <w:t xml:space="preserve">) reveal how these identities are encoded in the published literature. UK Biobank integrates infrastructure-related terms and environmental health descriptors, whereas </w:t>
      </w:r>
      <w:proofErr w:type="spellStart"/>
      <w:r w:rsidRPr="005C1EFF">
        <w:rPr>
          <w:lang w:val="en-GB"/>
        </w:rPr>
        <w:t>FinnGen</w:t>
      </w:r>
      <w:proofErr w:type="spellEnd"/>
      <w:r w:rsidRPr="005C1EFF">
        <w:rPr>
          <w:lang w:val="en-GB"/>
        </w:rPr>
        <w:t xml:space="preserve"> emphasizes Mendelian randomization and registry-based phenotyping. All of Us prioritizes diversity and </w:t>
      </w:r>
      <w:proofErr w:type="spellStart"/>
      <w:r w:rsidRPr="005C1EFF">
        <w:rPr>
          <w:lang w:val="en-GB"/>
        </w:rPr>
        <w:t>socioclinical</w:t>
      </w:r>
      <w:proofErr w:type="spellEnd"/>
      <w:r w:rsidRPr="005C1EFF">
        <w:rPr>
          <w:lang w:val="en-GB"/>
        </w:rPr>
        <w:t xml:space="preserve"> themes, while MVP is characterized by veteran-specific descriptors. These </w:t>
      </w:r>
      <w:proofErr w:type="spellStart"/>
      <w:r w:rsidRPr="005C1EFF">
        <w:rPr>
          <w:lang w:val="en-GB"/>
        </w:rPr>
        <w:t>MeSH</w:t>
      </w:r>
      <w:proofErr w:type="spellEnd"/>
      <w:r w:rsidRPr="005C1EFF">
        <w:rPr>
          <w:lang w:val="en-GB"/>
        </w:rPr>
        <w:t>-based distinctions are reinforced by semantic clustering (</w:t>
      </w:r>
      <w:r w:rsidRPr="005C1EFF">
        <w:rPr>
          <w:b/>
          <w:lang w:val="en-GB"/>
        </w:rPr>
        <w:t>Figure 3</w:t>
      </w:r>
      <w:r w:rsidRPr="005C1EFF">
        <w:rPr>
          <w:lang w:val="en-GB"/>
        </w:rPr>
        <w:t xml:space="preserve">), which reveals not only differences in research volume but in the conceptual terrain that each biobank occupies. For instance, UK Biobank’s wide cluster dispersion reflects broad methodological and phenotypic coverage, with dedicated clusters for neuroimaging and environmental exposure. In contrast, </w:t>
      </w:r>
      <w:proofErr w:type="spellStart"/>
      <w:r w:rsidRPr="005C1EFF">
        <w:rPr>
          <w:lang w:val="en-GB"/>
        </w:rPr>
        <w:t>FinnGen</w:t>
      </w:r>
      <w:proofErr w:type="spellEnd"/>
      <w:r w:rsidRPr="005C1EFF">
        <w:rPr>
          <w:lang w:val="en-GB"/>
        </w:rPr>
        <w:t xml:space="preserve"> and the Estonian Biobank exhibit tightly packed clusters centred on GWAS and molecular trait analysis, indicating narrower but deeply developed thematic foci. All of Us shows a broader but more fragmented distribution, while MVP occupies a distinct semantic space focused on military-specific exposures, mental health, and cardiovascular risk.</w:t>
      </w:r>
    </w:p>
    <w:p w14:paraId="3B6A0A48" w14:textId="77777777" w:rsidR="005C1EFF" w:rsidRPr="005C1EFF" w:rsidRDefault="005C1EFF" w:rsidP="005C1EFF">
      <w:pPr>
        <w:jc w:val="both"/>
        <w:rPr>
          <w:lang w:val="en-GB"/>
        </w:rPr>
      </w:pPr>
      <w:r w:rsidRPr="005C1EFF">
        <w:rPr>
          <w:lang w:val="en-GB"/>
        </w:rPr>
        <w:t xml:space="preserve">The clustering framework thus offers a high-resolution view of how research priorities, methodological traditions, and institutional mandates translate into published knowledge. While traditional bibliometrics can capture growth trends, semantic analysis enables comparative insight into what is studied, by whom, and through what lens. The compactness of </w:t>
      </w:r>
      <w:proofErr w:type="spellStart"/>
      <w:r w:rsidRPr="005C1EFF">
        <w:rPr>
          <w:lang w:val="en-GB"/>
        </w:rPr>
        <w:t>FinnGen’s</w:t>
      </w:r>
      <w:proofErr w:type="spellEnd"/>
      <w:r w:rsidRPr="005C1EFF">
        <w:rPr>
          <w:lang w:val="en-GB"/>
        </w:rPr>
        <w:t xml:space="preserve"> clusters, the spread of All of Us, and the semantic outlier status of MVP all point to biobanks as epistemically differentiated entities. As biobanks continue to scale, tracking thematic drift and blind spots through semantic embeddings may be critical for evaluating conceptual equity and research breadth.</w:t>
      </w:r>
    </w:p>
    <w:p w14:paraId="6E193A61" w14:textId="42EE438F" w:rsidR="005C1EFF" w:rsidRPr="005C1EFF" w:rsidRDefault="005C1EFF" w:rsidP="005C1EFF">
      <w:pPr>
        <w:jc w:val="both"/>
        <w:rPr>
          <w:lang w:val="en-GB"/>
        </w:rPr>
      </w:pPr>
      <w:r w:rsidRPr="005C1EFF">
        <w:rPr>
          <w:lang w:val="en-GB"/>
        </w:rPr>
        <w:t>While thematic profiles illuminate what biobanks choose to study, alignment with global disease burden reveals what remains overlooked. Our findings show that research outputs remain disproportionately concentrated in conditions prevalent in high-income countries</w:t>
      </w:r>
      <w:r>
        <w:rPr>
          <w:lang w:val="en-GB"/>
        </w:rPr>
        <w:t xml:space="preserve">, </w:t>
      </w:r>
      <w:r w:rsidRPr="005C1EFF">
        <w:rPr>
          <w:lang w:val="en-GB"/>
        </w:rPr>
        <w:t>particularly cardiovascular, metabolic, and neurodegenerative disorders. Conditions such as malaria, tuberculosis, diarrheal diseases, and neglected tropical diseases, despite their global health impact, are strikingly underrepresented across all five biobanks (</w:t>
      </w:r>
      <w:r w:rsidRPr="005C1EFF">
        <w:rPr>
          <w:b/>
          <w:lang w:val="en-GB"/>
        </w:rPr>
        <w:t>Figure 4A</w:t>
      </w:r>
      <w:r w:rsidRPr="005C1EFF">
        <w:rPr>
          <w:lang w:val="en-GB"/>
        </w:rPr>
        <w:t>). This imbalance signals missed opportunities to apply biobank-scale, genomically informed methods to urgent public health challenges.</w:t>
      </w:r>
    </w:p>
    <w:p w14:paraId="58E18D5A" w14:textId="794AD38A" w:rsidR="005C1EFF" w:rsidRPr="005C1EFF" w:rsidRDefault="005C1EFF" w:rsidP="005C1EFF">
      <w:pPr>
        <w:jc w:val="both"/>
        <w:rPr>
          <w:lang w:val="en-GB"/>
        </w:rPr>
      </w:pPr>
      <w:r w:rsidRPr="005C1EFF">
        <w:rPr>
          <w:lang w:val="en-GB"/>
        </w:rPr>
        <w:t>The divergence between research intensity and disease burden is partly explained by each biobank’s mandate and design. UK Biobank, while population-based, remains geographically and demographically constrained. MVP and All of Us pursue targeted priorities</w:t>
      </w:r>
      <w:r>
        <w:rPr>
          <w:lang w:val="en-GB"/>
        </w:rPr>
        <w:t xml:space="preserve"> (</w:t>
      </w:r>
      <w:r w:rsidRPr="005C1EFF">
        <w:rPr>
          <w:lang w:val="en-GB"/>
        </w:rPr>
        <w:t>veteran health and inclusivity, respectively</w:t>
      </w:r>
      <w:r>
        <w:rPr>
          <w:lang w:val="en-GB"/>
        </w:rPr>
        <w:t xml:space="preserve">) </w:t>
      </w:r>
      <w:r w:rsidRPr="005C1EFF">
        <w:rPr>
          <w:lang w:val="en-GB"/>
        </w:rPr>
        <w:t xml:space="preserve">but operate within U.S. institutional contexts. None of the five initiatives have an explicit remit to serve the Global South, </w:t>
      </w:r>
      <w:r w:rsidRPr="005C1EFF">
        <w:rPr>
          <w:lang w:val="en-GB"/>
        </w:rPr>
        <w:lastRenderedPageBreak/>
        <w:t>where most neglected conditions are concentrated. Our burden-adjusted research opportunity score (</w:t>
      </w:r>
      <w:r w:rsidRPr="005C1EFF">
        <w:rPr>
          <w:b/>
          <w:lang w:val="en-GB"/>
        </w:rPr>
        <w:t>Figure 4B</w:t>
      </w:r>
      <w:r w:rsidRPr="005C1EFF">
        <w:rPr>
          <w:lang w:val="en-GB"/>
        </w:rPr>
        <w:t>) quantifies this mismatch and identifies concrete areas where each biobank could expand its thematic footprint.</w:t>
      </w:r>
    </w:p>
    <w:p w14:paraId="5FF8A81C" w14:textId="2AE679F2" w:rsidR="005C1EFF" w:rsidRPr="005C1EFF" w:rsidRDefault="005C1EFF" w:rsidP="005C1EFF">
      <w:pPr>
        <w:jc w:val="both"/>
        <w:rPr>
          <w:lang w:val="en-GB"/>
        </w:rPr>
      </w:pPr>
      <w:r w:rsidRPr="005C1EFF">
        <w:rPr>
          <w:lang w:val="en-GB"/>
        </w:rPr>
        <w:t>Aggregated across all 25 diseases</w:t>
      </w:r>
      <w:r>
        <w:rPr>
          <w:lang w:val="en-GB"/>
        </w:rPr>
        <w:t xml:space="preserve"> (c</w:t>
      </w:r>
      <w:r w:rsidRPr="005C1EFF">
        <w:rPr>
          <w:lang w:val="en-GB"/>
        </w:rPr>
        <w:t>hosen to reflect high global burden, broad category representation, and equity relevance</w:t>
      </w:r>
      <w:r>
        <w:rPr>
          <w:lang w:val="en-GB"/>
        </w:rPr>
        <w:t>)</w:t>
      </w:r>
      <w:r w:rsidRPr="005C1EFF">
        <w:rPr>
          <w:lang w:val="en-GB"/>
        </w:rPr>
        <w:t>, the research gap landscape (</w:t>
      </w:r>
      <w:r w:rsidRPr="005C1EFF">
        <w:rPr>
          <w:b/>
          <w:lang w:val="en-GB"/>
        </w:rPr>
        <w:t>Figure 5</w:t>
      </w:r>
      <w:r w:rsidRPr="005C1EFF">
        <w:rPr>
          <w:lang w:val="en-GB"/>
        </w:rPr>
        <w:t>) shows that 16% of conditions represent critical gaps, defined by high DALYs and minimal publication activity. Diarrheal diseases, malaria, tuberculosis, and neglected tropical diseases each carry substantial burden yet remain nearly absent from biobank research. The research intensity analysis (</w:t>
      </w:r>
      <w:r w:rsidRPr="00C90485">
        <w:rPr>
          <w:b/>
          <w:lang w:val="en-GB"/>
        </w:rPr>
        <w:t>Figure 5C</w:t>
      </w:r>
      <w:r w:rsidRPr="005C1EFF">
        <w:rPr>
          <w:lang w:val="en-GB"/>
        </w:rPr>
        <w:t>) further reveals that maternal and child health, injuries, and infectious diseases are systematically deprioritized. These gaps are not only epidemiological blind spots</w:t>
      </w:r>
      <w:r w:rsidR="00C90485">
        <w:rPr>
          <w:lang w:val="en-GB"/>
        </w:rPr>
        <w:t xml:space="preserve">, </w:t>
      </w:r>
      <w:r w:rsidRPr="005C1EFF">
        <w:rPr>
          <w:lang w:val="en-GB"/>
        </w:rPr>
        <w:t>they are symptoms of entrenched disparities in data architecture, cohort accessibility, and research agenda-setting.</w:t>
      </w:r>
    </w:p>
    <w:p w14:paraId="61562205" w14:textId="77777777" w:rsidR="005C1EFF" w:rsidRPr="005C1EFF" w:rsidRDefault="005C1EFF" w:rsidP="005C1EFF">
      <w:pPr>
        <w:jc w:val="both"/>
        <w:rPr>
          <w:lang w:val="en-GB"/>
        </w:rPr>
      </w:pPr>
      <w:r w:rsidRPr="005C1EFF">
        <w:rPr>
          <w:lang w:val="en-GB"/>
        </w:rPr>
        <w:t xml:space="preserve">Our analysis also carries limitations. First, the reliance on </w:t>
      </w:r>
      <w:proofErr w:type="spellStart"/>
      <w:r w:rsidRPr="005C1EFF">
        <w:rPr>
          <w:lang w:val="en-GB"/>
        </w:rPr>
        <w:t>MeSH</w:t>
      </w:r>
      <w:proofErr w:type="spellEnd"/>
      <w:r w:rsidRPr="005C1EFF">
        <w:rPr>
          <w:lang w:val="en-GB"/>
        </w:rPr>
        <w:t xml:space="preserve"> term annotations may underrepresent recent or not-yet-indexed publications and miss cases where disease relevance is implicit rather than explicit. Second, while the </w:t>
      </w:r>
      <w:proofErr w:type="spellStart"/>
      <w:r w:rsidRPr="005C1EFF">
        <w:rPr>
          <w:lang w:val="en-GB"/>
        </w:rPr>
        <w:t>MeSH</w:t>
      </w:r>
      <w:proofErr w:type="spellEnd"/>
      <w:r w:rsidRPr="005C1EFF">
        <w:rPr>
          <w:lang w:val="en-GB"/>
        </w:rPr>
        <w:t>-to-disease mappings were manually curated for precision, they may still overlook multisystem or comorbid presentations. Third, our global burden estimates are derived from DALYs, deaths, and prevalence aggregated at the global level, without regional stratification. Finally, our analysis includes only biobanks with substantial PubMed presence; the inclusion of region-specific or emerging biobanks may alter observed patterns and should be a focus of future work.</w:t>
      </w:r>
    </w:p>
    <w:p w14:paraId="40641094" w14:textId="77777777" w:rsidR="005C1EFF" w:rsidRPr="005C1EFF" w:rsidRDefault="005C1EFF" w:rsidP="005C1EFF">
      <w:pPr>
        <w:jc w:val="both"/>
        <w:rPr>
          <w:lang w:val="en-GB"/>
        </w:rPr>
      </w:pPr>
      <w:r w:rsidRPr="005C1EFF">
        <w:rPr>
          <w:lang w:val="en-GB"/>
        </w:rPr>
        <w:t>Despite these constraints, the semantic and burden-based scoring framework presented here offers a scalable tool for monitoring thematic balance in biomedical research. Metrics such as the research opportunity score could be incorporated into annual reporting, strategic reviews, and data access committee deliberations. Researchers selecting biobanks should be encouraged to consider not just sample size or analytic infrastructure, but the thematic alignment and representational footprint of the resource. Funders, meanwhile, could incentivize coverage of underrepresented conditions, support cross-biobank harmonization, and invest in platforms serving neglected populations.</w:t>
      </w:r>
    </w:p>
    <w:p w14:paraId="62F23999" w14:textId="7DD64423" w:rsidR="0012488E" w:rsidRDefault="005C1EFF" w:rsidP="003F1BE0">
      <w:pPr>
        <w:jc w:val="both"/>
        <w:rPr>
          <w:lang w:val="en-GB"/>
        </w:rPr>
      </w:pPr>
      <w:r w:rsidRPr="005C1EFF">
        <w:rPr>
          <w:lang w:val="en-GB"/>
        </w:rPr>
        <w:t>These findings also raise structural questions about global inclusivity in biobank science. The underrepresentation of diseases endemic to the Global South may reflect deeper inequities in authorship, agenda-setting, and data governance. Initiatives in Latin America, Africa, and Southeast Asia offer a historic opportunity to rebalance the ecosystem</w:t>
      </w:r>
      <w:r w:rsidR="00C90485">
        <w:rPr>
          <w:lang w:val="en-GB"/>
        </w:rPr>
        <w:t xml:space="preserve">, </w:t>
      </w:r>
      <w:r w:rsidRPr="005C1EFF">
        <w:rPr>
          <w:lang w:val="en-GB"/>
        </w:rPr>
        <w:t>provided they are supported by equitable funding, global collaboration frameworks, and robust governance. As biobank-scale research continues to shape the future of precision medicine, ensuring thematic diversity and burden alignment will be essential for realising its full scientific and societal potential</w:t>
      </w:r>
      <w:r w:rsidR="008906E6" w:rsidRPr="008906E6">
        <w:rPr>
          <w:lang w:val="en-GB"/>
        </w:rPr>
        <w:t>.</w:t>
      </w:r>
    </w:p>
    <w:p w14:paraId="2000F4CB" w14:textId="77777777" w:rsidR="00F37B82" w:rsidRPr="008906E6" w:rsidRDefault="00F37B82" w:rsidP="003F1BE0">
      <w:pPr>
        <w:jc w:val="both"/>
        <w:rPr>
          <w:lang w:val="en-GB"/>
        </w:rPr>
      </w:pPr>
    </w:p>
    <w:p w14:paraId="2A5CBCB8" w14:textId="797FD557" w:rsidR="0012488E" w:rsidRDefault="007B455F" w:rsidP="007B455F">
      <w:pPr>
        <w:pStyle w:val="Heading1"/>
        <w:rPr>
          <w:b/>
          <w:bCs/>
        </w:rPr>
      </w:pPr>
      <w:r w:rsidRPr="00522C53">
        <w:rPr>
          <w:b/>
          <w:bCs/>
        </w:rPr>
        <w:lastRenderedPageBreak/>
        <w:t>Conclusions</w:t>
      </w:r>
    </w:p>
    <w:p w14:paraId="1A50AF07" w14:textId="773EAAE6" w:rsidR="00F37B82" w:rsidRPr="00F37B82" w:rsidRDefault="00F37B82" w:rsidP="00F37B82">
      <w:pPr>
        <w:jc w:val="both"/>
        <w:rPr>
          <w:lang w:val="en-GB"/>
        </w:rPr>
      </w:pPr>
      <w:r w:rsidRPr="00F37B82">
        <w:rPr>
          <w:lang w:val="en-GB"/>
        </w:rPr>
        <w:t xml:space="preserve">This analysis of 14,142 publications from five major EHR-linked biobanks </w:t>
      </w:r>
      <w:r w:rsidR="00551CEF">
        <w:rPr>
          <w:lang w:val="en-GB"/>
        </w:rPr>
        <w:t xml:space="preserve">(UK Biobank, Million Veteran Program, </w:t>
      </w:r>
      <w:proofErr w:type="spellStart"/>
      <w:r w:rsidR="00551CEF">
        <w:rPr>
          <w:lang w:val="en-GB"/>
        </w:rPr>
        <w:t>FinnGen</w:t>
      </w:r>
      <w:proofErr w:type="spellEnd"/>
      <w:r w:rsidR="00551CEF">
        <w:rPr>
          <w:lang w:val="en-GB"/>
        </w:rPr>
        <w:t xml:space="preserve">, All of Us, Estonian Biobank) </w:t>
      </w:r>
      <w:r w:rsidRPr="00F37B82">
        <w:rPr>
          <w:lang w:val="en-GB"/>
        </w:rPr>
        <w:t>reveals a rapidly expanding but structurally imbalanced research ecosystem. While biobank-enabled research has experienced unprecedented growth since 2018, profound disparities exist between research attention and global health priorities.</w:t>
      </w:r>
    </w:p>
    <w:p w14:paraId="24576B13" w14:textId="5AD5DE1C" w:rsidR="00F37B82" w:rsidRPr="00F37B82" w:rsidRDefault="00F37B82" w:rsidP="00F37B82">
      <w:pPr>
        <w:jc w:val="both"/>
        <w:rPr>
          <w:lang w:val="en-GB"/>
        </w:rPr>
      </w:pPr>
      <w:r w:rsidRPr="00F37B82">
        <w:rPr>
          <w:lang w:val="en-GB"/>
        </w:rPr>
        <w:t>Our semantic clustering analysis demonstrates that each biobank has developed distinct research signatures</w:t>
      </w:r>
      <w:r w:rsidR="00551CEF">
        <w:rPr>
          <w:lang w:val="en-GB"/>
        </w:rPr>
        <w:t xml:space="preserve">; </w:t>
      </w:r>
      <w:r w:rsidRPr="00F37B82">
        <w:rPr>
          <w:lang w:val="en-GB"/>
        </w:rPr>
        <w:t xml:space="preserve">from UK Biobank's broad methodological scope to </w:t>
      </w:r>
      <w:proofErr w:type="spellStart"/>
      <w:r w:rsidRPr="00F37B82">
        <w:rPr>
          <w:lang w:val="en-GB"/>
        </w:rPr>
        <w:t>FinnGen's</w:t>
      </w:r>
      <w:proofErr w:type="spellEnd"/>
      <w:r w:rsidRPr="00F37B82">
        <w:rPr>
          <w:lang w:val="en-GB"/>
        </w:rPr>
        <w:t xml:space="preserve"> genomic focus and All of </w:t>
      </w:r>
      <w:proofErr w:type="spellStart"/>
      <w:r w:rsidRPr="00F37B82">
        <w:rPr>
          <w:lang w:val="en-GB"/>
        </w:rPr>
        <w:t>Us's</w:t>
      </w:r>
      <w:proofErr w:type="spellEnd"/>
      <w:r w:rsidRPr="00F37B82">
        <w:rPr>
          <w:lang w:val="en-GB"/>
        </w:rPr>
        <w:t xml:space="preserve"> diversity emphasis. However, the burden-adjusted gap analysis exposes a critical weakness: diseases that disproportionately affect populations in low- and middle-income countries remain virtually absent from biobank research. Conditions such as malaria, tuberculosis, diarrheal diseases, and neglected tropical diseases</w:t>
      </w:r>
      <w:r w:rsidR="00551CEF">
        <w:rPr>
          <w:lang w:val="en-GB"/>
        </w:rPr>
        <w:t xml:space="preserve"> (</w:t>
      </w:r>
      <w:r w:rsidRPr="00F37B82">
        <w:rPr>
          <w:lang w:val="en-GB"/>
        </w:rPr>
        <w:t>collectively accounting for over 175 million DALYs</w:t>
      </w:r>
      <w:r w:rsidR="00551CEF">
        <w:rPr>
          <w:lang w:val="en-GB"/>
        </w:rPr>
        <w:t xml:space="preserve">) </w:t>
      </w:r>
      <w:r w:rsidRPr="00F37B82">
        <w:rPr>
          <w:lang w:val="en-GB"/>
        </w:rPr>
        <w:t>have received minimal attention despite substantial global burden.</w:t>
      </w:r>
    </w:p>
    <w:p w14:paraId="48B36EF9" w14:textId="579D2A94" w:rsidR="00F37B82" w:rsidRPr="00F37B82" w:rsidRDefault="00EA526D" w:rsidP="00F37B82">
      <w:pPr>
        <w:jc w:val="both"/>
        <w:rPr>
          <w:lang w:val="en-GB"/>
        </w:rPr>
      </w:pPr>
      <w:r w:rsidRPr="00EA526D">
        <w:rPr>
          <w:lang w:val="en-GB"/>
        </w:rPr>
        <w:t>This thematic misalignment highlights a systemic gap between research capacity and public health need. Even UK Biobank, the most comprehensive in scope, exhibits substantial unrealized potential to address critical global health challenges. The research opportunity scores we developed provide a quantitative basis for identifying and addressing these underrepresented areas across all five biobanks</w:t>
      </w:r>
      <w:r w:rsidR="00F37B82" w:rsidRPr="00F37B82">
        <w:rPr>
          <w:lang w:val="en-GB"/>
        </w:rPr>
        <w:t>.</w:t>
      </w:r>
    </w:p>
    <w:p w14:paraId="09B748E5" w14:textId="5B8EE0E9" w:rsidR="00AF7B60" w:rsidRPr="00AF7B60" w:rsidRDefault="00F37B82" w:rsidP="00F37B82">
      <w:pPr>
        <w:jc w:val="both"/>
        <w:rPr>
          <w:lang w:val="en-GB"/>
        </w:rPr>
      </w:pPr>
      <w:r w:rsidRPr="00F37B82">
        <w:rPr>
          <w:lang w:val="en-GB"/>
        </w:rPr>
        <w:t>The methodological framework presented here</w:t>
      </w:r>
      <w:r w:rsidR="00551CEF">
        <w:rPr>
          <w:lang w:val="en-GB"/>
        </w:rPr>
        <w:t xml:space="preserve"> (</w:t>
      </w:r>
      <w:r w:rsidRPr="00F37B82">
        <w:rPr>
          <w:lang w:val="en-GB"/>
        </w:rPr>
        <w:t xml:space="preserve">combining </w:t>
      </w:r>
      <w:proofErr w:type="spellStart"/>
      <w:r w:rsidRPr="00F37B82">
        <w:rPr>
          <w:lang w:val="en-GB"/>
        </w:rPr>
        <w:t>MeSH</w:t>
      </w:r>
      <w:proofErr w:type="spellEnd"/>
      <w:r w:rsidRPr="00F37B82">
        <w:rPr>
          <w:lang w:val="en-GB"/>
        </w:rPr>
        <w:t>-based semantic clustering with burden-adjusted metrics</w:t>
      </w:r>
      <w:r w:rsidR="00551CEF">
        <w:rPr>
          <w:lang w:val="en-GB"/>
        </w:rPr>
        <w:t xml:space="preserve">) </w:t>
      </w:r>
      <w:r w:rsidRPr="00F37B82">
        <w:rPr>
          <w:lang w:val="en-GB"/>
        </w:rPr>
        <w:t>provides actionable tools for monitoring and improving research equity. As the biobank ecosystem continues to evolve, systematic application of these methods could help ensure that population-scale genomic research serves not only scientific advancement but also urgent global health needs. The rapid growth of biobank science represents one of biomedicine's most significant advances, but its full promise will only be realized when research outputs reflect the global diversity of human health challenges.</w:t>
      </w:r>
    </w:p>
    <w:p w14:paraId="211D8BEA" w14:textId="7A2030ED" w:rsidR="00995CC5" w:rsidRPr="00522C53" w:rsidRDefault="0088520D" w:rsidP="00995CC5">
      <w:pPr>
        <w:jc w:val="both"/>
        <w:rPr>
          <w:b/>
          <w:bCs/>
        </w:rPr>
      </w:pPr>
      <w:r w:rsidRPr="00F37B82">
        <w:rPr>
          <w:rStyle w:val="Heading1Char"/>
          <w:b/>
          <w:bCs/>
          <w:highlight w:val="yellow"/>
        </w:rPr>
        <w:t>Funding</w:t>
      </w:r>
    </w:p>
    <w:p w14:paraId="3463EB51" w14:textId="77777777" w:rsidR="00327A59" w:rsidRPr="00522C53" w:rsidRDefault="00327A59" w:rsidP="00327A59">
      <w:pPr>
        <w:pStyle w:val="Heading1"/>
        <w:rPr>
          <w:b/>
          <w:bCs/>
        </w:rPr>
      </w:pPr>
      <w:r w:rsidRPr="00522C53">
        <w:rPr>
          <w:b/>
          <w:bCs/>
        </w:rPr>
        <w:t>Code Availability</w:t>
      </w:r>
    </w:p>
    <w:p w14:paraId="110404E9" w14:textId="47A4E23F" w:rsidR="00677CC0" w:rsidRPr="00104EE5" w:rsidRDefault="00104EE5" w:rsidP="005161CE">
      <w:pPr>
        <w:jc w:val="both"/>
        <w:rPr>
          <w:lang w:val="en-GB"/>
        </w:rPr>
      </w:pPr>
      <w:r w:rsidRPr="00104EE5">
        <w:rPr>
          <w:lang w:val="en-GB"/>
        </w:rPr>
        <w:t xml:space="preserve">All data and code used in this study are publicly available via the GitHub repository: </w:t>
      </w:r>
      <w:hyperlink r:id="rId14" w:tgtFrame="_new" w:history="1">
        <w:r w:rsidRPr="00104EE5">
          <w:rPr>
            <w:rStyle w:val="Hyperlink"/>
            <w:lang w:val="en-GB"/>
          </w:rPr>
          <w:t>https://github.com/manuelcorpas/17-EHR</w:t>
        </w:r>
      </w:hyperlink>
      <w:r w:rsidRPr="00104EE5">
        <w:rPr>
          <w:lang w:val="en-GB"/>
        </w:rPr>
        <w:t xml:space="preserve">. The repository includes Python scripts for PubMed data retrieval, </w:t>
      </w:r>
      <w:proofErr w:type="spellStart"/>
      <w:r w:rsidRPr="00104EE5">
        <w:rPr>
          <w:lang w:val="en-GB"/>
        </w:rPr>
        <w:t>MeSH</w:t>
      </w:r>
      <w:proofErr w:type="spellEnd"/>
      <w:r w:rsidRPr="00104EE5">
        <w:rPr>
          <w:lang w:val="en-GB"/>
        </w:rPr>
        <w:t xml:space="preserve"> term extraction, TF-IDF vectorization, unsupervised clustering, and dimensionality reduction via PCA and UMAP. It also contains the curated corpus of 14,142 peer-reviewed biobank-linked publications used in the analysis, along with manually validated </w:t>
      </w:r>
      <w:proofErr w:type="spellStart"/>
      <w:r w:rsidRPr="00104EE5">
        <w:rPr>
          <w:lang w:val="en-GB"/>
        </w:rPr>
        <w:t>MeSH</w:t>
      </w:r>
      <w:proofErr w:type="spellEnd"/>
      <w:r w:rsidRPr="00104EE5">
        <w:rPr>
          <w:lang w:val="en-GB"/>
        </w:rPr>
        <w:t xml:space="preserve">-to-disease mappings. The </w:t>
      </w:r>
      <w:r>
        <w:rPr>
          <w:lang w:val="en-GB"/>
        </w:rPr>
        <w:t>source</w:t>
      </w:r>
      <w:r w:rsidRPr="00104EE5">
        <w:rPr>
          <w:lang w:val="en-GB"/>
        </w:rPr>
        <w:t xml:space="preserve"> Global Burden of </w:t>
      </w:r>
      <w:r w:rsidRPr="00104EE5">
        <w:rPr>
          <w:lang w:val="en-GB"/>
        </w:rPr>
        <w:lastRenderedPageBreak/>
        <w:t xml:space="preserve">Disease (GBD) 2021 CSV </w:t>
      </w:r>
      <w:r>
        <w:rPr>
          <w:lang w:val="en-GB"/>
        </w:rPr>
        <w:t xml:space="preserve">file </w:t>
      </w:r>
      <w:r w:rsidRPr="00104EE5">
        <w:rPr>
          <w:lang w:val="en-GB"/>
        </w:rPr>
        <w:t>containing DALY, mortality, and prevalence estimates for the 25 diseases assessed</w:t>
      </w:r>
      <w:r>
        <w:rPr>
          <w:lang w:val="en-GB"/>
        </w:rPr>
        <w:t xml:space="preserve"> is provided (please note GBD licensing terms apply)</w:t>
      </w:r>
      <w:r w:rsidRPr="00104EE5">
        <w:rPr>
          <w:lang w:val="en-GB"/>
        </w:rPr>
        <w:t>. Additionally, the repository includes the complete codebase for computing burden-adjusted research gap scores and biobank-specific opportunity indices. All components are licensed under the MIT License and may be freely reused or adapted for academic and non-commercial purposes. Full documentation is provided to support reproducibility and collaborative development</w:t>
      </w:r>
      <w:r w:rsidR="00327A59" w:rsidRPr="00522C53">
        <w:t>.</w:t>
      </w:r>
    </w:p>
    <w:p w14:paraId="5B5416F2" w14:textId="7A0F5B0C" w:rsidR="00CD0AEE" w:rsidRPr="00522C53" w:rsidRDefault="007B455F" w:rsidP="005161CE">
      <w:pPr>
        <w:pStyle w:val="Heading1"/>
        <w:jc w:val="both"/>
        <w:rPr>
          <w:b/>
          <w:bCs/>
        </w:rPr>
      </w:pPr>
      <w:r w:rsidRPr="00522C53">
        <w:rPr>
          <w:b/>
          <w:bCs/>
        </w:rPr>
        <w:t>References</w:t>
      </w:r>
    </w:p>
    <w:p w14:paraId="153E5187" w14:textId="77777777" w:rsidR="003E0192" w:rsidRPr="003E0192" w:rsidRDefault="003E0192" w:rsidP="003E0192">
      <w:pPr>
        <w:pStyle w:val="Bibliography"/>
        <w:rPr>
          <w:rFonts w:ascii="Aptos"/>
        </w:rPr>
      </w:pPr>
      <w:r>
        <w:fldChar w:fldCharType="begin"/>
      </w:r>
      <w:r>
        <w:instrText xml:space="preserve"> ADDIN ZOTERO_BIBL {"uncited":[],"omitted":[],"custom":[]} CSL_BIBLIOGRAPHY </w:instrText>
      </w:r>
      <w:r>
        <w:fldChar w:fldCharType="separate"/>
      </w:r>
      <w:r w:rsidRPr="003E0192">
        <w:rPr>
          <w:rFonts w:ascii="Aptos"/>
        </w:rPr>
        <w:t>1.</w:t>
      </w:r>
      <w:r w:rsidRPr="003E0192">
        <w:rPr>
          <w:rFonts w:ascii="Aptos"/>
        </w:rPr>
        <w:tab/>
        <w:t xml:space="preserve">Beesley, L. J. </w:t>
      </w:r>
      <w:r w:rsidRPr="003E0192">
        <w:rPr>
          <w:rFonts w:ascii="Aptos"/>
          <w:i/>
          <w:iCs/>
        </w:rPr>
        <w:t>et al.</w:t>
      </w:r>
      <w:r w:rsidRPr="003E0192">
        <w:rPr>
          <w:rFonts w:ascii="Aptos"/>
        </w:rPr>
        <w:t xml:space="preserve"> The Emerging Landscape of Health Research Based on Biobanks Linked to Electronic Health Records: Existing Resources, Statistical Challenges and Potential Opportunities. </w:t>
      </w:r>
      <w:r w:rsidRPr="003E0192">
        <w:rPr>
          <w:rFonts w:ascii="Aptos"/>
          <w:i/>
          <w:iCs/>
        </w:rPr>
        <w:t>Stat Med</w:t>
      </w:r>
      <w:r w:rsidRPr="003E0192">
        <w:rPr>
          <w:rFonts w:ascii="Aptos"/>
        </w:rPr>
        <w:t xml:space="preserve"> </w:t>
      </w:r>
      <w:r w:rsidRPr="003E0192">
        <w:rPr>
          <w:rFonts w:ascii="Aptos"/>
          <w:b/>
          <w:bCs/>
        </w:rPr>
        <w:t>39</w:t>
      </w:r>
      <w:r w:rsidRPr="003E0192">
        <w:rPr>
          <w:rFonts w:ascii="Aptos"/>
        </w:rPr>
        <w:t>, 773–800 (2020).</w:t>
      </w:r>
    </w:p>
    <w:p w14:paraId="12CA5A06" w14:textId="77777777" w:rsidR="003E0192" w:rsidRPr="003E0192" w:rsidRDefault="003E0192" w:rsidP="003E0192">
      <w:pPr>
        <w:pStyle w:val="Bibliography"/>
        <w:rPr>
          <w:rFonts w:ascii="Aptos"/>
        </w:rPr>
      </w:pPr>
      <w:r w:rsidRPr="003E0192">
        <w:rPr>
          <w:rFonts w:ascii="Aptos"/>
        </w:rPr>
        <w:t>2.</w:t>
      </w:r>
      <w:r w:rsidRPr="003E0192">
        <w:rPr>
          <w:rFonts w:ascii="Aptos"/>
        </w:rPr>
        <w:tab/>
        <w:t xml:space="preserve">Lee, H. </w:t>
      </w:r>
      <w:r w:rsidRPr="003E0192">
        <w:rPr>
          <w:rFonts w:ascii="Aptos"/>
          <w:i/>
          <w:iCs/>
        </w:rPr>
        <w:t>et al.</w:t>
      </w:r>
      <w:r w:rsidRPr="003E0192">
        <w:rPr>
          <w:rFonts w:ascii="Aptos"/>
        </w:rPr>
        <w:t xml:space="preserve"> Lessons from national biobank projects utilizing whole-genome sequencing for population-scale genomics. </w:t>
      </w:r>
      <w:r w:rsidRPr="003E0192">
        <w:rPr>
          <w:rFonts w:ascii="Aptos"/>
          <w:i/>
          <w:iCs/>
        </w:rPr>
        <w:t>Genomics &amp; Informatics</w:t>
      </w:r>
      <w:r w:rsidRPr="003E0192">
        <w:rPr>
          <w:rFonts w:ascii="Aptos"/>
        </w:rPr>
        <w:t xml:space="preserve"> </w:t>
      </w:r>
      <w:r w:rsidRPr="003E0192">
        <w:rPr>
          <w:rFonts w:ascii="Aptos"/>
          <w:b/>
          <w:bCs/>
        </w:rPr>
        <w:t>23</w:t>
      </w:r>
      <w:r w:rsidRPr="003E0192">
        <w:rPr>
          <w:rFonts w:ascii="Aptos"/>
        </w:rPr>
        <w:t>, 8 (2025).</w:t>
      </w:r>
    </w:p>
    <w:p w14:paraId="77EC5192" w14:textId="77777777" w:rsidR="003E0192" w:rsidRPr="003E0192" w:rsidRDefault="003E0192" w:rsidP="003E0192">
      <w:pPr>
        <w:pStyle w:val="Bibliography"/>
        <w:rPr>
          <w:rFonts w:ascii="Aptos"/>
        </w:rPr>
      </w:pPr>
      <w:r w:rsidRPr="003E0192">
        <w:rPr>
          <w:rFonts w:ascii="Aptos"/>
        </w:rPr>
        <w:t>3.</w:t>
      </w:r>
      <w:r w:rsidRPr="003E0192">
        <w:rPr>
          <w:rFonts w:ascii="Aptos"/>
        </w:rPr>
        <w:tab/>
        <w:t xml:space="preserve">Beesley, L. J. </w:t>
      </w:r>
      <w:r w:rsidRPr="003E0192">
        <w:rPr>
          <w:rFonts w:ascii="Aptos"/>
          <w:i/>
          <w:iCs/>
        </w:rPr>
        <w:t>et al.</w:t>
      </w:r>
      <w:r w:rsidRPr="003E0192">
        <w:rPr>
          <w:rFonts w:ascii="Aptos"/>
        </w:rPr>
        <w:t xml:space="preserve"> The emerging landscape of health research based on biobanks linked to electronic health records: Existing resources, statistical challenges, and potential opportunities. </w:t>
      </w:r>
      <w:r w:rsidRPr="003E0192">
        <w:rPr>
          <w:rFonts w:ascii="Aptos"/>
          <w:i/>
          <w:iCs/>
        </w:rPr>
        <w:t>Stat Med</w:t>
      </w:r>
      <w:r w:rsidRPr="003E0192">
        <w:rPr>
          <w:rFonts w:ascii="Aptos"/>
        </w:rPr>
        <w:t xml:space="preserve"> </w:t>
      </w:r>
      <w:r w:rsidRPr="003E0192">
        <w:rPr>
          <w:rFonts w:ascii="Aptos"/>
          <w:b/>
          <w:bCs/>
        </w:rPr>
        <w:t>39</w:t>
      </w:r>
      <w:r w:rsidRPr="003E0192">
        <w:rPr>
          <w:rFonts w:ascii="Aptos"/>
        </w:rPr>
        <w:t>, 773–800 (2020).</w:t>
      </w:r>
    </w:p>
    <w:p w14:paraId="4002537D" w14:textId="77777777" w:rsidR="003E0192" w:rsidRPr="003E0192" w:rsidRDefault="003E0192" w:rsidP="003E0192">
      <w:pPr>
        <w:pStyle w:val="Bibliography"/>
        <w:rPr>
          <w:rFonts w:ascii="Aptos"/>
        </w:rPr>
      </w:pPr>
      <w:r w:rsidRPr="003E0192">
        <w:rPr>
          <w:rFonts w:ascii="Aptos"/>
        </w:rPr>
        <w:t>4.</w:t>
      </w:r>
      <w:r w:rsidRPr="003E0192">
        <w:rPr>
          <w:rFonts w:ascii="Aptos"/>
        </w:rPr>
        <w:tab/>
        <w:t xml:space="preserve">Linder, J. E., Bastarache, L., Hughey, J. J. &amp; Peterson, J. F. The Role of Electronic Health Records in Advancing Genomic Medicine. </w:t>
      </w:r>
      <w:r w:rsidRPr="003E0192">
        <w:rPr>
          <w:rFonts w:ascii="Aptos"/>
          <w:i/>
          <w:iCs/>
        </w:rPr>
        <w:t>Annu Rev Genomics Hum Genet</w:t>
      </w:r>
      <w:r w:rsidRPr="003E0192">
        <w:rPr>
          <w:rFonts w:ascii="Aptos"/>
        </w:rPr>
        <w:t xml:space="preserve"> </w:t>
      </w:r>
      <w:r w:rsidRPr="003E0192">
        <w:rPr>
          <w:rFonts w:ascii="Aptos"/>
          <w:b/>
          <w:bCs/>
        </w:rPr>
        <w:t>22</w:t>
      </w:r>
      <w:r w:rsidRPr="003E0192">
        <w:rPr>
          <w:rFonts w:ascii="Aptos"/>
        </w:rPr>
        <w:t>, 219–238 (2021).</w:t>
      </w:r>
    </w:p>
    <w:p w14:paraId="3449A938" w14:textId="77777777" w:rsidR="003E0192" w:rsidRPr="003E0192" w:rsidRDefault="003E0192" w:rsidP="003E0192">
      <w:pPr>
        <w:pStyle w:val="Bibliography"/>
        <w:rPr>
          <w:rFonts w:ascii="Aptos"/>
        </w:rPr>
      </w:pPr>
      <w:r w:rsidRPr="003E0192">
        <w:rPr>
          <w:rFonts w:ascii="Aptos"/>
        </w:rPr>
        <w:t>5.</w:t>
      </w:r>
      <w:r w:rsidRPr="003E0192">
        <w:rPr>
          <w:rFonts w:ascii="Aptos"/>
        </w:rPr>
        <w:tab/>
        <w:t xml:space="preserve">Krebs, K. &amp; Milani, L. Harnessing the Power of Electronic Health Records and Genomics for Drug Discovery. </w:t>
      </w:r>
      <w:r w:rsidRPr="003E0192">
        <w:rPr>
          <w:rFonts w:ascii="Aptos"/>
          <w:i/>
          <w:iCs/>
        </w:rPr>
        <w:t>Annu Rev Pharmacol Toxicol</w:t>
      </w:r>
      <w:r w:rsidRPr="003E0192">
        <w:rPr>
          <w:rFonts w:ascii="Aptos"/>
        </w:rPr>
        <w:t xml:space="preserve"> </w:t>
      </w:r>
      <w:r w:rsidRPr="003E0192">
        <w:rPr>
          <w:rFonts w:ascii="Aptos"/>
          <w:b/>
          <w:bCs/>
        </w:rPr>
        <w:t>63</w:t>
      </w:r>
      <w:r w:rsidRPr="003E0192">
        <w:rPr>
          <w:rFonts w:ascii="Aptos"/>
        </w:rPr>
        <w:t>, 65–76 (2023).</w:t>
      </w:r>
    </w:p>
    <w:p w14:paraId="08ED95C6" w14:textId="77777777" w:rsidR="003E0192" w:rsidRPr="003E0192" w:rsidRDefault="003E0192" w:rsidP="003E0192">
      <w:pPr>
        <w:pStyle w:val="Bibliography"/>
        <w:rPr>
          <w:rFonts w:ascii="Aptos"/>
        </w:rPr>
      </w:pPr>
      <w:r w:rsidRPr="003E0192">
        <w:rPr>
          <w:rFonts w:ascii="Aptos"/>
        </w:rPr>
        <w:t>6.</w:t>
      </w:r>
      <w:r w:rsidRPr="003E0192">
        <w:rPr>
          <w:rFonts w:ascii="Aptos"/>
        </w:rPr>
        <w:tab/>
        <w:t xml:space="preserve">Kinkorová, J. Biobanks in the era of personalized medicine: objectives, challenges, and innovation. </w:t>
      </w:r>
      <w:r w:rsidRPr="003E0192">
        <w:rPr>
          <w:rFonts w:ascii="Aptos"/>
          <w:i/>
          <w:iCs/>
        </w:rPr>
        <w:t>EPMA J</w:t>
      </w:r>
      <w:r w:rsidRPr="003E0192">
        <w:rPr>
          <w:rFonts w:ascii="Aptos"/>
        </w:rPr>
        <w:t xml:space="preserve"> </w:t>
      </w:r>
      <w:r w:rsidRPr="003E0192">
        <w:rPr>
          <w:rFonts w:ascii="Aptos"/>
          <w:b/>
          <w:bCs/>
        </w:rPr>
        <w:t>7</w:t>
      </w:r>
      <w:r w:rsidRPr="003E0192">
        <w:rPr>
          <w:rFonts w:ascii="Aptos"/>
        </w:rPr>
        <w:t>, 4 (2016).</w:t>
      </w:r>
    </w:p>
    <w:p w14:paraId="1D978AE6" w14:textId="77777777" w:rsidR="003E0192" w:rsidRPr="003E0192" w:rsidRDefault="003E0192" w:rsidP="003E0192">
      <w:pPr>
        <w:pStyle w:val="Bibliography"/>
        <w:rPr>
          <w:rFonts w:ascii="Aptos"/>
        </w:rPr>
      </w:pPr>
      <w:r w:rsidRPr="003E0192">
        <w:rPr>
          <w:rFonts w:ascii="Aptos"/>
        </w:rPr>
        <w:t>7.</w:t>
      </w:r>
      <w:r w:rsidRPr="003E0192">
        <w:rPr>
          <w:rFonts w:ascii="Aptos"/>
        </w:rPr>
        <w:tab/>
        <w:t xml:space="preserve">Valenti, A. </w:t>
      </w:r>
      <w:r w:rsidRPr="003E0192">
        <w:rPr>
          <w:rFonts w:ascii="Aptos"/>
          <w:i/>
          <w:iCs/>
        </w:rPr>
        <w:t>et al.</w:t>
      </w:r>
      <w:r w:rsidRPr="003E0192">
        <w:rPr>
          <w:rFonts w:ascii="Aptos"/>
        </w:rPr>
        <w:t xml:space="preserve"> Biobanks as an Indispensable Tool in the “Era” of Precision Medicine: Key Role in the Management of Complex Diseases, Such as Melanoma. </w:t>
      </w:r>
      <w:r w:rsidRPr="003E0192">
        <w:rPr>
          <w:rFonts w:ascii="Aptos"/>
          <w:i/>
          <w:iCs/>
        </w:rPr>
        <w:t>J Pers Med</w:t>
      </w:r>
      <w:r w:rsidRPr="003E0192">
        <w:rPr>
          <w:rFonts w:ascii="Aptos"/>
        </w:rPr>
        <w:t xml:space="preserve"> </w:t>
      </w:r>
      <w:r w:rsidRPr="003E0192">
        <w:rPr>
          <w:rFonts w:ascii="Aptos"/>
          <w:b/>
          <w:bCs/>
        </w:rPr>
        <w:t>14</w:t>
      </w:r>
      <w:r w:rsidRPr="003E0192">
        <w:rPr>
          <w:rFonts w:ascii="Aptos"/>
        </w:rPr>
        <w:t>, 731 (2024).</w:t>
      </w:r>
    </w:p>
    <w:p w14:paraId="59B85559" w14:textId="77777777" w:rsidR="003E0192" w:rsidRPr="003E0192" w:rsidRDefault="003E0192" w:rsidP="003E0192">
      <w:pPr>
        <w:pStyle w:val="Bibliography"/>
        <w:rPr>
          <w:rFonts w:ascii="Aptos"/>
        </w:rPr>
      </w:pPr>
      <w:r w:rsidRPr="003E0192">
        <w:rPr>
          <w:rFonts w:ascii="Aptos"/>
        </w:rPr>
        <w:lastRenderedPageBreak/>
        <w:t>8.</w:t>
      </w:r>
      <w:r w:rsidRPr="003E0192">
        <w:rPr>
          <w:rFonts w:ascii="Aptos"/>
        </w:rPr>
        <w:tab/>
        <w:t xml:space="preserve">Lin, J.-C., Liu, Y.-L., Hsiao, W. W.-W. &amp; Fan, C.-T. Integrating population-based biobanks: Catalyst for advances in precision health. </w:t>
      </w:r>
      <w:r w:rsidRPr="003E0192">
        <w:rPr>
          <w:rFonts w:ascii="Aptos"/>
          <w:i/>
          <w:iCs/>
        </w:rPr>
        <w:t>Computational and Structural Biotechnology Journal</w:t>
      </w:r>
      <w:r w:rsidRPr="003E0192">
        <w:rPr>
          <w:rFonts w:ascii="Aptos"/>
        </w:rPr>
        <w:t xml:space="preserve"> </w:t>
      </w:r>
      <w:r w:rsidRPr="003E0192">
        <w:rPr>
          <w:rFonts w:ascii="Aptos"/>
          <w:b/>
          <w:bCs/>
        </w:rPr>
        <w:t>24</w:t>
      </w:r>
      <w:r w:rsidRPr="003E0192">
        <w:rPr>
          <w:rFonts w:ascii="Aptos"/>
        </w:rPr>
        <w:t>, 690–698 (2024).</w:t>
      </w:r>
    </w:p>
    <w:p w14:paraId="0FAF0F3A" w14:textId="77777777" w:rsidR="003E0192" w:rsidRPr="003E0192" w:rsidRDefault="003E0192" w:rsidP="003E0192">
      <w:pPr>
        <w:pStyle w:val="Bibliography"/>
        <w:rPr>
          <w:rFonts w:ascii="Aptos"/>
        </w:rPr>
      </w:pPr>
      <w:r w:rsidRPr="003E0192">
        <w:rPr>
          <w:rFonts w:ascii="Aptos"/>
        </w:rPr>
        <w:t>9.</w:t>
      </w:r>
      <w:r w:rsidRPr="003E0192">
        <w:rPr>
          <w:rFonts w:ascii="Aptos"/>
        </w:rPr>
        <w:tab/>
        <w:t xml:space="preserve">Sudlow, C. </w:t>
      </w:r>
      <w:r w:rsidRPr="003E0192">
        <w:rPr>
          <w:rFonts w:ascii="Aptos"/>
          <w:i/>
          <w:iCs/>
        </w:rPr>
        <w:t>et al.</w:t>
      </w:r>
      <w:r w:rsidRPr="003E0192">
        <w:rPr>
          <w:rFonts w:ascii="Aptos"/>
        </w:rPr>
        <w:t xml:space="preserve"> UK biobank: an open access resource for identifying the causes of a wide range of complex diseases of middle and old age. </w:t>
      </w:r>
      <w:r w:rsidRPr="003E0192">
        <w:rPr>
          <w:rFonts w:ascii="Aptos"/>
          <w:i/>
          <w:iCs/>
        </w:rPr>
        <w:t>PLoS Med.</w:t>
      </w:r>
      <w:r w:rsidRPr="003E0192">
        <w:rPr>
          <w:rFonts w:ascii="Aptos"/>
        </w:rPr>
        <w:t xml:space="preserve"> </w:t>
      </w:r>
      <w:r w:rsidRPr="003E0192">
        <w:rPr>
          <w:rFonts w:ascii="Aptos"/>
          <w:b/>
          <w:bCs/>
        </w:rPr>
        <w:t>12</w:t>
      </w:r>
      <w:r w:rsidRPr="003E0192">
        <w:rPr>
          <w:rFonts w:ascii="Aptos"/>
        </w:rPr>
        <w:t>, e1001779 (2015).</w:t>
      </w:r>
    </w:p>
    <w:p w14:paraId="49E7DA05" w14:textId="77777777" w:rsidR="003E0192" w:rsidRPr="003E0192" w:rsidRDefault="003E0192" w:rsidP="003E0192">
      <w:pPr>
        <w:pStyle w:val="Bibliography"/>
        <w:rPr>
          <w:rFonts w:ascii="Aptos"/>
        </w:rPr>
      </w:pPr>
      <w:r w:rsidRPr="003E0192">
        <w:rPr>
          <w:rFonts w:ascii="Aptos"/>
        </w:rPr>
        <w:t>10.</w:t>
      </w:r>
      <w:r w:rsidRPr="003E0192">
        <w:rPr>
          <w:rFonts w:ascii="Aptos"/>
        </w:rPr>
        <w:tab/>
        <w:t xml:space="preserve">Bycroft, C. </w:t>
      </w:r>
      <w:r w:rsidRPr="003E0192">
        <w:rPr>
          <w:rFonts w:ascii="Aptos"/>
          <w:i/>
          <w:iCs/>
        </w:rPr>
        <w:t>et al.</w:t>
      </w:r>
      <w:r w:rsidRPr="003E0192">
        <w:rPr>
          <w:rFonts w:ascii="Aptos"/>
        </w:rPr>
        <w:t xml:space="preserve"> The UK Biobank resource with deep phenotyping and genomic data. </w:t>
      </w:r>
      <w:r w:rsidRPr="003E0192">
        <w:rPr>
          <w:rFonts w:ascii="Aptos"/>
          <w:i/>
          <w:iCs/>
        </w:rPr>
        <w:t>Nature</w:t>
      </w:r>
      <w:r w:rsidRPr="003E0192">
        <w:rPr>
          <w:rFonts w:ascii="Aptos"/>
        </w:rPr>
        <w:t xml:space="preserve"> </w:t>
      </w:r>
      <w:r w:rsidRPr="003E0192">
        <w:rPr>
          <w:rFonts w:ascii="Aptos"/>
          <w:b/>
          <w:bCs/>
        </w:rPr>
        <w:t>562</w:t>
      </w:r>
      <w:r w:rsidRPr="003E0192">
        <w:rPr>
          <w:rFonts w:ascii="Aptos"/>
        </w:rPr>
        <w:t>, 203–209 (2018).</w:t>
      </w:r>
    </w:p>
    <w:p w14:paraId="5EA3C343" w14:textId="77777777" w:rsidR="003E0192" w:rsidRPr="003E0192" w:rsidRDefault="003E0192" w:rsidP="003E0192">
      <w:pPr>
        <w:pStyle w:val="Bibliography"/>
        <w:rPr>
          <w:rFonts w:ascii="Aptos"/>
        </w:rPr>
      </w:pPr>
      <w:r w:rsidRPr="003E0192">
        <w:rPr>
          <w:rFonts w:ascii="Aptos"/>
        </w:rPr>
        <w:t>11.</w:t>
      </w:r>
      <w:r w:rsidRPr="003E0192">
        <w:rPr>
          <w:rFonts w:ascii="Aptos"/>
        </w:rPr>
        <w:tab/>
        <w:t xml:space="preserve">Gaziano, J. M. </w:t>
      </w:r>
      <w:r w:rsidRPr="003E0192">
        <w:rPr>
          <w:rFonts w:ascii="Aptos"/>
          <w:i/>
          <w:iCs/>
        </w:rPr>
        <w:t>et al.</w:t>
      </w:r>
      <w:r w:rsidRPr="003E0192">
        <w:rPr>
          <w:rFonts w:ascii="Aptos"/>
        </w:rPr>
        <w:t xml:space="preserve"> Million Veteran Program: A mega-biobank to study genetic influences on health and disease. </w:t>
      </w:r>
      <w:r w:rsidRPr="003E0192">
        <w:rPr>
          <w:rFonts w:ascii="Aptos"/>
          <w:i/>
          <w:iCs/>
        </w:rPr>
        <w:t>J Clin Epidemiol</w:t>
      </w:r>
      <w:r w:rsidRPr="003E0192">
        <w:rPr>
          <w:rFonts w:ascii="Aptos"/>
        </w:rPr>
        <w:t xml:space="preserve"> </w:t>
      </w:r>
      <w:r w:rsidRPr="003E0192">
        <w:rPr>
          <w:rFonts w:ascii="Aptos"/>
          <w:b/>
          <w:bCs/>
        </w:rPr>
        <w:t>70</w:t>
      </w:r>
      <w:r w:rsidRPr="003E0192">
        <w:rPr>
          <w:rFonts w:ascii="Aptos"/>
        </w:rPr>
        <w:t>, 214–223 (2016).</w:t>
      </w:r>
    </w:p>
    <w:p w14:paraId="4B86CC30" w14:textId="77777777" w:rsidR="003E0192" w:rsidRPr="003E0192" w:rsidRDefault="003E0192" w:rsidP="003E0192">
      <w:pPr>
        <w:pStyle w:val="Bibliography"/>
        <w:rPr>
          <w:rFonts w:ascii="Aptos"/>
        </w:rPr>
      </w:pPr>
      <w:r w:rsidRPr="003E0192">
        <w:rPr>
          <w:rFonts w:ascii="Aptos"/>
        </w:rPr>
        <w:t>12.</w:t>
      </w:r>
      <w:r w:rsidRPr="003E0192">
        <w:rPr>
          <w:rFonts w:ascii="Aptos"/>
        </w:rPr>
        <w:tab/>
        <w:t xml:space="preserve">Kurki, M. I. </w:t>
      </w:r>
      <w:r w:rsidRPr="003E0192">
        <w:rPr>
          <w:rFonts w:ascii="Aptos"/>
          <w:i/>
          <w:iCs/>
        </w:rPr>
        <w:t>et al.</w:t>
      </w:r>
      <w:r w:rsidRPr="003E0192">
        <w:rPr>
          <w:rFonts w:ascii="Aptos"/>
        </w:rPr>
        <w:t xml:space="preserve"> FinnGen provides genetic insights from a well-phenotyped isolated population. </w:t>
      </w:r>
      <w:r w:rsidRPr="003E0192">
        <w:rPr>
          <w:rFonts w:ascii="Aptos"/>
          <w:i/>
          <w:iCs/>
        </w:rPr>
        <w:t>Nature</w:t>
      </w:r>
      <w:r w:rsidRPr="003E0192">
        <w:rPr>
          <w:rFonts w:ascii="Aptos"/>
        </w:rPr>
        <w:t xml:space="preserve"> </w:t>
      </w:r>
      <w:r w:rsidRPr="003E0192">
        <w:rPr>
          <w:rFonts w:ascii="Aptos"/>
          <w:b/>
          <w:bCs/>
        </w:rPr>
        <w:t>613</w:t>
      </w:r>
      <w:r w:rsidRPr="003E0192">
        <w:rPr>
          <w:rFonts w:ascii="Aptos"/>
        </w:rPr>
        <w:t>, 508–518 (2023).</w:t>
      </w:r>
    </w:p>
    <w:p w14:paraId="0D542807" w14:textId="77777777" w:rsidR="003E0192" w:rsidRPr="003E0192" w:rsidRDefault="003E0192" w:rsidP="003E0192">
      <w:pPr>
        <w:pStyle w:val="Bibliography"/>
        <w:rPr>
          <w:rFonts w:ascii="Aptos"/>
        </w:rPr>
      </w:pPr>
      <w:r w:rsidRPr="003E0192">
        <w:rPr>
          <w:rFonts w:ascii="Aptos"/>
        </w:rPr>
        <w:t>13.</w:t>
      </w:r>
      <w:r w:rsidRPr="003E0192">
        <w:rPr>
          <w:rFonts w:ascii="Aptos"/>
        </w:rPr>
        <w:tab/>
        <w:t xml:space="preserve">null,  null. The “All of Us” Research Program. </w:t>
      </w:r>
      <w:r w:rsidRPr="003E0192">
        <w:rPr>
          <w:rFonts w:ascii="Aptos"/>
          <w:i/>
          <w:iCs/>
        </w:rPr>
        <w:t>New England Journal of Medicine</w:t>
      </w:r>
      <w:r w:rsidRPr="003E0192">
        <w:rPr>
          <w:rFonts w:ascii="Aptos"/>
        </w:rPr>
        <w:t xml:space="preserve"> </w:t>
      </w:r>
      <w:r w:rsidRPr="003E0192">
        <w:rPr>
          <w:rFonts w:ascii="Aptos"/>
          <w:b/>
          <w:bCs/>
        </w:rPr>
        <w:t>381</w:t>
      </w:r>
      <w:r w:rsidRPr="003E0192">
        <w:rPr>
          <w:rFonts w:ascii="Aptos"/>
        </w:rPr>
        <w:t>, 668–676 (2019).</w:t>
      </w:r>
    </w:p>
    <w:p w14:paraId="70905F2B" w14:textId="77777777" w:rsidR="003E0192" w:rsidRPr="003E0192" w:rsidRDefault="003E0192" w:rsidP="003E0192">
      <w:pPr>
        <w:pStyle w:val="Bibliography"/>
        <w:rPr>
          <w:rFonts w:ascii="Aptos"/>
        </w:rPr>
      </w:pPr>
      <w:r w:rsidRPr="003E0192">
        <w:rPr>
          <w:rFonts w:ascii="Aptos"/>
        </w:rPr>
        <w:t>14.</w:t>
      </w:r>
      <w:r w:rsidRPr="003E0192">
        <w:rPr>
          <w:rFonts w:ascii="Aptos"/>
        </w:rPr>
        <w:tab/>
        <w:t xml:space="preserve">Bick, A. G. </w:t>
      </w:r>
      <w:r w:rsidRPr="003E0192">
        <w:rPr>
          <w:rFonts w:ascii="Aptos"/>
          <w:i/>
          <w:iCs/>
        </w:rPr>
        <w:t>et al.</w:t>
      </w:r>
      <w:r w:rsidRPr="003E0192">
        <w:rPr>
          <w:rFonts w:ascii="Aptos"/>
        </w:rPr>
        <w:t xml:space="preserve"> Genomic data in the All of Us Research Program. </w:t>
      </w:r>
      <w:r w:rsidRPr="003E0192">
        <w:rPr>
          <w:rFonts w:ascii="Aptos"/>
          <w:i/>
          <w:iCs/>
        </w:rPr>
        <w:t>Nature</w:t>
      </w:r>
      <w:r w:rsidRPr="003E0192">
        <w:rPr>
          <w:rFonts w:ascii="Aptos"/>
        </w:rPr>
        <w:t xml:space="preserve"> </w:t>
      </w:r>
      <w:r w:rsidRPr="003E0192">
        <w:rPr>
          <w:rFonts w:ascii="Aptos"/>
          <w:b/>
          <w:bCs/>
        </w:rPr>
        <w:t>627</w:t>
      </w:r>
      <w:r w:rsidRPr="003E0192">
        <w:rPr>
          <w:rFonts w:ascii="Aptos"/>
        </w:rPr>
        <w:t>, 340–346 (2024).</w:t>
      </w:r>
    </w:p>
    <w:p w14:paraId="6D9FF186" w14:textId="77777777" w:rsidR="003E0192" w:rsidRPr="003E0192" w:rsidRDefault="003E0192" w:rsidP="003E0192">
      <w:pPr>
        <w:pStyle w:val="Bibliography"/>
        <w:rPr>
          <w:rFonts w:ascii="Aptos"/>
        </w:rPr>
      </w:pPr>
      <w:r w:rsidRPr="003E0192">
        <w:rPr>
          <w:rFonts w:ascii="Aptos"/>
        </w:rPr>
        <w:t>15.</w:t>
      </w:r>
      <w:r w:rsidRPr="003E0192">
        <w:rPr>
          <w:rFonts w:ascii="Aptos"/>
        </w:rPr>
        <w:tab/>
        <w:t xml:space="preserve">Milani, L. </w:t>
      </w:r>
      <w:r w:rsidRPr="003E0192">
        <w:rPr>
          <w:rFonts w:ascii="Aptos"/>
          <w:i/>
          <w:iCs/>
        </w:rPr>
        <w:t>et al.</w:t>
      </w:r>
      <w:r w:rsidRPr="003E0192">
        <w:rPr>
          <w:rFonts w:ascii="Aptos"/>
        </w:rPr>
        <w:t xml:space="preserve"> The Estonian Biobank’s journey from biobanking to personalized medicine. </w:t>
      </w:r>
      <w:r w:rsidRPr="003E0192">
        <w:rPr>
          <w:rFonts w:ascii="Aptos"/>
          <w:i/>
          <w:iCs/>
        </w:rPr>
        <w:t>Nat Commun</w:t>
      </w:r>
      <w:r w:rsidRPr="003E0192">
        <w:rPr>
          <w:rFonts w:ascii="Aptos"/>
        </w:rPr>
        <w:t xml:space="preserve"> </w:t>
      </w:r>
      <w:r w:rsidRPr="003E0192">
        <w:rPr>
          <w:rFonts w:ascii="Aptos"/>
          <w:b/>
          <w:bCs/>
        </w:rPr>
        <w:t>16</w:t>
      </w:r>
      <w:r w:rsidRPr="003E0192">
        <w:rPr>
          <w:rFonts w:ascii="Aptos"/>
        </w:rPr>
        <w:t>, 3270 (2025).</w:t>
      </w:r>
    </w:p>
    <w:p w14:paraId="2C019A17" w14:textId="77777777" w:rsidR="003E0192" w:rsidRPr="003E0192" w:rsidRDefault="003E0192" w:rsidP="003E0192">
      <w:pPr>
        <w:pStyle w:val="Bibliography"/>
        <w:rPr>
          <w:rFonts w:ascii="Aptos"/>
        </w:rPr>
      </w:pPr>
      <w:r w:rsidRPr="003E0192">
        <w:rPr>
          <w:rFonts w:ascii="Aptos"/>
        </w:rPr>
        <w:t>16.</w:t>
      </w:r>
      <w:r w:rsidRPr="003E0192">
        <w:rPr>
          <w:rFonts w:ascii="Aptos"/>
        </w:rPr>
        <w:tab/>
        <w:t xml:space="preserve">Mapes, B. M. </w:t>
      </w:r>
      <w:r w:rsidRPr="003E0192">
        <w:rPr>
          <w:rFonts w:ascii="Aptos"/>
          <w:i/>
          <w:iCs/>
        </w:rPr>
        <w:t>et al.</w:t>
      </w:r>
      <w:r w:rsidRPr="003E0192">
        <w:rPr>
          <w:rFonts w:ascii="Aptos"/>
        </w:rPr>
        <w:t xml:space="preserve"> Diversity and inclusion for the All of Us research program: A scoping review. </w:t>
      </w:r>
      <w:r w:rsidRPr="003E0192">
        <w:rPr>
          <w:rFonts w:ascii="Aptos"/>
          <w:i/>
          <w:iCs/>
        </w:rPr>
        <w:t>PLOS ONE</w:t>
      </w:r>
      <w:r w:rsidRPr="003E0192">
        <w:rPr>
          <w:rFonts w:ascii="Aptos"/>
        </w:rPr>
        <w:t xml:space="preserve"> </w:t>
      </w:r>
      <w:r w:rsidRPr="003E0192">
        <w:rPr>
          <w:rFonts w:ascii="Aptos"/>
          <w:b/>
          <w:bCs/>
        </w:rPr>
        <w:t>15</w:t>
      </w:r>
      <w:r w:rsidRPr="003E0192">
        <w:rPr>
          <w:rFonts w:ascii="Aptos"/>
        </w:rPr>
        <w:t>, e0234962 (2020).</w:t>
      </w:r>
    </w:p>
    <w:p w14:paraId="54813A4C" w14:textId="77777777" w:rsidR="003E0192" w:rsidRPr="003E0192" w:rsidRDefault="003E0192" w:rsidP="003E0192">
      <w:pPr>
        <w:pStyle w:val="Bibliography"/>
        <w:rPr>
          <w:rFonts w:ascii="Aptos"/>
        </w:rPr>
      </w:pPr>
      <w:r w:rsidRPr="003E0192">
        <w:rPr>
          <w:rFonts w:ascii="Aptos"/>
        </w:rPr>
        <w:t>17.</w:t>
      </w:r>
      <w:r w:rsidRPr="003E0192">
        <w:rPr>
          <w:rFonts w:ascii="Aptos"/>
        </w:rPr>
        <w:tab/>
        <w:t xml:space="preserve">Coppola, L. </w:t>
      </w:r>
      <w:r w:rsidRPr="003E0192">
        <w:rPr>
          <w:rFonts w:ascii="Aptos"/>
          <w:i/>
          <w:iCs/>
        </w:rPr>
        <w:t>et al.</w:t>
      </w:r>
      <w:r w:rsidRPr="003E0192">
        <w:rPr>
          <w:rFonts w:ascii="Aptos"/>
        </w:rPr>
        <w:t xml:space="preserve"> Biobanking in health care: evolution and future directions. </w:t>
      </w:r>
      <w:r w:rsidRPr="003E0192">
        <w:rPr>
          <w:rFonts w:ascii="Aptos"/>
          <w:i/>
          <w:iCs/>
        </w:rPr>
        <w:t>Journal of Translational Medicine</w:t>
      </w:r>
      <w:r w:rsidRPr="003E0192">
        <w:rPr>
          <w:rFonts w:ascii="Aptos"/>
        </w:rPr>
        <w:t xml:space="preserve"> </w:t>
      </w:r>
      <w:r w:rsidRPr="003E0192">
        <w:rPr>
          <w:rFonts w:ascii="Aptos"/>
          <w:b/>
          <w:bCs/>
        </w:rPr>
        <w:t>17</w:t>
      </w:r>
      <w:r w:rsidRPr="003E0192">
        <w:rPr>
          <w:rFonts w:ascii="Aptos"/>
        </w:rPr>
        <w:t>, 172 (2019).</w:t>
      </w:r>
    </w:p>
    <w:p w14:paraId="7CA65C8F" w14:textId="77777777" w:rsidR="003E0192" w:rsidRPr="003E0192" w:rsidRDefault="003E0192" w:rsidP="003E0192">
      <w:pPr>
        <w:pStyle w:val="Bibliography"/>
        <w:rPr>
          <w:rFonts w:ascii="Aptos"/>
        </w:rPr>
      </w:pPr>
      <w:r w:rsidRPr="003E0192">
        <w:rPr>
          <w:rFonts w:ascii="Aptos"/>
        </w:rPr>
        <w:lastRenderedPageBreak/>
        <w:t>18.</w:t>
      </w:r>
      <w:r w:rsidRPr="003E0192">
        <w:rPr>
          <w:rFonts w:ascii="Aptos"/>
        </w:rPr>
        <w:tab/>
        <w:t xml:space="preserve">Kinkorová, J. &amp; Topolčan, O. Biobanks in the era of big data: objectives, challenges, perspectives, and innovations for predictive, preventive, and personalised medicine. </w:t>
      </w:r>
      <w:r w:rsidRPr="003E0192">
        <w:rPr>
          <w:rFonts w:ascii="Aptos"/>
          <w:i/>
          <w:iCs/>
        </w:rPr>
        <w:t>EPMA J</w:t>
      </w:r>
      <w:r w:rsidRPr="003E0192">
        <w:rPr>
          <w:rFonts w:ascii="Aptos"/>
        </w:rPr>
        <w:t xml:space="preserve"> </w:t>
      </w:r>
      <w:r w:rsidRPr="003E0192">
        <w:rPr>
          <w:rFonts w:ascii="Aptos"/>
          <w:b/>
          <w:bCs/>
        </w:rPr>
        <w:t>11</w:t>
      </w:r>
      <w:r w:rsidRPr="003E0192">
        <w:rPr>
          <w:rFonts w:ascii="Aptos"/>
        </w:rPr>
        <w:t>, 333–341 (2020).</w:t>
      </w:r>
    </w:p>
    <w:p w14:paraId="1539C9D2" w14:textId="77777777" w:rsidR="003E0192" w:rsidRPr="003E0192" w:rsidRDefault="003E0192" w:rsidP="003E0192">
      <w:pPr>
        <w:pStyle w:val="Bibliography"/>
        <w:rPr>
          <w:rFonts w:ascii="Aptos"/>
        </w:rPr>
      </w:pPr>
      <w:r w:rsidRPr="003E0192">
        <w:rPr>
          <w:rFonts w:ascii="Aptos"/>
        </w:rPr>
        <w:t>19.</w:t>
      </w:r>
      <w:r w:rsidRPr="003E0192">
        <w:rPr>
          <w:rFonts w:ascii="Aptos"/>
        </w:rPr>
        <w:tab/>
        <w:t xml:space="preserve">Colwill, M., Baillie, S., Pollok, R. &amp; Poullis, A. Biobanks and biomarkers: Their current and future role in biomedical research. </w:t>
      </w:r>
      <w:r w:rsidRPr="003E0192">
        <w:rPr>
          <w:rFonts w:ascii="Aptos"/>
          <w:i/>
          <w:iCs/>
        </w:rPr>
        <w:t>World J Methodol</w:t>
      </w:r>
      <w:r w:rsidRPr="003E0192">
        <w:rPr>
          <w:rFonts w:ascii="Aptos"/>
        </w:rPr>
        <w:t xml:space="preserve"> </w:t>
      </w:r>
      <w:r w:rsidRPr="003E0192">
        <w:rPr>
          <w:rFonts w:ascii="Aptos"/>
          <w:b/>
          <w:bCs/>
        </w:rPr>
        <w:t>14</w:t>
      </w:r>
      <w:r w:rsidRPr="003E0192">
        <w:rPr>
          <w:rFonts w:ascii="Aptos"/>
        </w:rPr>
        <w:t>, 91387 (2024).</w:t>
      </w:r>
    </w:p>
    <w:p w14:paraId="6500381B" w14:textId="77777777" w:rsidR="003E0192" w:rsidRPr="003E0192" w:rsidRDefault="003E0192" w:rsidP="003E0192">
      <w:pPr>
        <w:pStyle w:val="Bibliography"/>
        <w:rPr>
          <w:rFonts w:ascii="Aptos"/>
        </w:rPr>
      </w:pPr>
      <w:r w:rsidRPr="003E0192">
        <w:rPr>
          <w:rFonts w:ascii="Aptos"/>
        </w:rPr>
        <w:t>20.</w:t>
      </w:r>
      <w:r w:rsidRPr="003E0192">
        <w:rPr>
          <w:rFonts w:ascii="Aptos"/>
        </w:rPr>
        <w:tab/>
        <w:t xml:space="preserve">Zhong, J. </w:t>
      </w:r>
      <w:r w:rsidRPr="003E0192">
        <w:rPr>
          <w:rFonts w:ascii="Aptos"/>
          <w:i/>
          <w:iCs/>
        </w:rPr>
        <w:t>et al.</w:t>
      </w:r>
      <w:r w:rsidRPr="003E0192">
        <w:rPr>
          <w:rFonts w:ascii="Aptos"/>
        </w:rPr>
        <w:t xml:space="preserve"> Well‐Being and Cardiovascular Health: Insights From the UK Biobank Study. </w:t>
      </w:r>
      <w:r w:rsidRPr="003E0192">
        <w:rPr>
          <w:rFonts w:ascii="Aptos"/>
          <w:i/>
          <w:iCs/>
        </w:rPr>
        <w:t>Journal of the American Heart Association</w:t>
      </w:r>
      <w:r w:rsidRPr="003E0192">
        <w:rPr>
          <w:rFonts w:ascii="Aptos"/>
        </w:rPr>
        <w:t xml:space="preserve"> </w:t>
      </w:r>
      <w:r w:rsidRPr="003E0192">
        <w:rPr>
          <w:rFonts w:ascii="Aptos"/>
          <w:b/>
          <w:bCs/>
        </w:rPr>
        <w:t>13</w:t>
      </w:r>
      <w:r w:rsidRPr="003E0192">
        <w:rPr>
          <w:rFonts w:ascii="Aptos"/>
        </w:rPr>
        <w:t>, e035225 (2024).</w:t>
      </w:r>
    </w:p>
    <w:p w14:paraId="54755433" w14:textId="77777777" w:rsidR="003E0192" w:rsidRPr="003E0192" w:rsidRDefault="003E0192" w:rsidP="003E0192">
      <w:pPr>
        <w:pStyle w:val="Bibliography"/>
        <w:rPr>
          <w:rFonts w:ascii="Aptos"/>
        </w:rPr>
      </w:pPr>
      <w:r w:rsidRPr="003E0192">
        <w:rPr>
          <w:rFonts w:ascii="Aptos"/>
        </w:rPr>
        <w:t>21.</w:t>
      </w:r>
      <w:r w:rsidRPr="003E0192">
        <w:rPr>
          <w:rFonts w:ascii="Aptos"/>
        </w:rPr>
        <w:tab/>
        <w:t>Corpas, M. &amp; Iacoangeli, A. Large Language Models for Mining Biobank-Derived Insights into Health and Disease. Preprint at https://doi.org/10.21203/rs.3.rs-6098960/v1 (2025).</w:t>
      </w:r>
    </w:p>
    <w:p w14:paraId="342C140D" w14:textId="77777777" w:rsidR="003E0192" w:rsidRPr="003E0192" w:rsidRDefault="003E0192" w:rsidP="003E0192">
      <w:pPr>
        <w:pStyle w:val="Bibliography"/>
        <w:rPr>
          <w:rFonts w:ascii="Aptos"/>
        </w:rPr>
      </w:pPr>
      <w:r w:rsidRPr="003E0192">
        <w:rPr>
          <w:rFonts w:ascii="Aptos"/>
        </w:rPr>
        <w:t>22.</w:t>
      </w:r>
      <w:r w:rsidRPr="003E0192">
        <w:rPr>
          <w:rFonts w:ascii="Aptos"/>
        </w:rPr>
        <w:tab/>
        <w:t xml:space="preserve">GBD Results. </w:t>
      </w:r>
      <w:r w:rsidRPr="003E0192">
        <w:rPr>
          <w:rFonts w:ascii="Aptos"/>
          <w:i/>
          <w:iCs/>
        </w:rPr>
        <w:t>Institute for Health Metrics and Evaluation</w:t>
      </w:r>
      <w:r w:rsidRPr="003E0192">
        <w:rPr>
          <w:rFonts w:ascii="Aptos"/>
        </w:rPr>
        <w:t xml:space="preserve"> https://vizhub.healthdata.org/gbd-results.</w:t>
      </w:r>
    </w:p>
    <w:p w14:paraId="1A0A034D" w14:textId="77777777" w:rsidR="003E0192" w:rsidRPr="003E0192" w:rsidRDefault="003E0192" w:rsidP="003E0192">
      <w:pPr>
        <w:pStyle w:val="Bibliography"/>
        <w:rPr>
          <w:rFonts w:ascii="Aptos"/>
        </w:rPr>
      </w:pPr>
      <w:r w:rsidRPr="003E0192">
        <w:rPr>
          <w:rFonts w:ascii="Aptos"/>
        </w:rPr>
        <w:t>23.</w:t>
      </w:r>
      <w:r w:rsidRPr="003E0192">
        <w:rPr>
          <w:rFonts w:ascii="Aptos"/>
        </w:rPr>
        <w:tab/>
        <w:t>Global Health Observatory. https://www.who.int/data/gho.</w:t>
      </w:r>
    </w:p>
    <w:p w14:paraId="0D2D6CE1" w14:textId="77777777" w:rsidR="003E0192" w:rsidRPr="003E0192" w:rsidRDefault="003E0192" w:rsidP="003E0192">
      <w:pPr>
        <w:pStyle w:val="Bibliography"/>
        <w:rPr>
          <w:rFonts w:ascii="Aptos"/>
        </w:rPr>
      </w:pPr>
      <w:r w:rsidRPr="003E0192">
        <w:rPr>
          <w:rFonts w:ascii="Aptos"/>
        </w:rPr>
        <w:t>24.</w:t>
      </w:r>
      <w:r w:rsidRPr="003E0192">
        <w:rPr>
          <w:rFonts w:ascii="Aptos"/>
        </w:rPr>
        <w:tab/>
        <w:t>Neglected tropical diseases -- GLOBAL. https://www.who.int/health-topics/neglected-tropical-diseases.</w:t>
      </w:r>
    </w:p>
    <w:p w14:paraId="22B6A74B" w14:textId="77777777" w:rsidR="003E0192" w:rsidRPr="003E0192" w:rsidRDefault="003E0192" w:rsidP="003E0192">
      <w:pPr>
        <w:pStyle w:val="Bibliography"/>
        <w:rPr>
          <w:rFonts w:ascii="Aptos"/>
        </w:rPr>
      </w:pPr>
      <w:r w:rsidRPr="003E0192">
        <w:rPr>
          <w:rFonts w:ascii="Aptos"/>
        </w:rPr>
        <w:t>25.</w:t>
      </w:r>
      <w:r w:rsidRPr="003E0192">
        <w:rPr>
          <w:rFonts w:ascii="Aptos"/>
        </w:rPr>
        <w:tab/>
        <w:t xml:space="preserve">Reports. </w:t>
      </w:r>
      <w:r w:rsidRPr="003E0192">
        <w:rPr>
          <w:rFonts w:ascii="Aptos"/>
          <w:i/>
          <w:iCs/>
        </w:rPr>
        <w:t>Global Initiative for Asthma - GINA</w:t>
      </w:r>
      <w:r w:rsidRPr="003E0192">
        <w:rPr>
          <w:rFonts w:ascii="Aptos"/>
        </w:rPr>
        <w:t xml:space="preserve"> https://ginasthma.org/reports/.</w:t>
      </w:r>
    </w:p>
    <w:p w14:paraId="73FD3D08" w14:textId="7E97810A" w:rsidR="00C52784" w:rsidRPr="003E0192" w:rsidRDefault="003E0192" w:rsidP="003E0192">
      <w:r>
        <w:fldChar w:fldCharType="end"/>
      </w:r>
    </w:p>
    <w:sectPr w:rsidR="00C52784" w:rsidRPr="003E0192" w:rsidSect="00033867">
      <w:footerReference w:type="even" r:id="rId15"/>
      <w:footerReference w:type="default" r:id="rId16"/>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F695C" w14:textId="77777777" w:rsidR="00D63CA2" w:rsidRDefault="00D63CA2" w:rsidP="00DB4BC7">
      <w:pPr>
        <w:spacing w:after="0" w:line="240" w:lineRule="auto"/>
      </w:pPr>
      <w:r>
        <w:separator/>
      </w:r>
    </w:p>
  </w:endnote>
  <w:endnote w:type="continuationSeparator" w:id="0">
    <w:p w14:paraId="0DCD5FB1" w14:textId="77777777" w:rsidR="00D63CA2" w:rsidRDefault="00D63CA2" w:rsidP="00DB4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21092"/>
      <w:docPartObj>
        <w:docPartGallery w:val="Page Numbers (Bottom of Page)"/>
        <w:docPartUnique/>
      </w:docPartObj>
    </w:sdtPr>
    <w:sdtContent>
      <w:p w14:paraId="71A2DB40" w14:textId="22DA6977" w:rsidR="00104EE5" w:rsidRDefault="00104EE5" w:rsidP="00E43B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AB748B" w14:textId="77777777" w:rsidR="00104EE5" w:rsidRDefault="00104EE5" w:rsidP="00104E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8384876"/>
      <w:docPartObj>
        <w:docPartGallery w:val="Page Numbers (Bottom of Page)"/>
        <w:docPartUnique/>
      </w:docPartObj>
    </w:sdtPr>
    <w:sdtContent>
      <w:p w14:paraId="4AA90D43" w14:textId="6C870594" w:rsidR="00104EE5" w:rsidRDefault="00104EE5" w:rsidP="00E43B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124335" w14:textId="77777777" w:rsidR="00104EE5" w:rsidRDefault="00104EE5" w:rsidP="00104E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BE33F" w14:textId="77777777" w:rsidR="00D63CA2" w:rsidRDefault="00D63CA2" w:rsidP="00DB4BC7">
      <w:pPr>
        <w:spacing w:after="0" w:line="240" w:lineRule="auto"/>
      </w:pPr>
      <w:r>
        <w:separator/>
      </w:r>
    </w:p>
  </w:footnote>
  <w:footnote w:type="continuationSeparator" w:id="0">
    <w:p w14:paraId="455AEC5C" w14:textId="77777777" w:rsidR="00D63CA2" w:rsidRDefault="00D63CA2" w:rsidP="00DB4B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EBF"/>
    <w:multiLevelType w:val="multilevel"/>
    <w:tmpl w:val="81F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2678"/>
    <w:multiLevelType w:val="multilevel"/>
    <w:tmpl w:val="E10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56901"/>
    <w:multiLevelType w:val="multilevel"/>
    <w:tmpl w:val="4F5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22F"/>
    <w:multiLevelType w:val="multilevel"/>
    <w:tmpl w:val="71A66B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6A75236"/>
    <w:multiLevelType w:val="multilevel"/>
    <w:tmpl w:val="2FF07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058ED"/>
    <w:multiLevelType w:val="multilevel"/>
    <w:tmpl w:val="93DE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265BE"/>
    <w:multiLevelType w:val="multilevel"/>
    <w:tmpl w:val="DCE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B5C05"/>
    <w:multiLevelType w:val="multilevel"/>
    <w:tmpl w:val="D76E0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635186"/>
    <w:multiLevelType w:val="multilevel"/>
    <w:tmpl w:val="861208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E6D6B6D"/>
    <w:multiLevelType w:val="multilevel"/>
    <w:tmpl w:val="F036C8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B812D8"/>
    <w:multiLevelType w:val="multilevel"/>
    <w:tmpl w:val="F036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116198"/>
    <w:multiLevelType w:val="multilevel"/>
    <w:tmpl w:val="BD529E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A1D44DC"/>
    <w:multiLevelType w:val="multilevel"/>
    <w:tmpl w:val="ED5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3062B"/>
    <w:multiLevelType w:val="multilevel"/>
    <w:tmpl w:val="C38A1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EF4C9D"/>
    <w:multiLevelType w:val="multilevel"/>
    <w:tmpl w:val="AAF2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592E9E"/>
    <w:multiLevelType w:val="multilevel"/>
    <w:tmpl w:val="58B6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81B83"/>
    <w:multiLevelType w:val="multilevel"/>
    <w:tmpl w:val="2C9EF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C5920"/>
    <w:multiLevelType w:val="multilevel"/>
    <w:tmpl w:val="B24C97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A9C35F5"/>
    <w:multiLevelType w:val="multilevel"/>
    <w:tmpl w:val="5D6A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F48B1"/>
    <w:multiLevelType w:val="multilevel"/>
    <w:tmpl w:val="F036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C14FE5"/>
    <w:multiLevelType w:val="multilevel"/>
    <w:tmpl w:val="9C2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F4E76"/>
    <w:multiLevelType w:val="multilevel"/>
    <w:tmpl w:val="80EE96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0716DB4"/>
    <w:multiLevelType w:val="multilevel"/>
    <w:tmpl w:val="C21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F6093"/>
    <w:multiLevelType w:val="multilevel"/>
    <w:tmpl w:val="4BA217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147D1D"/>
    <w:multiLevelType w:val="multilevel"/>
    <w:tmpl w:val="5016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36590"/>
    <w:multiLevelType w:val="multilevel"/>
    <w:tmpl w:val="F036C8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A63934"/>
    <w:multiLevelType w:val="multilevel"/>
    <w:tmpl w:val="65E43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8D36C3"/>
    <w:multiLevelType w:val="multilevel"/>
    <w:tmpl w:val="0C1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61E1F"/>
    <w:multiLevelType w:val="multilevel"/>
    <w:tmpl w:val="78E8FA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D20619B"/>
    <w:multiLevelType w:val="multilevel"/>
    <w:tmpl w:val="F036C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D17B05"/>
    <w:multiLevelType w:val="multilevel"/>
    <w:tmpl w:val="6FE0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A1448"/>
    <w:multiLevelType w:val="multilevel"/>
    <w:tmpl w:val="6AD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9144D3"/>
    <w:multiLevelType w:val="multilevel"/>
    <w:tmpl w:val="13CA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94838"/>
    <w:multiLevelType w:val="multilevel"/>
    <w:tmpl w:val="C5FA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082499"/>
    <w:multiLevelType w:val="multilevel"/>
    <w:tmpl w:val="F036C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6A38C5"/>
    <w:multiLevelType w:val="hybridMultilevel"/>
    <w:tmpl w:val="E2FC7F46"/>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6" w15:restartNumberingAfterBreak="0">
    <w:nsid w:val="7B8F6834"/>
    <w:multiLevelType w:val="multilevel"/>
    <w:tmpl w:val="ACE2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C337EC"/>
    <w:multiLevelType w:val="multilevel"/>
    <w:tmpl w:val="212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770829">
    <w:abstractNumId w:val="36"/>
  </w:num>
  <w:num w:numId="2" w16cid:durableId="364139289">
    <w:abstractNumId w:val="1"/>
  </w:num>
  <w:num w:numId="3" w16cid:durableId="1029379503">
    <w:abstractNumId w:val="33"/>
  </w:num>
  <w:num w:numId="4" w16cid:durableId="1341006021">
    <w:abstractNumId w:val="4"/>
  </w:num>
  <w:num w:numId="5" w16cid:durableId="1182859687">
    <w:abstractNumId w:val="21"/>
  </w:num>
  <w:num w:numId="6" w16cid:durableId="543559589">
    <w:abstractNumId w:val="13"/>
  </w:num>
  <w:num w:numId="7" w16cid:durableId="1947812709">
    <w:abstractNumId w:val="0"/>
  </w:num>
  <w:num w:numId="8" w16cid:durableId="72238003">
    <w:abstractNumId w:val="37"/>
  </w:num>
  <w:num w:numId="9" w16cid:durableId="1785996599">
    <w:abstractNumId w:val="11"/>
  </w:num>
  <w:num w:numId="10" w16cid:durableId="337315160">
    <w:abstractNumId w:val="17"/>
  </w:num>
  <w:num w:numId="11" w16cid:durableId="1836068692">
    <w:abstractNumId w:val="14"/>
  </w:num>
  <w:num w:numId="12" w16cid:durableId="358624104">
    <w:abstractNumId w:val="5"/>
  </w:num>
  <w:num w:numId="13" w16cid:durableId="1775396093">
    <w:abstractNumId w:val="32"/>
  </w:num>
  <w:num w:numId="14" w16cid:durableId="1814593295">
    <w:abstractNumId w:val="26"/>
  </w:num>
  <w:num w:numId="15" w16cid:durableId="30888686">
    <w:abstractNumId w:val="8"/>
  </w:num>
  <w:num w:numId="16" w16cid:durableId="840504661">
    <w:abstractNumId w:val="16"/>
  </w:num>
  <w:num w:numId="17" w16cid:durableId="883637552">
    <w:abstractNumId w:val="7"/>
  </w:num>
  <w:num w:numId="18" w16cid:durableId="1115173308">
    <w:abstractNumId w:val="28"/>
  </w:num>
  <w:num w:numId="19" w16cid:durableId="203758767">
    <w:abstractNumId w:val="35"/>
  </w:num>
  <w:num w:numId="20" w16cid:durableId="654844566">
    <w:abstractNumId w:val="3"/>
  </w:num>
  <w:num w:numId="21" w16cid:durableId="1061169689">
    <w:abstractNumId w:val="2"/>
  </w:num>
  <w:num w:numId="22" w16cid:durableId="1107846489">
    <w:abstractNumId w:val="12"/>
  </w:num>
  <w:num w:numId="23" w16cid:durableId="1809518279">
    <w:abstractNumId w:val="9"/>
  </w:num>
  <w:num w:numId="24" w16cid:durableId="129171517">
    <w:abstractNumId w:val="23"/>
  </w:num>
  <w:num w:numId="25" w16cid:durableId="1423256272">
    <w:abstractNumId w:val="25"/>
  </w:num>
  <w:num w:numId="26" w16cid:durableId="1342197402">
    <w:abstractNumId w:val="10"/>
  </w:num>
  <w:num w:numId="27" w16cid:durableId="1084498968">
    <w:abstractNumId w:val="19"/>
  </w:num>
  <w:num w:numId="28" w16cid:durableId="603727664">
    <w:abstractNumId w:val="31"/>
  </w:num>
  <w:num w:numId="29" w16cid:durableId="436021506">
    <w:abstractNumId w:val="22"/>
  </w:num>
  <w:num w:numId="30" w16cid:durableId="1001080859">
    <w:abstractNumId w:val="34"/>
  </w:num>
  <w:num w:numId="31" w16cid:durableId="1300769643">
    <w:abstractNumId w:val="20"/>
  </w:num>
  <w:num w:numId="32" w16cid:durableId="119421949">
    <w:abstractNumId w:val="30"/>
  </w:num>
  <w:num w:numId="33" w16cid:durableId="1820415167">
    <w:abstractNumId w:val="6"/>
  </w:num>
  <w:num w:numId="34" w16cid:durableId="271130437">
    <w:abstractNumId w:val="24"/>
  </w:num>
  <w:num w:numId="35" w16cid:durableId="21639533">
    <w:abstractNumId w:val="18"/>
  </w:num>
  <w:num w:numId="36" w16cid:durableId="1756777257">
    <w:abstractNumId w:val="29"/>
  </w:num>
  <w:num w:numId="37" w16cid:durableId="295306786">
    <w:abstractNumId w:val="15"/>
  </w:num>
  <w:num w:numId="38" w16cid:durableId="3898829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A0"/>
    <w:rsid w:val="0000308D"/>
    <w:rsid w:val="00006230"/>
    <w:rsid w:val="00006FBF"/>
    <w:rsid w:val="000137D6"/>
    <w:rsid w:val="000168F2"/>
    <w:rsid w:val="00021CAA"/>
    <w:rsid w:val="00024C27"/>
    <w:rsid w:val="00032491"/>
    <w:rsid w:val="00033867"/>
    <w:rsid w:val="0004153D"/>
    <w:rsid w:val="000634FC"/>
    <w:rsid w:val="0006605E"/>
    <w:rsid w:val="0007136D"/>
    <w:rsid w:val="0007505F"/>
    <w:rsid w:val="0007652B"/>
    <w:rsid w:val="00085AFE"/>
    <w:rsid w:val="000A2A2D"/>
    <w:rsid w:val="000B29BA"/>
    <w:rsid w:val="000C1B8D"/>
    <w:rsid w:val="000C2476"/>
    <w:rsid w:val="000C250C"/>
    <w:rsid w:val="000D395C"/>
    <w:rsid w:val="000E2136"/>
    <w:rsid w:val="000E4879"/>
    <w:rsid w:val="000F0D50"/>
    <w:rsid w:val="000F16D0"/>
    <w:rsid w:val="000F7019"/>
    <w:rsid w:val="00104EE5"/>
    <w:rsid w:val="001142B0"/>
    <w:rsid w:val="001237C2"/>
    <w:rsid w:val="0012488E"/>
    <w:rsid w:val="00125A4B"/>
    <w:rsid w:val="001405F4"/>
    <w:rsid w:val="0014618B"/>
    <w:rsid w:val="001614AB"/>
    <w:rsid w:val="001749EF"/>
    <w:rsid w:val="00174C12"/>
    <w:rsid w:val="0019426B"/>
    <w:rsid w:val="001A1ACD"/>
    <w:rsid w:val="001A272F"/>
    <w:rsid w:val="001A3A75"/>
    <w:rsid w:val="001B2ECC"/>
    <w:rsid w:val="001C5DBD"/>
    <w:rsid w:val="001D1A13"/>
    <w:rsid w:val="001E076C"/>
    <w:rsid w:val="001F517F"/>
    <w:rsid w:val="00205518"/>
    <w:rsid w:val="00246BC3"/>
    <w:rsid w:val="00252DFE"/>
    <w:rsid w:val="002540CE"/>
    <w:rsid w:val="00256EB3"/>
    <w:rsid w:val="00256F9A"/>
    <w:rsid w:val="00264565"/>
    <w:rsid w:val="00266B2A"/>
    <w:rsid w:val="002731AF"/>
    <w:rsid w:val="00282C7E"/>
    <w:rsid w:val="00290B44"/>
    <w:rsid w:val="002A356A"/>
    <w:rsid w:val="002A3A19"/>
    <w:rsid w:val="002C2E19"/>
    <w:rsid w:val="002D104C"/>
    <w:rsid w:val="002D7066"/>
    <w:rsid w:val="002E4A1C"/>
    <w:rsid w:val="002F346D"/>
    <w:rsid w:val="002F66B3"/>
    <w:rsid w:val="002F72DC"/>
    <w:rsid w:val="0030314B"/>
    <w:rsid w:val="0030374E"/>
    <w:rsid w:val="00313A54"/>
    <w:rsid w:val="003257CD"/>
    <w:rsid w:val="00326474"/>
    <w:rsid w:val="00327A59"/>
    <w:rsid w:val="003475D1"/>
    <w:rsid w:val="0036760D"/>
    <w:rsid w:val="0038343E"/>
    <w:rsid w:val="00394F62"/>
    <w:rsid w:val="0039564B"/>
    <w:rsid w:val="003A1DA3"/>
    <w:rsid w:val="003B199A"/>
    <w:rsid w:val="003B3549"/>
    <w:rsid w:val="003C5BDC"/>
    <w:rsid w:val="003D4C61"/>
    <w:rsid w:val="003E0192"/>
    <w:rsid w:val="003E7BDF"/>
    <w:rsid w:val="003F1BE0"/>
    <w:rsid w:val="003F71E2"/>
    <w:rsid w:val="00402CA9"/>
    <w:rsid w:val="004235CC"/>
    <w:rsid w:val="004261E3"/>
    <w:rsid w:val="00451268"/>
    <w:rsid w:val="00454EC3"/>
    <w:rsid w:val="004557BF"/>
    <w:rsid w:val="00467D52"/>
    <w:rsid w:val="00474F47"/>
    <w:rsid w:val="004777D9"/>
    <w:rsid w:val="00480063"/>
    <w:rsid w:val="00482647"/>
    <w:rsid w:val="00487F31"/>
    <w:rsid w:val="00493CB9"/>
    <w:rsid w:val="004947A6"/>
    <w:rsid w:val="00496617"/>
    <w:rsid w:val="004A0623"/>
    <w:rsid w:val="004C0604"/>
    <w:rsid w:val="004E0A2D"/>
    <w:rsid w:val="004E177C"/>
    <w:rsid w:val="004F740D"/>
    <w:rsid w:val="00501CCC"/>
    <w:rsid w:val="00511283"/>
    <w:rsid w:val="00511C95"/>
    <w:rsid w:val="005161CE"/>
    <w:rsid w:val="00520559"/>
    <w:rsid w:val="005216D8"/>
    <w:rsid w:val="00521874"/>
    <w:rsid w:val="00522C53"/>
    <w:rsid w:val="00524765"/>
    <w:rsid w:val="00531C48"/>
    <w:rsid w:val="005370DD"/>
    <w:rsid w:val="00537D4E"/>
    <w:rsid w:val="00550F4D"/>
    <w:rsid w:val="00551CEF"/>
    <w:rsid w:val="00561F48"/>
    <w:rsid w:val="00564A6F"/>
    <w:rsid w:val="0057678E"/>
    <w:rsid w:val="00580905"/>
    <w:rsid w:val="00583936"/>
    <w:rsid w:val="005844DB"/>
    <w:rsid w:val="00584525"/>
    <w:rsid w:val="00586A6A"/>
    <w:rsid w:val="005875FC"/>
    <w:rsid w:val="005A6822"/>
    <w:rsid w:val="005B1449"/>
    <w:rsid w:val="005B2BEF"/>
    <w:rsid w:val="005B4C53"/>
    <w:rsid w:val="005B7B3A"/>
    <w:rsid w:val="005C1EFF"/>
    <w:rsid w:val="005C5E7D"/>
    <w:rsid w:val="005D2A73"/>
    <w:rsid w:val="005E570D"/>
    <w:rsid w:val="00601FB8"/>
    <w:rsid w:val="0060468D"/>
    <w:rsid w:val="0060603C"/>
    <w:rsid w:val="00610DCD"/>
    <w:rsid w:val="00611D38"/>
    <w:rsid w:val="00611F3D"/>
    <w:rsid w:val="00621F2C"/>
    <w:rsid w:val="006225B0"/>
    <w:rsid w:val="00626A66"/>
    <w:rsid w:val="00632C17"/>
    <w:rsid w:val="00637EDB"/>
    <w:rsid w:val="00652AF7"/>
    <w:rsid w:val="00660808"/>
    <w:rsid w:val="00662F3F"/>
    <w:rsid w:val="00664D19"/>
    <w:rsid w:val="006677EC"/>
    <w:rsid w:val="00677CC0"/>
    <w:rsid w:val="0068293B"/>
    <w:rsid w:val="00683ADC"/>
    <w:rsid w:val="00685B04"/>
    <w:rsid w:val="0068723B"/>
    <w:rsid w:val="00692056"/>
    <w:rsid w:val="00693746"/>
    <w:rsid w:val="006A387E"/>
    <w:rsid w:val="006A711F"/>
    <w:rsid w:val="006B131E"/>
    <w:rsid w:val="006B2498"/>
    <w:rsid w:val="006B7E90"/>
    <w:rsid w:val="006C4248"/>
    <w:rsid w:val="006C6D6B"/>
    <w:rsid w:val="006D1D0F"/>
    <w:rsid w:val="006D7300"/>
    <w:rsid w:val="00723DDC"/>
    <w:rsid w:val="0072450D"/>
    <w:rsid w:val="007324BD"/>
    <w:rsid w:val="007407B3"/>
    <w:rsid w:val="00742957"/>
    <w:rsid w:val="00750093"/>
    <w:rsid w:val="00751346"/>
    <w:rsid w:val="00757B42"/>
    <w:rsid w:val="00770463"/>
    <w:rsid w:val="00780D74"/>
    <w:rsid w:val="00781C10"/>
    <w:rsid w:val="00791683"/>
    <w:rsid w:val="0079457D"/>
    <w:rsid w:val="007A0A76"/>
    <w:rsid w:val="007B455F"/>
    <w:rsid w:val="007C53CD"/>
    <w:rsid w:val="007C6532"/>
    <w:rsid w:val="007D0C48"/>
    <w:rsid w:val="007E2B70"/>
    <w:rsid w:val="007E3A94"/>
    <w:rsid w:val="008027D5"/>
    <w:rsid w:val="00804A00"/>
    <w:rsid w:val="00810E57"/>
    <w:rsid w:val="008254AD"/>
    <w:rsid w:val="00827466"/>
    <w:rsid w:val="00834311"/>
    <w:rsid w:val="0083494A"/>
    <w:rsid w:val="008355F3"/>
    <w:rsid w:val="008440C5"/>
    <w:rsid w:val="00846E10"/>
    <w:rsid w:val="008473EE"/>
    <w:rsid w:val="00853B4B"/>
    <w:rsid w:val="00861CC5"/>
    <w:rsid w:val="0086373E"/>
    <w:rsid w:val="00867B0F"/>
    <w:rsid w:val="00875B54"/>
    <w:rsid w:val="0088520D"/>
    <w:rsid w:val="008906E6"/>
    <w:rsid w:val="008C37F3"/>
    <w:rsid w:val="008C5665"/>
    <w:rsid w:val="008C66BA"/>
    <w:rsid w:val="008C70C8"/>
    <w:rsid w:val="008D58CD"/>
    <w:rsid w:val="008D6088"/>
    <w:rsid w:val="008E4ED4"/>
    <w:rsid w:val="008E6C87"/>
    <w:rsid w:val="008F12C7"/>
    <w:rsid w:val="008F15FA"/>
    <w:rsid w:val="009051EC"/>
    <w:rsid w:val="00917ACE"/>
    <w:rsid w:val="00921BBC"/>
    <w:rsid w:val="00922EB2"/>
    <w:rsid w:val="009268D5"/>
    <w:rsid w:val="00934CD6"/>
    <w:rsid w:val="00940C69"/>
    <w:rsid w:val="00943DF5"/>
    <w:rsid w:val="00947A61"/>
    <w:rsid w:val="00960127"/>
    <w:rsid w:val="009606B4"/>
    <w:rsid w:val="0096185E"/>
    <w:rsid w:val="00964F99"/>
    <w:rsid w:val="009737FB"/>
    <w:rsid w:val="009771CF"/>
    <w:rsid w:val="00986258"/>
    <w:rsid w:val="009904AE"/>
    <w:rsid w:val="00993EC0"/>
    <w:rsid w:val="00995CC5"/>
    <w:rsid w:val="00996B61"/>
    <w:rsid w:val="009B10E6"/>
    <w:rsid w:val="009B1C58"/>
    <w:rsid w:val="009B33FF"/>
    <w:rsid w:val="009C4D58"/>
    <w:rsid w:val="009D21D6"/>
    <w:rsid w:val="009D6AD4"/>
    <w:rsid w:val="009E38C7"/>
    <w:rsid w:val="009E6238"/>
    <w:rsid w:val="009F2E0B"/>
    <w:rsid w:val="009F68C8"/>
    <w:rsid w:val="00A05CCB"/>
    <w:rsid w:val="00A21393"/>
    <w:rsid w:val="00A256CD"/>
    <w:rsid w:val="00A25B9D"/>
    <w:rsid w:val="00A32B68"/>
    <w:rsid w:val="00A378C4"/>
    <w:rsid w:val="00A50380"/>
    <w:rsid w:val="00A54B21"/>
    <w:rsid w:val="00A55F5E"/>
    <w:rsid w:val="00A55FB9"/>
    <w:rsid w:val="00A56845"/>
    <w:rsid w:val="00A61F24"/>
    <w:rsid w:val="00A85674"/>
    <w:rsid w:val="00A87058"/>
    <w:rsid w:val="00A97418"/>
    <w:rsid w:val="00AB29C9"/>
    <w:rsid w:val="00AB6852"/>
    <w:rsid w:val="00AD06E9"/>
    <w:rsid w:val="00AF69B8"/>
    <w:rsid w:val="00AF7B60"/>
    <w:rsid w:val="00B02F7B"/>
    <w:rsid w:val="00B12DE5"/>
    <w:rsid w:val="00B21CB7"/>
    <w:rsid w:val="00B26F01"/>
    <w:rsid w:val="00B332FB"/>
    <w:rsid w:val="00B40CFC"/>
    <w:rsid w:val="00B42A38"/>
    <w:rsid w:val="00B53ADF"/>
    <w:rsid w:val="00B542E0"/>
    <w:rsid w:val="00B55038"/>
    <w:rsid w:val="00B56EC8"/>
    <w:rsid w:val="00B72E40"/>
    <w:rsid w:val="00B860B1"/>
    <w:rsid w:val="00B93908"/>
    <w:rsid w:val="00B95938"/>
    <w:rsid w:val="00BA1834"/>
    <w:rsid w:val="00BA2E0D"/>
    <w:rsid w:val="00BA3A42"/>
    <w:rsid w:val="00BA5C30"/>
    <w:rsid w:val="00BA7144"/>
    <w:rsid w:val="00BB486E"/>
    <w:rsid w:val="00BB643D"/>
    <w:rsid w:val="00BC1713"/>
    <w:rsid w:val="00BC58B2"/>
    <w:rsid w:val="00BD1F55"/>
    <w:rsid w:val="00BD6669"/>
    <w:rsid w:val="00BE158A"/>
    <w:rsid w:val="00C01A07"/>
    <w:rsid w:val="00C02D2B"/>
    <w:rsid w:val="00C14BB8"/>
    <w:rsid w:val="00C1625D"/>
    <w:rsid w:val="00C229EB"/>
    <w:rsid w:val="00C25E37"/>
    <w:rsid w:val="00C27B34"/>
    <w:rsid w:val="00C30730"/>
    <w:rsid w:val="00C41BD1"/>
    <w:rsid w:val="00C427BD"/>
    <w:rsid w:val="00C52784"/>
    <w:rsid w:val="00C77B63"/>
    <w:rsid w:val="00C90485"/>
    <w:rsid w:val="00CA69CF"/>
    <w:rsid w:val="00CC2384"/>
    <w:rsid w:val="00CC46D1"/>
    <w:rsid w:val="00CD0AEE"/>
    <w:rsid w:val="00CD3C0B"/>
    <w:rsid w:val="00CD62D8"/>
    <w:rsid w:val="00CE63E0"/>
    <w:rsid w:val="00CF034C"/>
    <w:rsid w:val="00CF042C"/>
    <w:rsid w:val="00CF06C2"/>
    <w:rsid w:val="00CF45F6"/>
    <w:rsid w:val="00D11B2F"/>
    <w:rsid w:val="00D1443D"/>
    <w:rsid w:val="00D2058A"/>
    <w:rsid w:val="00D2129F"/>
    <w:rsid w:val="00D41BDA"/>
    <w:rsid w:val="00D47693"/>
    <w:rsid w:val="00D52BF7"/>
    <w:rsid w:val="00D57075"/>
    <w:rsid w:val="00D61A83"/>
    <w:rsid w:val="00D621C9"/>
    <w:rsid w:val="00D63CA2"/>
    <w:rsid w:val="00D66EF0"/>
    <w:rsid w:val="00D707B8"/>
    <w:rsid w:val="00D73F76"/>
    <w:rsid w:val="00D770A0"/>
    <w:rsid w:val="00D84AC5"/>
    <w:rsid w:val="00D92579"/>
    <w:rsid w:val="00DA0553"/>
    <w:rsid w:val="00DA0710"/>
    <w:rsid w:val="00DA2312"/>
    <w:rsid w:val="00DB4BC7"/>
    <w:rsid w:val="00DC176A"/>
    <w:rsid w:val="00DC7A29"/>
    <w:rsid w:val="00DE3A3A"/>
    <w:rsid w:val="00DF14FE"/>
    <w:rsid w:val="00DF2045"/>
    <w:rsid w:val="00DF29EE"/>
    <w:rsid w:val="00E0240C"/>
    <w:rsid w:val="00E2329D"/>
    <w:rsid w:val="00E2592C"/>
    <w:rsid w:val="00E2620D"/>
    <w:rsid w:val="00E32D55"/>
    <w:rsid w:val="00E40249"/>
    <w:rsid w:val="00E46E0F"/>
    <w:rsid w:val="00E51026"/>
    <w:rsid w:val="00E568C9"/>
    <w:rsid w:val="00E70635"/>
    <w:rsid w:val="00E80480"/>
    <w:rsid w:val="00EA4A31"/>
    <w:rsid w:val="00EA526D"/>
    <w:rsid w:val="00EA61E5"/>
    <w:rsid w:val="00EB5E2E"/>
    <w:rsid w:val="00EC58A1"/>
    <w:rsid w:val="00ED13FE"/>
    <w:rsid w:val="00EE25ED"/>
    <w:rsid w:val="00EE7ABC"/>
    <w:rsid w:val="00EF2A7F"/>
    <w:rsid w:val="00EF749D"/>
    <w:rsid w:val="00F15F29"/>
    <w:rsid w:val="00F16EC0"/>
    <w:rsid w:val="00F270AC"/>
    <w:rsid w:val="00F37B82"/>
    <w:rsid w:val="00F40036"/>
    <w:rsid w:val="00F513A6"/>
    <w:rsid w:val="00F677F2"/>
    <w:rsid w:val="00F71097"/>
    <w:rsid w:val="00F8797B"/>
    <w:rsid w:val="00F96D72"/>
    <w:rsid w:val="00FA5F71"/>
    <w:rsid w:val="00FB3441"/>
    <w:rsid w:val="00FB50C6"/>
    <w:rsid w:val="00FB7509"/>
    <w:rsid w:val="00FC2C7A"/>
    <w:rsid w:val="00FD5054"/>
    <w:rsid w:val="00FD653F"/>
    <w:rsid w:val="00FF702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4BA50"/>
  <w15:chartTrackingRefBased/>
  <w15:docId w15:val="{5ACE7C5C-17CD-1342-8791-247A2702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192"/>
    <w:rPr>
      <w:lang w:val="en-US"/>
    </w:rPr>
  </w:style>
  <w:style w:type="paragraph" w:styleId="Heading1">
    <w:name w:val="heading 1"/>
    <w:basedOn w:val="Normal"/>
    <w:next w:val="Normal"/>
    <w:link w:val="Heading1Char"/>
    <w:uiPriority w:val="9"/>
    <w:qFormat/>
    <w:rsid w:val="002731AF"/>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C02D2B"/>
    <w:pPr>
      <w:keepNext/>
      <w:keepLines/>
      <w:spacing w:before="160" w:after="80"/>
      <w:outlineLvl w:val="1"/>
    </w:pPr>
    <w:rPr>
      <w:rFonts w:asciiTheme="majorHAnsi" w:eastAsiaTheme="majorEastAsia" w:hAnsiTheme="majorHAnsi" w:cstheme="majorBidi"/>
      <w:color w:val="000000" w:themeColor="text1"/>
      <w:sz w:val="32"/>
      <w:szCs w:val="32"/>
      <w:lang w:val="en-GB"/>
    </w:rPr>
  </w:style>
  <w:style w:type="paragraph" w:styleId="Heading3">
    <w:name w:val="heading 3"/>
    <w:basedOn w:val="Normal"/>
    <w:next w:val="Normal"/>
    <w:link w:val="Heading3Char"/>
    <w:uiPriority w:val="9"/>
    <w:unhideWhenUsed/>
    <w:qFormat/>
    <w:rsid w:val="00B21CB7"/>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4F740D"/>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D77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1AF"/>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C02D2B"/>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B21CB7"/>
    <w:rPr>
      <w:rFonts w:eastAsiaTheme="majorEastAsia" w:cstheme="majorBidi"/>
      <w:b/>
      <w:color w:val="000000" w:themeColor="text1"/>
      <w:szCs w:val="28"/>
      <w:lang w:val="en-US"/>
    </w:rPr>
  </w:style>
  <w:style w:type="character" w:customStyle="1" w:styleId="Heading4Char">
    <w:name w:val="Heading 4 Char"/>
    <w:basedOn w:val="DefaultParagraphFont"/>
    <w:link w:val="Heading4"/>
    <w:uiPriority w:val="9"/>
    <w:rsid w:val="004F740D"/>
    <w:rPr>
      <w:rFonts w:eastAsiaTheme="majorEastAsia" w:cstheme="majorBidi"/>
      <w:b/>
      <w:i/>
      <w:iCs/>
      <w:color w:val="000000" w:themeColor="text1"/>
      <w:lang w:val="en-US"/>
    </w:rPr>
  </w:style>
  <w:style w:type="character" w:customStyle="1" w:styleId="Heading5Char">
    <w:name w:val="Heading 5 Char"/>
    <w:basedOn w:val="DefaultParagraphFont"/>
    <w:link w:val="Heading5"/>
    <w:uiPriority w:val="9"/>
    <w:semiHidden/>
    <w:rsid w:val="00D77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0A0"/>
    <w:rPr>
      <w:rFonts w:eastAsiaTheme="majorEastAsia" w:cstheme="majorBidi"/>
      <w:color w:val="272727" w:themeColor="text1" w:themeTint="D8"/>
    </w:rPr>
  </w:style>
  <w:style w:type="paragraph" w:styleId="Title">
    <w:name w:val="Title"/>
    <w:basedOn w:val="Normal"/>
    <w:next w:val="Normal"/>
    <w:link w:val="TitleChar"/>
    <w:uiPriority w:val="10"/>
    <w:qFormat/>
    <w:rsid w:val="00D77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0A0"/>
    <w:pPr>
      <w:spacing w:before="160"/>
      <w:jc w:val="center"/>
    </w:pPr>
    <w:rPr>
      <w:i/>
      <w:iCs/>
      <w:color w:val="404040" w:themeColor="text1" w:themeTint="BF"/>
    </w:rPr>
  </w:style>
  <w:style w:type="character" w:customStyle="1" w:styleId="QuoteChar">
    <w:name w:val="Quote Char"/>
    <w:basedOn w:val="DefaultParagraphFont"/>
    <w:link w:val="Quote"/>
    <w:uiPriority w:val="29"/>
    <w:rsid w:val="00D770A0"/>
    <w:rPr>
      <w:i/>
      <w:iCs/>
      <w:color w:val="404040" w:themeColor="text1" w:themeTint="BF"/>
    </w:rPr>
  </w:style>
  <w:style w:type="paragraph" w:styleId="ListParagraph">
    <w:name w:val="List Paragraph"/>
    <w:basedOn w:val="Normal"/>
    <w:uiPriority w:val="34"/>
    <w:qFormat/>
    <w:rsid w:val="00D770A0"/>
    <w:pPr>
      <w:ind w:left="720"/>
      <w:contextualSpacing/>
    </w:pPr>
  </w:style>
  <w:style w:type="character" w:styleId="IntenseEmphasis">
    <w:name w:val="Intense Emphasis"/>
    <w:basedOn w:val="DefaultParagraphFont"/>
    <w:uiPriority w:val="21"/>
    <w:qFormat/>
    <w:rsid w:val="00D770A0"/>
    <w:rPr>
      <w:i/>
      <w:iCs/>
      <w:color w:val="0F4761" w:themeColor="accent1" w:themeShade="BF"/>
    </w:rPr>
  </w:style>
  <w:style w:type="paragraph" w:styleId="IntenseQuote">
    <w:name w:val="Intense Quote"/>
    <w:basedOn w:val="Normal"/>
    <w:next w:val="Normal"/>
    <w:link w:val="IntenseQuoteChar"/>
    <w:uiPriority w:val="30"/>
    <w:qFormat/>
    <w:rsid w:val="00D77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0A0"/>
    <w:rPr>
      <w:i/>
      <w:iCs/>
      <w:color w:val="0F4761" w:themeColor="accent1" w:themeShade="BF"/>
    </w:rPr>
  </w:style>
  <w:style w:type="character" w:styleId="IntenseReference">
    <w:name w:val="Intense Reference"/>
    <w:basedOn w:val="DefaultParagraphFont"/>
    <w:uiPriority w:val="32"/>
    <w:qFormat/>
    <w:rsid w:val="00D770A0"/>
    <w:rPr>
      <w:b/>
      <w:bCs/>
      <w:smallCaps/>
      <w:color w:val="0F4761" w:themeColor="accent1" w:themeShade="BF"/>
      <w:spacing w:val="5"/>
    </w:rPr>
  </w:style>
  <w:style w:type="character" w:styleId="Hyperlink">
    <w:name w:val="Hyperlink"/>
    <w:basedOn w:val="DefaultParagraphFont"/>
    <w:uiPriority w:val="99"/>
    <w:unhideWhenUsed/>
    <w:rsid w:val="002731AF"/>
    <w:rPr>
      <w:color w:val="467886" w:themeColor="hyperlink"/>
      <w:u w:val="single"/>
    </w:rPr>
  </w:style>
  <w:style w:type="character" w:styleId="UnresolvedMention">
    <w:name w:val="Unresolved Mention"/>
    <w:basedOn w:val="DefaultParagraphFont"/>
    <w:uiPriority w:val="99"/>
    <w:semiHidden/>
    <w:unhideWhenUsed/>
    <w:rsid w:val="002731AF"/>
    <w:rPr>
      <w:color w:val="605E5C"/>
      <w:shd w:val="clear" w:color="auto" w:fill="E1DFDD"/>
    </w:rPr>
  </w:style>
  <w:style w:type="character" w:styleId="FollowedHyperlink">
    <w:name w:val="FollowedHyperlink"/>
    <w:basedOn w:val="DefaultParagraphFont"/>
    <w:uiPriority w:val="99"/>
    <w:semiHidden/>
    <w:unhideWhenUsed/>
    <w:rsid w:val="00D66EF0"/>
    <w:rPr>
      <w:color w:val="96607D" w:themeColor="followedHyperlink"/>
      <w:u w:val="single"/>
    </w:rPr>
  </w:style>
  <w:style w:type="table" w:styleId="TableGrid">
    <w:name w:val="Table Grid"/>
    <w:basedOn w:val="TableNormal"/>
    <w:uiPriority w:val="39"/>
    <w:rsid w:val="00BC1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B4B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BC7"/>
    <w:rPr>
      <w:lang w:val="en-US"/>
    </w:rPr>
  </w:style>
  <w:style w:type="character" w:styleId="PageNumber">
    <w:name w:val="page number"/>
    <w:basedOn w:val="DefaultParagraphFont"/>
    <w:uiPriority w:val="99"/>
    <w:semiHidden/>
    <w:unhideWhenUsed/>
    <w:rsid w:val="00DB4BC7"/>
  </w:style>
  <w:style w:type="paragraph" w:styleId="Bibliography">
    <w:name w:val="Bibliography"/>
    <w:basedOn w:val="Normal"/>
    <w:next w:val="Normal"/>
    <w:uiPriority w:val="37"/>
    <w:unhideWhenUsed/>
    <w:rsid w:val="007B455F"/>
    <w:pPr>
      <w:tabs>
        <w:tab w:val="left" w:pos="380"/>
      </w:tabs>
      <w:spacing w:after="0" w:line="480" w:lineRule="auto"/>
      <w:ind w:left="384" w:hanging="384"/>
    </w:pPr>
  </w:style>
  <w:style w:type="paragraph" w:styleId="Revision">
    <w:name w:val="Revision"/>
    <w:hidden/>
    <w:uiPriority w:val="99"/>
    <w:semiHidden/>
    <w:rsid w:val="002A356A"/>
    <w:pPr>
      <w:spacing w:after="0" w:line="240" w:lineRule="auto"/>
    </w:pPr>
    <w:rPr>
      <w:lang w:val="en-US"/>
    </w:rPr>
  </w:style>
  <w:style w:type="character" w:customStyle="1" w:styleId="docsum-authors">
    <w:name w:val="docsum-authors"/>
    <w:basedOn w:val="DefaultParagraphFont"/>
    <w:rsid w:val="00313A54"/>
  </w:style>
  <w:style w:type="table" w:styleId="GridTable1Light-Accent1">
    <w:name w:val="Grid Table 1 Light Accent 1"/>
    <w:basedOn w:val="TableNormal"/>
    <w:uiPriority w:val="46"/>
    <w:rsid w:val="009B10E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9B10E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9B10E6"/>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9B10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7ColourfulAccent1">
    <w:name w:val="Grid Table 7 Colorful Accent 1"/>
    <w:basedOn w:val="TableNormal"/>
    <w:uiPriority w:val="52"/>
    <w:rsid w:val="009B10E6"/>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1Light-Accent4">
    <w:name w:val="Grid Table 1 Light Accent 4"/>
    <w:basedOn w:val="TableNormal"/>
    <w:uiPriority w:val="46"/>
    <w:rsid w:val="009B10E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67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7EC"/>
    <w:rPr>
      <w:lang w:val="en-US"/>
    </w:rPr>
  </w:style>
  <w:style w:type="paragraph" w:styleId="NormalWeb">
    <w:name w:val="Normal (Web)"/>
    <w:basedOn w:val="Normal"/>
    <w:uiPriority w:val="99"/>
    <w:semiHidden/>
    <w:unhideWhenUsed/>
    <w:rsid w:val="00FB344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7142">
      <w:bodyDiv w:val="1"/>
      <w:marLeft w:val="0"/>
      <w:marRight w:val="0"/>
      <w:marTop w:val="0"/>
      <w:marBottom w:val="0"/>
      <w:divBdr>
        <w:top w:val="none" w:sz="0" w:space="0" w:color="auto"/>
        <w:left w:val="none" w:sz="0" w:space="0" w:color="auto"/>
        <w:bottom w:val="none" w:sz="0" w:space="0" w:color="auto"/>
        <w:right w:val="none" w:sz="0" w:space="0" w:color="auto"/>
      </w:divBdr>
    </w:div>
    <w:div w:id="19858361">
      <w:bodyDiv w:val="1"/>
      <w:marLeft w:val="0"/>
      <w:marRight w:val="0"/>
      <w:marTop w:val="0"/>
      <w:marBottom w:val="0"/>
      <w:divBdr>
        <w:top w:val="none" w:sz="0" w:space="0" w:color="auto"/>
        <w:left w:val="none" w:sz="0" w:space="0" w:color="auto"/>
        <w:bottom w:val="none" w:sz="0" w:space="0" w:color="auto"/>
        <w:right w:val="none" w:sz="0" w:space="0" w:color="auto"/>
      </w:divBdr>
    </w:div>
    <w:div w:id="20329070">
      <w:bodyDiv w:val="1"/>
      <w:marLeft w:val="0"/>
      <w:marRight w:val="0"/>
      <w:marTop w:val="0"/>
      <w:marBottom w:val="0"/>
      <w:divBdr>
        <w:top w:val="none" w:sz="0" w:space="0" w:color="auto"/>
        <w:left w:val="none" w:sz="0" w:space="0" w:color="auto"/>
        <w:bottom w:val="none" w:sz="0" w:space="0" w:color="auto"/>
        <w:right w:val="none" w:sz="0" w:space="0" w:color="auto"/>
      </w:divBdr>
    </w:div>
    <w:div w:id="25523437">
      <w:bodyDiv w:val="1"/>
      <w:marLeft w:val="0"/>
      <w:marRight w:val="0"/>
      <w:marTop w:val="0"/>
      <w:marBottom w:val="0"/>
      <w:divBdr>
        <w:top w:val="none" w:sz="0" w:space="0" w:color="auto"/>
        <w:left w:val="none" w:sz="0" w:space="0" w:color="auto"/>
        <w:bottom w:val="none" w:sz="0" w:space="0" w:color="auto"/>
        <w:right w:val="none" w:sz="0" w:space="0" w:color="auto"/>
      </w:divBdr>
    </w:div>
    <w:div w:id="33621221">
      <w:bodyDiv w:val="1"/>
      <w:marLeft w:val="0"/>
      <w:marRight w:val="0"/>
      <w:marTop w:val="0"/>
      <w:marBottom w:val="0"/>
      <w:divBdr>
        <w:top w:val="none" w:sz="0" w:space="0" w:color="auto"/>
        <w:left w:val="none" w:sz="0" w:space="0" w:color="auto"/>
        <w:bottom w:val="none" w:sz="0" w:space="0" w:color="auto"/>
        <w:right w:val="none" w:sz="0" w:space="0" w:color="auto"/>
      </w:divBdr>
    </w:div>
    <w:div w:id="60953598">
      <w:bodyDiv w:val="1"/>
      <w:marLeft w:val="0"/>
      <w:marRight w:val="0"/>
      <w:marTop w:val="0"/>
      <w:marBottom w:val="0"/>
      <w:divBdr>
        <w:top w:val="none" w:sz="0" w:space="0" w:color="auto"/>
        <w:left w:val="none" w:sz="0" w:space="0" w:color="auto"/>
        <w:bottom w:val="none" w:sz="0" w:space="0" w:color="auto"/>
        <w:right w:val="none" w:sz="0" w:space="0" w:color="auto"/>
      </w:divBdr>
    </w:div>
    <w:div w:id="68815489">
      <w:bodyDiv w:val="1"/>
      <w:marLeft w:val="0"/>
      <w:marRight w:val="0"/>
      <w:marTop w:val="0"/>
      <w:marBottom w:val="0"/>
      <w:divBdr>
        <w:top w:val="none" w:sz="0" w:space="0" w:color="auto"/>
        <w:left w:val="none" w:sz="0" w:space="0" w:color="auto"/>
        <w:bottom w:val="none" w:sz="0" w:space="0" w:color="auto"/>
        <w:right w:val="none" w:sz="0" w:space="0" w:color="auto"/>
      </w:divBdr>
    </w:div>
    <w:div w:id="70079075">
      <w:bodyDiv w:val="1"/>
      <w:marLeft w:val="0"/>
      <w:marRight w:val="0"/>
      <w:marTop w:val="0"/>
      <w:marBottom w:val="0"/>
      <w:divBdr>
        <w:top w:val="none" w:sz="0" w:space="0" w:color="auto"/>
        <w:left w:val="none" w:sz="0" w:space="0" w:color="auto"/>
        <w:bottom w:val="none" w:sz="0" w:space="0" w:color="auto"/>
        <w:right w:val="none" w:sz="0" w:space="0" w:color="auto"/>
      </w:divBdr>
    </w:div>
    <w:div w:id="79299099">
      <w:bodyDiv w:val="1"/>
      <w:marLeft w:val="0"/>
      <w:marRight w:val="0"/>
      <w:marTop w:val="0"/>
      <w:marBottom w:val="0"/>
      <w:divBdr>
        <w:top w:val="none" w:sz="0" w:space="0" w:color="auto"/>
        <w:left w:val="none" w:sz="0" w:space="0" w:color="auto"/>
        <w:bottom w:val="none" w:sz="0" w:space="0" w:color="auto"/>
        <w:right w:val="none" w:sz="0" w:space="0" w:color="auto"/>
      </w:divBdr>
    </w:div>
    <w:div w:id="95296759">
      <w:bodyDiv w:val="1"/>
      <w:marLeft w:val="0"/>
      <w:marRight w:val="0"/>
      <w:marTop w:val="0"/>
      <w:marBottom w:val="0"/>
      <w:divBdr>
        <w:top w:val="none" w:sz="0" w:space="0" w:color="auto"/>
        <w:left w:val="none" w:sz="0" w:space="0" w:color="auto"/>
        <w:bottom w:val="none" w:sz="0" w:space="0" w:color="auto"/>
        <w:right w:val="none" w:sz="0" w:space="0" w:color="auto"/>
      </w:divBdr>
    </w:div>
    <w:div w:id="95516267">
      <w:bodyDiv w:val="1"/>
      <w:marLeft w:val="0"/>
      <w:marRight w:val="0"/>
      <w:marTop w:val="0"/>
      <w:marBottom w:val="0"/>
      <w:divBdr>
        <w:top w:val="none" w:sz="0" w:space="0" w:color="auto"/>
        <w:left w:val="none" w:sz="0" w:space="0" w:color="auto"/>
        <w:bottom w:val="none" w:sz="0" w:space="0" w:color="auto"/>
        <w:right w:val="none" w:sz="0" w:space="0" w:color="auto"/>
      </w:divBdr>
    </w:div>
    <w:div w:id="97675039">
      <w:bodyDiv w:val="1"/>
      <w:marLeft w:val="0"/>
      <w:marRight w:val="0"/>
      <w:marTop w:val="0"/>
      <w:marBottom w:val="0"/>
      <w:divBdr>
        <w:top w:val="none" w:sz="0" w:space="0" w:color="auto"/>
        <w:left w:val="none" w:sz="0" w:space="0" w:color="auto"/>
        <w:bottom w:val="none" w:sz="0" w:space="0" w:color="auto"/>
        <w:right w:val="none" w:sz="0" w:space="0" w:color="auto"/>
      </w:divBdr>
    </w:div>
    <w:div w:id="99885348">
      <w:bodyDiv w:val="1"/>
      <w:marLeft w:val="0"/>
      <w:marRight w:val="0"/>
      <w:marTop w:val="0"/>
      <w:marBottom w:val="0"/>
      <w:divBdr>
        <w:top w:val="none" w:sz="0" w:space="0" w:color="auto"/>
        <w:left w:val="none" w:sz="0" w:space="0" w:color="auto"/>
        <w:bottom w:val="none" w:sz="0" w:space="0" w:color="auto"/>
        <w:right w:val="none" w:sz="0" w:space="0" w:color="auto"/>
      </w:divBdr>
    </w:div>
    <w:div w:id="109862870">
      <w:bodyDiv w:val="1"/>
      <w:marLeft w:val="0"/>
      <w:marRight w:val="0"/>
      <w:marTop w:val="0"/>
      <w:marBottom w:val="0"/>
      <w:divBdr>
        <w:top w:val="none" w:sz="0" w:space="0" w:color="auto"/>
        <w:left w:val="none" w:sz="0" w:space="0" w:color="auto"/>
        <w:bottom w:val="none" w:sz="0" w:space="0" w:color="auto"/>
        <w:right w:val="none" w:sz="0" w:space="0" w:color="auto"/>
      </w:divBdr>
    </w:div>
    <w:div w:id="123471473">
      <w:bodyDiv w:val="1"/>
      <w:marLeft w:val="0"/>
      <w:marRight w:val="0"/>
      <w:marTop w:val="0"/>
      <w:marBottom w:val="0"/>
      <w:divBdr>
        <w:top w:val="none" w:sz="0" w:space="0" w:color="auto"/>
        <w:left w:val="none" w:sz="0" w:space="0" w:color="auto"/>
        <w:bottom w:val="none" w:sz="0" w:space="0" w:color="auto"/>
        <w:right w:val="none" w:sz="0" w:space="0" w:color="auto"/>
      </w:divBdr>
    </w:div>
    <w:div w:id="145166041">
      <w:bodyDiv w:val="1"/>
      <w:marLeft w:val="0"/>
      <w:marRight w:val="0"/>
      <w:marTop w:val="0"/>
      <w:marBottom w:val="0"/>
      <w:divBdr>
        <w:top w:val="none" w:sz="0" w:space="0" w:color="auto"/>
        <w:left w:val="none" w:sz="0" w:space="0" w:color="auto"/>
        <w:bottom w:val="none" w:sz="0" w:space="0" w:color="auto"/>
        <w:right w:val="none" w:sz="0" w:space="0" w:color="auto"/>
      </w:divBdr>
    </w:div>
    <w:div w:id="148833917">
      <w:bodyDiv w:val="1"/>
      <w:marLeft w:val="0"/>
      <w:marRight w:val="0"/>
      <w:marTop w:val="0"/>
      <w:marBottom w:val="0"/>
      <w:divBdr>
        <w:top w:val="none" w:sz="0" w:space="0" w:color="auto"/>
        <w:left w:val="none" w:sz="0" w:space="0" w:color="auto"/>
        <w:bottom w:val="none" w:sz="0" w:space="0" w:color="auto"/>
        <w:right w:val="none" w:sz="0" w:space="0" w:color="auto"/>
      </w:divBdr>
    </w:div>
    <w:div w:id="159661034">
      <w:bodyDiv w:val="1"/>
      <w:marLeft w:val="0"/>
      <w:marRight w:val="0"/>
      <w:marTop w:val="0"/>
      <w:marBottom w:val="0"/>
      <w:divBdr>
        <w:top w:val="none" w:sz="0" w:space="0" w:color="auto"/>
        <w:left w:val="none" w:sz="0" w:space="0" w:color="auto"/>
        <w:bottom w:val="none" w:sz="0" w:space="0" w:color="auto"/>
        <w:right w:val="none" w:sz="0" w:space="0" w:color="auto"/>
      </w:divBdr>
    </w:div>
    <w:div w:id="172962590">
      <w:bodyDiv w:val="1"/>
      <w:marLeft w:val="0"/>
      <w:marRight w:val="0"/>
      <w:marTop w:val="0"/>
      <w:marBottom w:val="0"/>
      <w:divBdr>
        <w:top w:val="none" w:sz="0" w:space="0" w:color="auto"/>
        <w:left w:val="none" w:sz="0" w:space="0" w:color="auto"/>
        <w:bottom w:val="none" w:sz="0" w:space="0" w:color="auto"/>
        <w:right w:val="none" w:sz="0" w:space="0" w:color="auto"/>
      </w:divBdr>
    </w:div>
    <w:div w:id="188372205">
      <w:bodyDiv w:val="1"/>
      <w:marLeft w:val="0"/>
      <w:marRight w:val="0"/>
      <w:marTop w:val="0"/>
      <w:marBottom w:val="0"/>
      <w:divBdr>
        <w:top w:val="none" w:sz="0" w:space="0" w:color="auto"/>
        <w:left w:val="none" w:sz="0" w:space="0" w:color="auto"/>
        <w:bottom w:val="none" w:sz="0" w:space="0" w:color="auto"/>
        <w:right w:val="none" w:sz="0" w:space="0" w:color="auto"/>
      </w:divBdr>
    </w:div>
    <w:div w:id="195042435">
      <w:bodyDiv w:val="1"/>
      <w:marLeft w:val="0"/>
      <w:marRight w:val="0"/>
      <w:marTop w:val="0"/>
      <w:marBottom w:val="0"/>
      <w:divBdr>
        <w:top w:val="none" w:sz="0" w:space="0" w:color="auto"/>
        <w:left w:val="none" w:sz="0" w:space="0" w:color="auto"/>
        <w:bottom w:val="none" w:sz="0" w:space="0" w:color="auto"/>
        <w:right w:val="none" w:sz="0" w:space="0" w:color="auto"/>
      </w:divBdr>
    </w:div>
    <w:div w:id="197548776">
      <w:bodyDiv w:val="1"/>
      <w:marLeft w:val="0"/>
      <w:marRight w:val="0"/>
      <w:marTop w:val="0"/>
      <w:marBottom w:val="0"/>
      <w:divBdr>
        <w:top w:val="none" w:sz="0" w:space="0" w:color="auto"/>
        <w:left w:val="none" w:sz="0" w:space="0" w:color="auto"/>
        <w:bottom w:val="none" w:sz="0" w:space="0" w:color="auto"/>
        <w:right w:val="none" w:sz="0" w:space="0" w:color="auto"/>
      </w:divBdr>
    </w:div>
    <w:div w:id="199632764">
      <w:bodyDiv w:val="1"/>
      <w:marLeft w:val="0"/>
      <w:marRight w:val="0"/>
      <w:marTop w:val="0"/>
      <w:marBottom w:val="0"/>
      <w:divBdr>
        <w:top w:val="none" w:sz="0" w:space="0" w:color="auto"/>
        <w:left w:val="none" w:sz="0" w:space="0" w:color="auto"/>
        <w:bottom w:val="none" w:sz="0" w:space="0" w:color="auto"/>
        <w:right w:val="none" w:sz="0" w:space="0" w:color="auto"/>
      </w:divBdr>
    </w:div>
    <w:div w:id="199823077">
      <w:bodyDiv w:val="1"/>
      <w:marLeft w:val="0"/>
      <w:marRight w:val="0"/>
      <w:marTop w:val="0"/>
      <w:marBottom w:val="0"/>
      <w:divBdr>
        <w:top w:val="none" w:sz="0" w:space="0" w:color="auto"/>
        <w:left w:val="none" w:sz="0" w:space="0" w:color="auto"/>
        <w:bottom w:val="none" w:sz="0" w:space="0" w:color="auto"/>
        <w:right w:val="none" w:sz="0" w:space="0" w:color="auto"/>
      </w:divBdr>
    </w:div>
    <w:div w:id="201405448">
      <w:bodyDiv w:val="1"/>
      <w:marLeft w:val="0"/>
      <w:marRight w:val="0"/>
      <w:marTop w:val="0"/>
      <w:marBottom w:val="0"/>
      <w:divBdr>
        <w:top w:val="none" w:sz="0" w:space="0" w:color="auto"/>
        <w:left w:val="none" w:sz="0" w:space="0" w:color="auto"/>
        <w:bottom w:val="none" w:sz="0" w:space="0" w:color="auto"/>
        <w:right w:val="none" w:sz="0" w:space="0" w:color="auto"/>
      </w:divBdr>
    </w:div>
    <w:div w:id="236325398">
      <w:bodyDiv w:val="1"/>
      <w:marLeft w:val="0"/>
      <w:marRight w:val="0"/>
      <w:marTop w:val="0"/>
      <w:marBottom w:val="0"/>
      <w:divBdr>
        <w:top w:val="none" w:sz="0" w:space="0" w:color="auto"/>
        <w:left w:val="none" w:sz="0" w:space="0" w:color="auto"/>
        <w:bottom w:val="none" w:sz="0" w:space="0" w:color="auto"/>
        <w:right w:val="none" w:sz="0" w:space="0" w:color="auto"/>
      </w:divBdr>
    </w:div>
    <w:div w:id="239679196">
      <w:bodyDiv w:val="1"/>
      <w:marLeft w:val="0"/>
      <w:marRight w:val="0"/>
      <w:marTop w:val="0"/>
      <w:marBottom w:val="0"/>
      <w:divBdr>
        <w:top w:val="none" w:sz="0" w:space="0" w:color="auto"/>
        <w:left w:val="none" w:sz="0" w:space="0" w:color="auto"/>
        <w:bottom w:val="none" w:sz="0" w:space="0" w:color="auto"/>
        <w:right w:val="none" w:sz="0" w:space="0" w:color="auto"/>
      </w:divBdr>
    </w:div>
    <w:div w:id="255673849">
      <w:bodyDiv w:val="1"/>
      <w:marLeft w:val="0"/>
      <w:marRight w:val="0"/>
      <w:marTop w:val="0"/>
      <w:marBottom w:val="0"/>
      <w:divBdr>
        <w:top w:val="none" w:sz="0" w:space="0" w:color="auto"/>
        <w:left w:val="none" w:sz="0" w:space="0" w:color="auto"/>
        <w:bottom w:val="none" w:sz="0" w:space="0" w:color="auto"/>
        <w:right w:val="none" w:sz="0" w:space="0" w:color="auto"/>
      </w:divBdr>
    </w:div>
    <w:div w:id="301618230">
      <w:bodyDiv w:val="1"/>
      <w:marLeft w:val="0"/>
      <w:marRight w:val="0"/>
      <w:marTop w:val="0"/>
      <w:marBottom w:val="0"/>
      <w:divBdr>
        <w:top w:val="none" w:sz="0" w:space="0" w:color="auto"/>
        <w:left w:val="none" w:sz="0" w:space="0" w:color="auto"/>
        <w:bottom w:val="none" w:sz="0" w:space="0" w:color="auto"/>
        <w:right w:val="none" w:sz="0" w:space="0" w:color="auto"/>
      </w:divBdr>
    </w:div>
    <w:div w:id="325593092">
      <w:bodyDiv w:val="1"/>
      <w:marLeft w:val="0"/>
      <w:marRight w:val="0"/>
      <w:marTop w:val="0"/>
      <w:marBottom w:val="0"/>
      <w:divBdr>
        <w:top w:val="none" w:sz="0" w:space="0" w:color="auto"/>
        <w:left w:val="none" w:sz="0" w:space="0" w:color="auto"/>
        <w:bottom w:val="none" w:sz="0" w:space="0" w:color="auto"/>
        <w:right w:val="none" w:sz="0" w:space="0" w:color="auto"/>
      </w:divBdr>
    </w:div>
    <w:div w:id="326592472">
      <w:bodyDiv w:val="1"/>
      <w:marLeft w:val="0"/>
      <w:marRight w:val="0"/>
      <w:marTop w:val="0"/>
      <w:marBottom w:val="0"/>
      <w:divBdr>
        <w:top w:val="none" w:sz="0" w:space="0" w:color="auto"/>
        <w:left w:val="none" w:sz="0" w:space="0" w:color="auto"/>
        <w:bottom w:val="none" w:sz="0" w:space="0" w:color="auto"/>
        <w:right w:val="none" w:sz="0" w:space="0" w:color="auto"/>
      </w:divBdr>
    </w:div>
    <w:div w:id="327052722">
      <w:bodyDiv w:val="1"/>
      <w:marLeft w:val="0"/>
      <w:marRight w:val="0"/>
      <w:marTop w:val="0"/>
      <w:marBottom w:val="0"/>
      <w:divBdr>
        <w:top w:val="none" w:sz="0" w:space="0" w:color="auto"/>
        <w:left w:val="none" w:sz="0" w:space="0" w:color="auto"/>
        <w:bottom w:val="none" w:sz="0" w:space="0" w:color="auto"/>
        <w:right w:val="none" w:sz="0" w:space="0" w:color="auto"/>
      </w:divBdr>
    </w:div>
    <w:div w:id="329526734">
      <w:bodyDiv w:val="1"/>
      <w:marLeft w:val="0"/>
      <w:marRight w:val="0"/>
      <w:marTop w:val="0"/>
      <w:marBottom w:val="0"/>
      <w:divBdr>
        <w:top w:val="none" w:sz="0" w:space="0" w:color="auto"/>
        <w:left w:val="none" w:sz="0" w:space="0" w:color="auto"/>
        <w:bottom w:val="none" w:sz="0" w:space="0" w:color="auto"/>
        <w:right w:val="none" w:sz="0" w:space="0" w:color="auto"/>
      </w:divBdr>
    </w:div>
    <w:div w:id="330452407">
      <w:bodyDiv w:val="1"/>
      <w:marLeft w:val="0"/>
      <w:marRight w:val="0"/>
      <w:marTop w:val="0"/>
      <w:marBottom w:val="0"/>
      <w:divBdr>
        <w:top w:val="none" w:sz="0" w:space="0" w:color="auto"/>
        <w:left w:val="none" w:sz="0" w:space="0" w:color="auto"/>
        <w:bottom w:val="none" w:sz="0" w:space="0" w:color="auto"/>
        <w:right w:val="none" w:sz="0" w:space="0" w:color="auto"/>
      </w:divBdr>
    </w:div>
    <w:div w:id="333996299">
      <w:bodyDiv w:val="1"/>
      <w:marLeft w:val="0"/>
      <w:marRight w:val="0"/>
      <w:marTop w:val="0"/>
      <w:marBottom w:val="0"/>
      <w:divBdr>
        <w:top w:val="none" w:sz="0" w:space="0" w:color="auto"/>
        <w:left w:val="none" w:sz="0" w:space="0" w:color="auto"/>
        <w:bottom w:val="none" w:sz="0" w:space="0" w:color="auto"/>
        <w:right w:val="none" w:sz="0" w:space="0" w:color="auto"/>
      </w:divBdr>
    </w:div>
    <w:div w:id="337536995">
      <w:bodyDiv w:val="1"/>
      <w:marLeft w:val="0"/>
      <w:marRight w:val="0"/>
      <w:marTop w:val="0"/>
      <w:marBottom w:val="0"/>
      <w:divBdr>
        <w:top w:val="none" w:sz="0" w:space="0" w:color="auto"/>
        <w:left w:val="none" w:sz="0" w:space="0" w:color="auto"/>
        <w:bottom w:val="none" w:sz="0" w:space="0" w:color="auto"/>
        <w:right w:val="none" w:sz="0" w:space="0" w:color="auto"/>
      </w:divBdr>
    </w:div>
    <w:div w:id="339548807">
      <w:bodyDiv w:val="1"/>
      <w:marLeft w:val="0"/>
      <w:marRight w:val="0"/>
      <w:marTop w:val="0"/>
      <w:marBottom w:val="0"/>
      <w:divBdr>
        <w:top w:val="none" w:sz="0" w:space="0" w:color="auto"/>
        <w:left w:val="none" w:sz="0" w:space="0" w:color="auto"/>
        <w:bottom w:val="none" w:sz="0" w:space="0" w:color="auto"/>
        <w:right w:val="none" w:sz="0" w:space="0" w:color="auto"/>
      </w:divBdr>
    </w:div>
    <w:div w:id="380910548">
      <w:bodyDiv w:val="1"/>
      <w:marLeft w:val="0"/>
      <w:marRight w:val="0"/>
      <w:marTop w:val="0"/>
      <w:marBottom w:val="0"/>
      <w:divBdr>
        <w:top w:val="none" w:sz="0" w:space="0" w:color="auto"/>
        <w:left w:val="none" w:sz="0" w:space="0" w:color="auto"/>
        <w:bottom w:val="none" w:sz="0" w:space="0" w:color="auto"/>
        <w:right w:val="none" w:sz="0" w:space="0" w:color="auto"/>
      </w:divBdr>
    </w:div>
    <w:div w:id="414590861">
      <w:bodyDiv w:val="1"/>
      <w:marLeft w:val="0"/>
      <w:marRight w:val="0"/>
      <w:marTop w:val="0"/>
      <w:marBottom w:val="0"/>
      <w:divBdr>
        <w:top w:val="none" w:sz="0" w:space="0" w:color="auto"/>
        <w:left w:val="none" w:sz="0" w:space="0" w:color="auto"/>
        <w:bottom w:val="none" w:sz="0" w:space="0" w:color="auto"/>
        <w:right w:val="none" w:sz="0" w:space="0" w:color="auto"/>
      </w:divBdr>
    </w:div>
    <w:div w:id="418797211">
      <w:bodyDiv w:val="1"/>
      <w:marLeft w:val="0"/>
      <w:marRight w:val="0"/>
      <w:marTop w:val="0"/>
      <w:marBottom w:val="0"/>
      <w:divBdr>
        <w:top w:val="none" w:sz="0" w:space="0" w:color="auto"/>
        <w:left w:val="none" w:sz="0" w:space="0" w:color="auto"/>
        <w:bottom w:val="none" w:sz="0" w:space="0" w:color="auto"/>
        <w:right w:val="none" w:sz="0" w:space="0" w:color="auto"/>
      </w:divBdr>
    </w:div>
    <w:div w:id="418991028">
      <w:bodyDiv w:val="1"/>
      <w:marLeft w:val="0"/>
      <w:marRight w:val="0"/>
      <w:marTop w:val="0"/>
      <w:marBottom w:val="0"/>
      <w:divBdr>
        <w:top w:val="none" w:sz="0" w:space="0" w:color="auto"/>
        <w:left w:val="none" w:sz="0" w:space="0" w:color="auto"/>
        <w:bottom w:val="none" w:sz="0" w:space="0" w:color="auto"/>
        <w:right w:val="none" w:sz="0" w:space="0" w:color="auto"/>
      </w:divBdr>
    </w:div>
    <w:div w:id="420562845">
      <w:bodyDiv w:val="1"/>
      <w:marLeft w:val="0"/>
      <w:marRight w:val="0"/>
      <w:marTop w:val="0"/>
      <w:marBottom w:val="0"/>
      <w:divBdr>
        <w:top w:val="none" w:sz="0" w:space="0" w:color="auto"/>
        <w:left w:val="none" w:sz="0" w:space="0" w:color="auto"/>
        <w:bottom w:val="none" w:sz="0" w:space="0" w:color="auto"/>
        <w:right w:val="none" w:sz="0" w:space="0" w:color="auto"/>
      </w:divBdr>
    </w:div>
    <w:div w:id="426393460">
      <w:bodyDiv w:val="1"/>
      <w:marLeft w:val="0"/>
      <w:marRight w:val="0"/>
      <w:marTop w:val="0"/>
      <w:marBottom w:val="0"/>
      <w:divBdr>
        <w:top w:val="none" w:sz="0" w:space="0" w:color="auto"/>
        <w:left w:val="none" w:sz="0" w:space="0" w:color="auto"/>
        <w:bottom w:val="none" w:sz="0" w:space="0" w:color="auto"/>
        <w:right w:val="none" w:sz="0" w:space="0" w:color="auto"/>
      </w:divBdr>
    </w:div>
    <w:div w:id="441851177">
      <w:bodyDiv w:val="1"/>
      <w:marLeft w:val="0"/>
      <w:marRight w:val="0"/>
      <w:marTop w:val="0"/>
      <w:marBottom w:val="0"/>
      <w:divBdr>
        <w:top w:val="none" w:sz="0" w:space="0" w:color="auto"/>
        <w:left w:val="none" w:sz="0" w:space="0" w:color="auto"/>
        <w:bottom w:val="none" w:sz="0" w:space="0" w:color="auto"/>
        <w:right w:val="none" w:sz="0" w:space="0" w:color="auto"/>
      </w:divBdr>
    </w:div>
    <w:div w:id="454568913">
      <w:bodyDiv w:val="1"/>
      <w:marLeft w:val="0"/>
      <w:marRight w:val="0"/>
      <w:marTop w:val="0"/>
      <w:marBottom w:val="0"/>
      <w:divBdr>
        <w:top w:val="none" w:sz="0" w:space="0" w:color="auto"/>
        <w:left w:val="none" w:sz="0" w:space="0" w:color="auto"/>
        <w:bottom w:val="none" w:sz="0" w:space="0" w:color="auto"/>
        <w:right w:val="none" w:sz="0" w:space="0" w:color="auto"/>
      </w:divBdr>
    </w:div>
    <w:div w:id="462311075">
      <w:bodyDiv w:val="1"/>
      <w:marLeft w:val="0"/>
      <w:marRight w:val="0"/>
      <w:marTop w:val="0"/>
      <w:marBottom w:val="0"/>
      <w:divBdr>
        <w:top w:val="none" w:sz="0" w:space="0" w:color="auto"/>
        <w:left w:val="none" w:sz="0" w:space="0" w:color="auto"/>
        <w:bottom w:val="none" w:sz="0" w:space="0" w:color="auto"/>
        <w:right w:val="none" w:sz="0" w:space="0" w:color="auto"/>
      </w:divBdr>
    </w:div>
    <w:div w:id="464811875">
      <w:bodyDiv w:val="1"/>
      <w:marLeft w:val="0"/>
      <w:marRight w:val="0"/>
      <w:marTop w:val="0"/>
      <w:marBottom w:val="0"/>
      <w:divBdr>
        <w:top w:val="none" w:sz="0" w:space="0" w:color="auto"/>
        <w:left w:val="none" w:sz="0" w:space="0" w:color="auto"/>
        <w:bottom w:val="none" w:sz="0" w:space="0" w:color="auto"/>
        <w:right w:val="none" w:sz="0" w:space="0" w:color="auto"/>
      </w:divBdr>
    </w:div>
    <w:div w:id="474219993">
      <w:bodyDiv w:val="1"/>
      <w:marLeft w:val="0"/>
      <w:marRight w:val="0"/>
      <w:marTop w:val="0"/>
      <w:marBottom w:val="0"/>
      <w:divBdr>
        <w:top w:val="none" w:sz="0" w:space="0" w:color="auto"/>
        <w:left w:val="none" w:sz="0" w:space="0" w:color="auto"/>
        <w:bottom w:val="none" w:sz="0" w:space="0" w:color="auto"/>
        <w:right w:val="none" w:sz="0" w:space="0" w:color="auto"/>
      </w:divBdr>
    </w:div>
    <w:div w:id="475297863">
      <w:bodyDiv w:val="1"/>
      <w:marLeft w:val="0"/>
      <w:marRight w:val="0"/>
      <w:marTop w:val="0"/>
      <w:marBottom w:val="0"/>
      <w:divBdr>
        <w:top w:val="none" w:sz="0" w:space="0" w:color="auto"/>
        <w:left w:val="none" w:sz="0" w:space="0" w:color="auto"/>
        <w:bottom w:val="none" w:sz="0" w:space="0" w:color="auto"/>
        <w:right w:val="none" w:sz="0" w:space="0" w:color="auto"/>
      </w:divBdr>
    </w:div>
    <w:div w:id="486937906">
      <w:bodyDiv w:val="1"/>
      <w:marLeft w:val="0"/>
      <w:marRight w:val="0"/>
      <w:marTop w:val="0"/>
      <w:marBottom w:val="0"/>
      <w:divBdr>
        <w:top w:val="none" w:sz="0" w:space="0" w:color="auto"/>
        <w:left w:val="none" w:sz="0" w:space="0" w:color="auto"/>
        <w:bottom w:val="none" w:sz="0" w:space="0" w:color="auto"/>
        <w:right w:val="none" w:sz="0" w:space="0" w:color="auto"/>
      </w:divBdr>
    </w:div>
    <w:div w:id="489104296">
      <w:bodyDiv w:val="1"/>
      <w:marLeft w:val="0"/>
      <w:marRight w:val="0"/>
      <w:marTop w:val="0"/>
      <w:marBottom w:val="0"/>
      <w:divBdr>
        <w:top w:val="none" w:sz="0" w:space="0" w:color="auto"/>
        <w:left w:val="none" w:sz="0" w:space="0" w:color="auto"/>
        <w:bottom w:val="none" w:sz="0" w:space="0" w:color="auto"/>
        <w:right w:val="none" w:sz="0" w:space="0" w:color="auto"/>
      </w:divBdr>
    </w:div>
    <w:div w:id="501549343">
      <w:bodyDiv w:val="1"/>
      <w:marLeft w:val="0"/>
      <w:marRight w:val="0"/>
      <w:marTop w:val="0"/>
      <w:marBottom w:val="0"/>
      <w:divBdr>
        <w:top w:val="none" w:sz="0" w:space="0" w:color="auto"/>
        <w:left w:val="none" w:sz="0" w:space="0" w:color="auto"/>
        <w:bottom w:val="none" w:sz="0" w:space="0" w:color="auto"/>
        <w:right w:val="none" w:sz="0" w:space="0" w:color="auto"/>
      </w:divBdr>
    </w:div>
    <w:div w:id="508444021">
      <w:bodyDiv w:val="1"/>
      <w:marLeft w:val="0"/>
      <w:marRight w:val="0"/>
      <w:marTop w:val="0"/>
      <w:marBottom w:val="0"/>
      <w:divBdr>
        <w:top w:val="none" w:sz="0" w:space="0" w:color="auto"/>
        <w:left w:val="none" w:sz="0" w:space="0" w:color="auto"/>
        <w:bottom w:val="none" w:sz="0" w:space="0" w:color="auto"/>
        <w:right w:val="none" w:sz="0" w:space="0" w:color="auto"/>
      </w:divBdr>
    </w:div>
    <w:div w:id="521017904">
      <w:bodyDiv w:val="1"/>
      <w:marLeft w:val="0"/>
      <w:marRight w:val="0"/>
      <w:marTop w:val="0"/>
      <w:marBottom w:val="0"/>
      <w:divBdr>
        <w:top w:val="none" w:sz="0" w:space="0" w:color="auto"/>
        <w:left w:val="none" w:sz="0" w:space="0" w:color="auto"/>
        <w:bottom w:val="none" w:sz="0" w:space="0" w:color="auto"/>
        <w:right w:val="none" w:sz="0" w:space="0" w:color="auto"/>
      </w:divBdr>
    </w:div>
    <w:div w:id="533928177">
      <w:bodyDiv w:val="1"/>
      <w:marLeft w:val="0"/>
      <w:marRight w:val="0"/>
      <w:marTop w:val="0"/>
      <w:marBottom w:val="0"/>
      <w:divBdr>
        <w:top w:val="none" w:sz="0" w:space="0" w:color="auto"/>
        <w:left w:val="none" w:sz="0" w:space="0" w:color="auto"/>
        <w:bottom w:val="none" w:sz="0" w:space="0" w:color="auto"/>
        <w:right w:val="none" w:sz="0" w:space="0" w:color="auto"/>
      </w:divBdr>
    </w:div>
    <w:div w:id="534972536">
      <w:bodyDiv w:val="1"/>
      <w:marLeft w:val="0"/>
      <w:marRight w:val="0"/>
      <w:marTop w:val="0"/>
      <w:marBottom w:val="0"/>
      <w:divBdr>
        <w:top w:val="none" w:sz="0" w:space="0" w:color="auto"/>
        <w:left w:val="none" w:sz="0" w:space="0" w:color="auto"/>
        <w:bottom w:val="none" w:sz="0" w:space="0" w:color="auto"/>
        <w:right w:val="none" w:sz="0" w:space="0" w:color="auto"/>
      </w:divBdr>
    </w:div>
    <w:div w:id="537087414">
      <w:bodyDiv w:val="1"/>
      <w:marLeft w:val="0"/>
      <w:marRight w:val="0"/>
      <w:marTop w:val="0"/>
      <w:marBottom w:val="0"/>
      <w:divBdr>
        <w:top w:val="none" w:sz="0" w:space="0" w:color="auto"/>
        <w:left w:val="none" w:sz="0" w:space="0" w:color="auto"/>
        <w:bottom w:val="none" w:sz="0" w:space="0" w:color="auto"/>
        <w:right w:val="none" w:sz="0" w:space="0" w:color="auto"/>
      </w:divBdr>
    </w:div>
    <w:div w:id="539125748">
      <w:bodyDiv w:val="1"/>
      <w:marLeft w:val="0"/>
      <w:marRight w:val="0"/>
      <w:marTop w:val="0"/>
      <w:marBottom w:val="0"/>
      <w:divBdr>
        <w:top w:val="none" w:sz="0" w:space="0" w:color="auto"/>
        <w:left w:val="none" w:sz="0" w:space="0" w:color="auto"/>
        <w:bottom w:val="none" w:sz="0" w:space="0" w:color="auto"/>
        <w:right w:val="none" w:sz="0" w:space="0" w:color="auto"/>
      </w:divBdr>
    </w:div>
    <w:div w:id="543098050">
      <w:bodyDiv w:val="1"/>
      <w:marLeft w:val="0"/>
      <w:marRight w:val="0"/>
      <w:marTop w:val="0"/>
      <w:marBottom w:val="0"/>
      <w:divBdr>
        <w:top w:val="none" w:sz="0" w:space="0" w:color="auto"/>
        <w:left w:val="none" w:sz="0" w:space="0" w:color="auto"/>
        <w:bottom w:val="none" w:sz="0" w:space="0" w:color="auto"/>
        <w:right w:val="none" w:sz="0" w:space="0" w:color="auto"/>
      </w:divBdr>
    </w:div>
    <w:div w:id="555513112">
      <w:bodyDiv w:val="1"/>
      <w:marLeft w:val="0"/>
      <w:marRight w:val="0"/>
      <w:marTop w:val="0"/>
      <w:marBottom w:val="0"/>
      <w:divBdr>
        <w:top w:val="none" w:sz="0" w:space="0" w:color="auto"/>
        <w:left w:val="none" w:sz="0" w:space="0" w:color="auto"/>
        <w:bottom w:val="none" w:sz="0" w:space="0" w:color="auto"/>
        <w:right w:val="none" w:sz="0" w:space="0" w:color="auto"/>
      </w:divBdr>
    </w:div>
    <w:div w:id="573010550">
      <w:bodyDiv w:val="1"/>
      <w:marLeft w:val="0"/>
      <w:marRight w:val="0"/>
      <w:marTop w:val="0"/>
      <w:marBottom w:val="0"/>
      <w:divBdr>
        <w:top w:val="none" w:sz="0" w:space="0" w:color="auto"/>
        <w:left w:val="none" w:sz="0" w:space="0" w:color="auto"/>
        <w:bottom w:val="none" w:sz="0" w:space="0" w:color="auto"/>
        <w:right w:val="none" w:sz="0" w:space="0" w:color="auto"/>
      </w:divBdr>
    </w:div>
    <w:div w:id="581720271">
      <w:bodyDiv w:val="1"/>
      <w:marLeft w:val="0"/>
      <w:marRight w:val="0"/>
      <w:marTop w:val="0"/>
      <w:marBottom w:val="0"/>
      <w:divBdr>
        <w:top w:val="none" w:sz="0" w:space="0" w:color="auto"/>
        <w:left w:val="none" w:sz="0" w:space="0" w:color="auto"/>
        <w:bottom w:val="none" w:sz="0" w:space="0" w:color="auto"/>
        <w:right w:val="none" w:sz="0" w:space="0" w:color="auto"/>
      </w:divBdr>
    </w:div>
    <w:div w:id="605044770">
      <w:bodyDiv w:val="1"/>
      <w:marLeft w:val="0"/>
      <w:marRight w:val="0"/>
      <w:marTop w:val="0"/>
      <w:marBottom w:val="0"/>
      <w:divBdr>
        <w:top w:val="none" w:sz="0" w:space="0" w:color="auto"/>
        <w:left w:val="none" w:sz="0" w:space="0" w:color="auto"/>
        <w:bottom w:val="none" w:sz="0" w:space="0" w:color="auto"/>
        <w:right w:val="none" w:sz="0" w:space="0" w:color="auto"/>
      </w:divBdr>
    </w:div>
    <w:div w:id="669064396">
      <w:bodyDiv w:val="1"/>
      <w:marLeft w:val="0"/>
      <w:marRight w:val="0"/>
      <w:marTop w:val="0"/>
      <w:marBottom w:val="0"/>
      <w:divBdr>
        <w:top w:val="none" w:sz="0" w:space="0" w:color="auto"/>
        <w:left w:val="none" w:sz="0" w:space="0" w:color="auto"/>
        <w:bottom w:val="none" w:sz="0" w:space="0" w:color="auto"/>
        <w:right w:val="none" w:sz="0" w:space="0" w:color="auto"/>
      </w:divBdr>
    </w:div>
    <w:div w:id="682165501">
      <w:bodyDiv w:val="1"/>
      <w:marLeft w:val="0"/>
      <w:marRight w:val="0"/>
      <w:marTop w:val="0"/>
      <w:marBottom w:val="0"/>
      <w:divBdr>
        <w:top w:val="none" w:sz="0" w:space="0" w:color="auto"/>
        <w:left w:val="none" w:sz="0" w:space="0" w:color="auto"/>
        <w:bottom w:val="none" w:sz="0" w:space="0" w:color="auto"/>
        <w:right w:val="none" w:sz="0" w:space="0" w:color="auto"/>
      </w:divBdr>
    </w:div>
    <w:div w:id="692802955">
      <w:bodyDiv w:val="1"/>
      <w:marLeft w:val="0"/>
      <w:marRight w:val="0"/>
      <w:marTop w:val="0"/>
      <w:marBottom w:val="0"/>
      <w:divBdr>
        <w:top w:val="none" w:sz="0" w:space="0" w:color="auto"/>
        <w:left w:val="none" w:sz="0" w:space="0" w:color="auto"/>
        <w:bottom w:val="none" w:sz="0" w:space="0" w:color="auto"/>
        <w:right w:val="none" w:sz="0" w:space="0" w:color="auto"/>
      </w:divBdr>
    </w:div>
    <w:div w:id="702754030">
      <w:bodyDiv w:val="1"/>
      <w:marLeft w:val="0"/>
      <w:marRight w:val="0"/>
      <w:marTop w:val="0"/>
      <w:marBottom w:val="0"/>
      <w:divBdr>
        <w:top w:val="none" w:sz="0" w:space="0" w:color="auto"/>
        <w:left w:val="none" w:sz="0" w:space="0" w:color="auto"/>
        <w:bottom w:val="none" w:sz="0" w:space="0" w:color="auto"/>
        <w:right w:val="none" w:sz="0" w:space="0" w:color="auto"/>
      </w:divBdr>
    </w:div>
    <w:div w:id="779185395">
      <w:bodyDiv w:val="1"/>
      <w:marLeft w:val="0"/>
      <w:marRight w:val="0"/>
      <w:marTop w:val="0"/>
      <w:marBottom w:val="0"/>
      <w:divBdr>
        <w:top w:val="none" w:sz="0" w:space="0" w:color="auto"/>
        <w:left w:val="none" w:sz="0" w:space="0" w:color="auto"/>
        <w:bottom w:val="none" w:sz="0" w:space="0" w:color="auto"/>
        <w:right w:val="none" w:sz="0" w:space="0" w:color="auto"/>
      </w:divBdr>
    </w:div>
    <w:div w:id="783841716">
      <w:bodyDiv w:val="1"/>
      <w:marLeft w:val="0"/>
      <w:marRight w:val="0"/>
      <w:marTop w:val="0"/>
      <w:marBottom w:val="0"/>
      <w:divBdr>
        <w:top w:val="none" w:sz="0" w:space="0" w:color="auto"/>
        <w:left w:val="none" w:sz="0" w:space="0" w:color="auto"/>
        <w:bottom w:val="none" w:sz="0" w:space="0" w:color="auto"/>
        <w:right w:val="none" w:sz="0" w:space="0" w:color="auto"/>
      </w:divBdr>
    </w:div>
    <w:div w:id="792287861">
      <w:bodyDiv w:val="1"/>
      <w:marLeft w:val="0"/>
      <w:marRight w:val="0"/>
      <w:marTop w:val="0"/>
      <w:marBottom w:val="0"/>
      <w:divBdr>
        <w:top w:val="none" w:sz="0" w:space="0" w:color="auto"/>
        <w:left w:val="none" w:sz="0" w:space="0" w:color="auto"/>
        <w:bottom w:val="none" w:sz="0" w:space="0" w:color="auto"/>
        <w:right w:val="none" w:sz="0" w:space="0" w:color="auto"/>
      </w:divBdr>
    </w:div>
    <w:div w:id="814175588">
      <w:bodyDiv w:val="1"/>
      <w:marLeft w:val="0"/>
      <w:marRight w:val="0"/>
      <w:marTop w:val="0"/>
      <w:marBottom w:val="0"/>
      <w:divBdr>
        <w:top w:val="none" w:sz="0" w:space="0" w:color="auto"/>
        <w:left w:val="none" w:sz="0" w:space="0" w:color="auto"/>
        <w:bottom w:val="none" w:sz="0" w:space="0" w:color="auto"/>
        <w:right w:val="none" w:sz="0" w:space="0" w:color="auto"/>
      </w:divBdr>
    </w:div>
    <w:div w:id="831026035">
      <w:bodyDiv w:val="1"/>
      <w:marLeft w:val="0"/>
      <w:marRight w:val="0"/>
      <w:marTop w:val="0"/>
      <w:marBottom w:val="0"/>
      <w:divBdr>
        <w:top w:val="none" w:sz="0" w:space="0" w:color="auto"/>
        <w:left w:val="none" w:sz="0" w:space="0" w:color="auto"/>
        <w:bottom w:val="none" w:sz="0" w:space="0" w:color="auto"/>
        <w:right w:val="none" w:sz="0" w:space="0" w:color="auto"/>
      </w:divBdr>
    </w:div>
    <w:div w:id="838153703">
      <w:bodyDiv w:val="1"/>
      <w:marLeft w:val="0"/>
      <w:marRight w:val="0"/>
      <w:marTop w:val="0"/>
      <w:marBottom w:val="0"/>
      <w:divBdr>
        <w:top w:val="none" w:sz="0" w:space="0" w:color="auto"/>
        <w:left w:val="none" w:sz="0" w:space="0" w:color="auto"/>
        <w:bottom w:val="none" w:sz="0" w:space="0" w:color="auto"/>
        <w:right w:val="none" w:sz="0" w:space="0" w:color="auto"/>
      </w:divBdr>
      <w:divsChild>
        <w:div w:id="1522743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415882">
      <w:bodyDiv w:val="1"/>
      <w:marLeft w:val="0"/>
      <w:marRight w:val="0"/>
      <w:marTop w:val="0"/>
      <w:marBottom w:val="0"/>
      <w:divBdr>
        <w:top w:val="none" w:sz="0" w:space="0" w:color="auto"/>
        <w:left w:val="none" w:sz="0" w:space="0" w:color="auto"/>
        <w:bottom w:val="none" w:sz="0" w:space="0" w:color="auto"/>
        <w:right w:val="none" w:sz="0" w:space="0" w:color="auto"/>
      </w:divBdr>
    </w:div>
    <w:div w:id="907542973">
      <w:bodyDiv w:val="1"/>
      <w:marLeft w:val="0"/>
      <w:marRight w:val="0"/>
      <w:marTop w:val="0"/>
      <w:marBottom w:val="0"/>
      <w:divBdr>
        <w:top w:val="none" w:sz="0" w:space="0" w:color="auto"/>
        <w:left w:val="none" w:sz="0" w:space="0" w:color="auto"/>
        <w:bottom w:val="none" w:sz="0" w:space="0" w:color="auto"/>
        <w:right w:val="none" w:sz="0" w:space="0" w:color="auto"/>
      </w:divBdr>
    </w:div>
    <w:div w:id="910500408">
      <w:bodyDiv w:val="1"/>
      <w:marLeft w:val="0"/>
      <w:marRight w:val="0"/>
      <w:marTop w:val="0"/>
      <w:marBottom w:val="0"/>
      <w:divBdr>
        <w:top w:val="none" w:sz="0" w:space="0" w:color="auto"/>
        <w:left w:val="none" w:sz="0" w:space="0" w:color="auto"/>
        <w:bottom w:val="none" w:sz="0" w:space="0" w:color="auto"/>
        <w:right w:val="none" w:sz="0" w:space="0" w:color="auto"/>
      </w:divBdr>
    </w:div>
    <w:div w:id="912199048">
      <w:bodyDiv w:val="1"/>
      <w:marLeft w:val="0"/>
      <w:marRight w:val="0"/>
      <w:marTop w:val="0"/>
      <w:marBottom w:val="0"/>
      <w:divBdr>
        <w:top w:val="none" w:sz="0" w:space="0" w:color="auto"/>
        <w:left w:val="none" w:sz="0" w:space="0" w:color="auto"/>
        <w:bottom w:val="none" w:sz="0" w:space="0" w:color="auto"/>
        <w:right w:val="none" w:sz="0" w:space="0" w:color="auto"/>
      </w:divBdr>
    </w:div>
    <w:div w:id="923302118">
      <w:bodyDiv w:val="1"/>
      <w:marLeft w:val="0"/>
      <w:marRight w:val="0"/>
      <w:marTop w:val="0"/>
      <w:marBottom w:val="0"/>
      <w:divBdr>
        <w:top w:val="none" w:sz="0" w:space="0" w:color="auto"/>
        <w:left w:val="none" w:sz="0" w:space="0" w:color="auto"/>
        <w:bottom w:val="none" w:sz="0" w:space="0" w:color="auto"/>
        <w:right w:val="none" w:sz="0" w:space="0" w:color="auto"/>
      </w:divBdr>
    </w:div>
    <w:div w:id="943418110">
      <w:bodyDiv w:val="1"/>
      <w:marLeft w:val="0"/>
      <w:marRight w:val="0"/>
      <w:marTop w:val="0"/>
      <w:marBottom w:val="0"/>
      <w:divBdr>
        <w:top w:val="none" w:sz="0" w:space="0" w:color="auto"/>
        <w:left w:val="none" w:sz="0" w:space="0" w:color="auto"/>
        <w:bottom w:val="none" w:sz="0" w:space="0" w:color="auto"/>
        <w:right w:val="none" w:sz="0" w:space="0" w:color="auto"/>
      </w:divBdr>
    </w:div>
    <w:div w:id="957030926">
      <w:bodyDiv w:val="1"/>
      <w:marLeft w:val="0"/>
      <w:marRight w:val="0"/>
      <w:marTop w:val="0"/>
      <w:marBottom w:val="0"/>
      <w:divBdr>
        <w:top w:val="none" w:sz="0" w:space="0" w:color="auto"/>
        <w:left w:val="none" w:sz="0" w:space="0" w:color="auto"/>
        <w:bottom w:val="none" w:sz="0" w:space="0" w:color="auto"/>
        <w:right w:val="none" w:sz="0" w:space="0" w:color="auto"/>
      </w:divBdr>
    </w:div>
    <w:div w:id="964194899">
      <w:bodyDiv w:val="1"/>
      <w:marLeft w:val="0"/>
      <w:marRight w:val="0"/>
      <w:marTop w:val="0"/>
      <w:marBottom w:val="0"/>
      <w:divBdr>
        <w:top w:val="none" w:sz="0" w:space="0" w:color="auto"/>
        <w:left w:val="none" w:sz="0" w:space="0" w:color="auto"/>
        <w:bottom w:val="none" w:sz="0" w:space="0" w:color="auto"/>
        <w:right w:val="none" w:sz="0" w:space="0" w:color="auto"/>
      </w:divBdr>
    </w:div>
    <w:div w:id="985007946">
      <w:bodyDiv w:val="1"/>
      <w:marLeft w:val="0"/>
      <w:marRight w:val="0"/>
      <w:marTop w:val="0"/>
      <w:marBottom w:val="0"/>
      <w:divBdr>
        <w:top w:val="none" w:sz="0" w:space="0" w:color="auto"/>
        <w:left w:val="none" w:sz="0" w:space="0" w:color="auto"/>
        <w:bottom w:val="none" w:sz="0" w:space="0" w:color="auto"/>
        <w:right w:val="none" w:sz="0" w:space="0" w:color="auto"/>
      </w:divBdr>
    </w:div>
    <w:div w:id="1027296218">
      <w:bodyDiv w:val="1"/>
      <w:marLeft w:val="0"/>
      <w:marRight w:val="0"/>
      <w:marTop w:val="0"/>
      <w:marBottom w:val="0"/>
      <w:divBdr>
        <w:top w:val="none" w:sz="0" w:space="0" w:color="auto"/>
        <w:left w:val="none" w:sz="0" w:space="0" w:color="auto"/>
        <w:bottom w:val="none" w:sz="0" w:space="0" w:color="auto"/>
        <w:right w:val="none" w:sz="0" w:space="0" w:color="auto"/>
      </w:divBdr>
    </w:div>
    <w:div w:id="1027636387">
      <w:bodyDiv w:val="1"/>
      <w:marLeft w:val="0"/>
      <w:marRight w:val="0"/>
      <w:marTop w:val="0"/>
      <w:marBottom w:val="0"/>
      <w:divBdr>
        <w:top w:val="none" w:sz="0" w:space="0" w:color="auto"/>
        <w:left w:val="none" w:sz="0" w:space="0" w:color="auto"/>
        <w:bottom w:val="none" w:sz="0" w:space="0" w:color="auto"/>
        <w:right w:val="none" w:sz="0" w:space="0" w:color="auto"/>
      </w:divBdr>
    </w:div>
    <w:div w:id="1036124849">
      <w:bodyDiv w:val="1"/>
      <w:marLeft w:val="0"/>
      <w:marRight w:val="0"/>
      <w:marTop w:val="0"/>
      <w:marBottom w:val="0"/>
      <w:divBdr>
        <w:top w:val="none" w:sz="0" w:space="0" w:color="auto"/>
        <w:left w:val="none" w:sz="0" w:space="0" w:color="auto"/>
        <w:bottom w:val="none" w:sz="0" w:space="0" w:color="auto"/>
        <w:right w:val="none" w:sz="0" w:space="0" w:color="auto"/>
      </w:divBdr>
    </w:div>
    <w:div w:id="1042167771">
      <w:bodyDiv w:val="1"/>
      <w:marLeft w:val="0"/>
      <w:marRight w:val="0"/>
      <w:marTop w:val="0"/>
      <w:marBottom w:val="0"/>
      <w:divBdr>
        <w:top w:val="none" w:sz="0" w:space="0" w:color="auto"/>
        <w:left w:val="none" w:sz="0" w:space="0" w:color="auto"/>
        <w:bottom w:val="none" w:sz="0" w:space="0" w:color="auto"/>
        <w:right w:val="none" w:sz="0" w:space="0" w:color="auto"/>
      </w:divBdr>
    </w:div>
    <w:div w:id="1046830504">
      <w:bodyDiv w:val="1"/>
      <w:marLeft w:val="0"/>
      <w:marRight w:val="0"/>
      <w:marTop w:val="0"/>
      <w:marBottom w:val="0"/>
      <w:divBdr>
        <w:top w:val="none" w:sz="0" w:space="0" w:color="auto"/>
        <w:left w:val="none" w:sz="0" w:space="0" w:color="auto"/>
        <w:bottom w:val="none" w:sz="0" w:space="0" w:color="auto"/>
        <w:right w:val="none" w:sz="0" w:space="0" w:color="auto"/>
      </w:divBdr>
    </w:div>
    <w:div w:id="1055004652">
      <w:bodyDiv w:val="1"/>
      <w:marLeft w:val="0"/>
      <w:marRight w:val="0"/>
      <w:marTop w:val="0"/>
      <w:marBottom w:val="0"/>
      <w:divBdr>
        <w:top w:val="none" w:sz="0" w:space="0" w:color="auto"/>
        <w:left w:val="none" w:sz="0" w:space="0" w:color="auto"/>
        <w:bottom w:val="none" w:sz="0" w:space="0" w:color="auto"/>
        <w:right w:val="none" w:sz="0" w:space="0" w:color="auto"/>
      </w:divBdr>
    </w:div>
    <w:div w:id="1078792976">
      <w:bodyDiv w:val="1"/>
      <w:marLeft w:val="0"/>
      <w:marRight w:val="0"/>
      <w:marTop w:val="0"/>
      <w:marBottom w:val="0"/>
      <w:divBdr>
        <w:top w:val="none" w:sz="0" w:space="0" w:color="auto"/>
        <w:left w:val="none" w:sz="0" w:space="0" w:color="auto"/>
        <w:bottom w:val="none" w:sz="0" w:space="0" w:color="auto"/>
        <w:right w:val="none" w:sz="0" w:space="0" w:color="auto"/>
      </w:divBdr>
    </w:div>
    <w:div w:id="1100376274">
      <w:bodyDiv w:val="1"/>
      <w:marLeft w:val="0"/>
      <w:marRight w:val="0"/>
      <w:marTop w:val="0"/>
      <w:marBottom w:val="0"/>
      <w:divBdr>
        <w:top w:val="none" w:sz="0" w:space="0" w:color="auto"/>
        <w:left w:val="none" w:sz="0" w:space="0" w:color="auto"/>
        <w:bottom w:val="none" w:sz="0" w:space="0" w:color="auto"/>
        <w:right w:val="none" w:sz="0" w:space="0" w:color="auto"/>
      </w:divBdr>
    </w:div>
    <w:div w:id="1104420587">
      <w:bodyDiv w:val="1"/>
      <w:marLeft w:val="0"/>
      <w:marRight w:val="0"/>
      <w:marTop w:val="0"/>
      <w:marBottom w:val="0"/>
      <w:divBdr>
        <w:top w:val="none" w:sz="0" w:space="0" w:color="auto"/>
        <w:left w:val="none" w:sz="0" w:space="0" w:color="auto"/>
        <w:bottom w:val="none" w:sz="0" w:space="0" w:color="auto"/>
        <w:right w:val="none" w:sz="0" w:space="0" w:color="auto"/>
      </w:divBdr>
    </w:div>
    <w:div w:id="1106541456">
      <w:bodyDiv w:val="1"/>
      <w:marLeft w:val="0"/>
      <w:marRight w:val="0"/>
      <w:marTop w:val="0"/>
      <w:marBottom w:val="0"/>
      <w:divBdr>
        <w:top w:val="none" w:sz="0" w:space="0" w:color="auto"/>
        <w:left w:val="none" w:sz="0" w:space="0" w:color="auto"/>
        <w:bottom w:val="none" w:sz="0" w:space="0" w:color="auto"/>
        <w:right w:val="none" w:sz="0" w:space="0" w:color="auto"/>
      </w:divBdr>
    </w:div>
    <w:div w:id="1109205868">
      <w:bodyDiv w:val="1"/>
      <w:marLeft w:val="0"/>
      <w:marRight w:val="0"/>
      <w:marTop w:val="0"/>
      <w:marBottom w:val="0"/>
      <w:divBdr>
        <w:top w:val="none" w:sz="0" w:space="0" w:color="auto"/>
        <w:left w:val="none" w:sz="0" w:space="0" w:color="auto"/>
        <w:bottom w:val="none" w:sz="0" w:space="0" w:color="auto"/>
        <w:right w:val="none" w:sz="0" w:space="0" w:color="auto"/>
      </w:divBdr>
    </w:div>
    <w:div w:id="1127160174">
      <w:bodyDiv w:val="1"/>
      <w:marLeft w:val="0"/>
      <w:marRight w:val="0"/>
      <w:marTop w:val="0"/>
      <w:marBottom w:val="0"/>
      <w:divBdr>
        <w:top w:val="none" w:sz="0" w:space="0" w:color="auto"/>
        <w:left w:val="none" w:sz="0" w:space="0" w:color="auto"/>
        <w:bottom w:val="none" w:sz="0" w:space="0" w:color="auto"/>
        <w:right w:val="none" w:sz="0" w:space="0" w:color="auto"/>
      </w:divBdr>
    </w:div>
    <w:div w:id="1129862273">
      <w:bodyDiv w:val="1"/>
      <w:marLeft w:val="0"/>
      <w:marRight w:val="0"/>
      <w:marTop w:val="0"/>
      <w:marBottom w:val="0"/>
      <w:divBdr>
        <w:top w:val="none" w:sz="0" w:space="0" w:color="auto"/>
        <w:left w:val="none" w:sz="0" w:space="0" w:color="auto"/>
        <w:bottom w:val="none" w:sz="0" w:space="0" w:color="auto"/>
        <w:right w:val="none" w:sz="0" w:space="0" w:color="auto"/>
      </w:divBdr>
    </w:div>
    <w:div w:id="1134905966">
      <w:bodyDiv w:val="1"/>
      <w:marLeft w:val="0"/>
      <w:marRight w:val="0"/>
      <w:marTop w:val="0"/>
      <w:marBottom w:val="0"/>
      <w:divBdr>
        <w:top w:val="none" w:sz="0" w:space="0" w:color="auto"/>
        <w:left w:val="none" w:sz="0" w:space="0" w:color="auto"/>
        <w:bottom w:val="none" w:sz="0" w:space="0" w:color="auto"/>
        <w:right w:val="none" w:sz="0" w:space="0" w:color="auto"/>
      </w:divBdr>
    </w:div>
    <w:div w:id="1156610717">
      <w:bodyDiv w:val="1"/>
      <w:marLeft w:val="0"/>
      <w:marRight w:val="0"/>
      <w:marTop w:val="0"/>
      <w:marBottom w:val="0"/>
      <w:divBdr>
        <w:top w:val="none" w:sz="0" w:space="0" w:color="auto"/>
        <w:left w:val="none" w:sz="0" w:space="0" w:color="auto"/>
        <w:bottom w:val="none" w:sz="0" w:space="0" w:color="auto"/>
        <w:right w:val="none" w:sz="0" w:space="0" w:color="auto"/>
      </w:divBdr>
    </w:div>
    <w:div w:id="1172112116">
      <w:bodyDiv w:val="1"/>
      <w:marLeft w:val="0"/>
      <w:marRight w:val="0"/>
      <w:marTop w:val="0"/>
      <w:marBottom w:val="0"/>
      <w:divBdr>
        <w:top w:val="none" w:sz="0" w:space="0" w:color="auto"/>
        <w:left w:val="none" w:sz="0" w:space="0" w:color="auto"/>
        <w:bottom w:val="none" w:sz="0" w:space="0" w:color="auto"/>
        <w:right w:val="none" w:sz="0" w:space="0" w:color="auto"/>
      </w:divBdr>
    </w:div>
    <w:div w:id="1179346820">
      <w:bodyDiv w:val="1"/>
      <w:marLeft w:val="0"/>
      <w:marRight w:val="0"/>
      <w:marTop w:val="0"/>
      <w:marBottom w:val="0"/>
      <w:divBdr>
        <w:top w:val="none" w:sz="0" w:space="0" w:color="auto"/>
        <w:left w:val="none" w:sz="0" w:space="0" w:color="auto"/>
        <w:bottom w:val="none" w:sz="0" w:space="0" w:color="auto"/>
        <w:right w:val="none" w:sz="0" w:space="0" w:color="auto"/>
      </w:divBdr>
    </w:div>
    <w:div w:id="1190993263">
      <w:bodyDiv w:val="1"/>
      <w:marLeft w:val="0"/>
      <w:marRight w:val="0"/>
      <w:marTop w:val="0"/>
      <w:marBottom w:val="0"/>
      <w:divBdr>
        <w:top w:val="none" w:sz="0" w:space="0" w:color="auto"/>
        <w:left w:val="none" w:sz="0" w:space="0" w:color="auto"/>
        <w:bottom w:val="none" w:sz="0" w:space="0" w:color="auto"/>
        <w:right w:val="none" w:sz="0" w:space="0" w:color="auto"/>
      </w:divBdr>
      <w:divsChild>
        <w:div w:id="1724059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738573">
      <w:bodyDiv w:val="1"/>
      <w:marLeft w:val="0"/>
      <w:marRight w:val="0"/>
      <w:marTop w:val="0"/>
      <w:marBottom w:val="0"/>
      <w:divBdr>
        <w:top w:val="none" w:sz="0" w:space="0" w:color="auto"/>
        <w:left w:val="none" w:sz="0" w:space="0" w:color="auto"/>
        <w:bottom w:val="none" w:sz="0" w:space="0" w:color="auto"/>
        <w:right w:val="none" w:sz="0" w:space="0" w:color="auto"/>
      </w:divBdr>
    </w:div>
    <w:div w:id="1226137217">
      <w:bodyDiv w:val="1"/>
      <w:marLeft w:val="0"/>
      <w:marRight w:val="0"/>
      <w:marTop w:val="0"/>
      <w:marBottom w:val="0"/>
      <w:divBdr>
        <w:top w:val="none" w:sz="0" w:space="0" w:color="auto"/>
        <w:left w:val="none" w:sz="0" w:space="0" w:color="auto"/>
        <w:bottom w:val="none" w:sz="0" w:space="0" w:color="auto"/>
        <w:right w:val="none" w:sz="0" w:space="0" w:color="auto"/>
      </w:divBdr>
    </w:div>
    <w:div w:id="1232883919">
      <w:bodyDiv w:val="1"/>
      <w:marLeft w:val="0"/>
      <w:marRight w:val="0"/>
      <w:marTop w:val="0"/>
      <w:marBottom w:val="0"/>
      <w:divBdr>
        <w:top w:val="none" w:sz="0" w:space="0" w:color="auto"/>
        <w:left w:val="none" w:sz="0" w:space="0" w:color="auto"/>
        <w:bottom w:val="none" w:sz="0" w:space="0" w:color="auto"/>
        <w:right w:val="none" w:sz="0" w:space="0" w:color="auto"/>
      </w:divBdr>
    </w:div>
    <w:div w:id="1248464598">
      <w:bodyDiv w:val="1"/>
      <w:marLeft w:val="0"/>
      <w:marRight w:val="0"/>
      <w:marTop w:val="0"/>
      <w:marBottom w:val="0"/>
      <w:divBdr>
        <w:top w:val="none" w:sz="0" w:space="0" w:color="auto"/>
        <w:left w:val="none" w:sz="0" w:space="0" w:color="auto"/>
        <w:bottom w:val="none" w:sz="0" w:space="0" w:color="auto"/>
        <w:right w:val="none" w:sz="0" w:space="0" w:color="auto"/>
      </w:divBdr>
    </w:div>
    <w:div w:id="1250389981">
      <w:bodyDiv w:val="1"/>
      <w:marLeft w:val="0"/>
      <w:marRight w:val="0"/>
      <w:marTop w:val="0"/>
      <w:marBottom w:val="0"/>
      <w:divBdr>
        <w:top w:val="none" w:sz="0" w:space="0" w:color="auto"/>
        <w:left w:val="none" w:sz="0" w:space="0" w:color="auto"/>
        <w:bottom w:val="none" w:sz="0" w:space="0" w:color="auto"/>
        <w:right w:val="none" w:sz="0" w:space="0" w:color="auto"/>
      </w:divBdr>
    </w:div>
    <w:div w:id="1253662318">
      <w:bodyDiv w:val="1"/>
      <w:marLeft w:val="0"/>
      <w:marRight w:val="0"/>
      <w:marTop w:val="0"/>
      <w:marBottom w:val="0"/>
      <w:divBdr>
        <w:top w:val="none" w:sz="0" w:space="0" w:color="auto"/>
        <w:left w:val="none" w:sz="0" w:space="0" w:color="auto"/>
        <w:bottom w:val="none" w:sz="0" w:space="0" w:color="auto"/>
        <w:right w:val="none" w:sz="0" w:space="0" w:color="auto"/>
      </w:divBdr>
    </w:div>
    <w:div w:id="1264873026">
      <w:bodyDiv w:val="1"/>
      <w:marLeft w:val="0"/>
      <w:marRight w:val="0"/>
      <w:marTop w:val="0"/>
      <w:marBottom w:val="0"/>
      <w:divBdr>
        <w:top w:val="none" w:sz="0" w:space="0" w:color="auto"/>
        <w:left w:val="none" w:sz="0" w:space="0" w:color="auto"/>
        <w:bottom w:val="none" w:sz="0" w:space="0" w:color="auto"/>
        <w:right w:val="none" w:sz="0" w:space="0" w:color="auto"/>
      </w:divBdr>
    </w:div>
    <w:div w:id="1289780114">
      <w:bodyDiv w:val="1"/>
      <w:marLeft w:val="0"/>
      <w:marRight w:val="0"/>
      <w:marTop w:val="0"/>
      <w:marBottom w:val="0"/>
      <w:divBdr>
        <w:top w:val="none" w:sz="0" w:space="0" w:color="auto"/>
        <w:left w:val="none" w:sz="0" w:space="0" w:color="auto"/>
        <w:bottom w:val="none" w:sz="0" w:space="0" w:color="auto"/>
        <w:right w:val="none" w:sz="0" w:space="0" w:color="auto"/>
      </w:divBdr>
    </w:div>
    <w:div w:id="1295873289">
      <w:bodyDiv w:val="1"/>
      <w:marLeft w:val="0"/>
      <w:marRight w:val="0"/>
      <w:marTop w:val="0"/>
      <w:marBottom w:val="0"/>
      <w:divBdr>
        <w:top w:val="none" w:sz="0" w:space="0" w:color="auto"/>
        <w:left w:val="none" w:sz="0" w:space="0" w:color="auto"/>
        <w:bottom w:val="none" w:sz="0" w:space="0" w:color="auto"/>
        <w:right w:val="none" w:sz="0" w:space="0" w:color="auto"/>
      </w:divBdr>
    </w:div>
    <w:div w:id="1305888680">
      <w:bodyDiv w:val="1"/>
      <w:marLeft w:val="0"/>
      <w:marRight w:val="0"/>
      <w:marTop w:val="0"/>
      <w:marBottom w:val="0"/>
      <w:divBdr>
        <w:top w:val="none" w:sz="0" w:space="0" w:color="auto"/>
        <w:left w:val="none" w:sz="0" w:space="0" w:color="auto"/>
        <w:bottom w:val="none" w:sz="0" w:space="0" w:color="auto"/>
        <w:right w:val="none" w:sz="0" w:space="0" w:color="auto"/>
      </w:divBdr>
    </w:div>
    <w:div w:id="1321425007">
      <w:bodyDiv w:val="1"/>
      <w:marLeft w:val="0"/>
      <w:marRight w:val="0"/>
      <w:marTop w:val="0"/>
      <w:marBottom w:val="0"/>
      <w:divBdr>
        <w:top w:val="none" w:sz="0" w:space="0" w:color="auto"/>
        <w:left w:val="none" w:sz="0" w:space="0" w:color="auto"/>
        <w:bottom w:val="none" w:sz="0" w:space="0" w:color="auto"/>
        <w:right w:val="none" w:sz="0" w:space="0" w:color="auto"/>
      </w:divBdr>
    </w:div>
    <w:div w:id="1338070453">
      <w:bodyDiv w:val="1"/>
      <w:marLeft w:val="0"/>
      <w:marRight w:val="0"/>
      <w:marTop w:val="0"/>
      <w:marBottom w:val="0"/>
      <w:divBdr>
        <w:top w:val="none" w:sz="0" w:space="0" w:color="auto"/>
        <w:left w:val="none" w:sz="0" w:space="0" w:color="auto"/>
        <w:bottom w:val="none" w:sz="0" w:space="0" w:color="auto"/>
        <w:right w:val="none" w:sz="0" w:space="0" w:color="auto"/>
      </w:divBdr>
    </w:div>
    <w:div w:id="1343508049">
      <w:bodyDiv w:val="1"/>
      <w:marLeft w:val="0"/>
      <w:marRight w:val="0"/>
      <w:marTop w:val="0"/>
      <w:marBottom w:val="0"/>
      <w:divBdr>
        <w:top w:val="none" w:sz="0" w:space="0" w:color="auto"/>
        <w:left w:val="none" w:sz="0" w:space="0" w:color="auto"/>
        <w:bottom w:val="none" w:sz="0" w:space="0" w:color="auto"/>
        <w:right w:val="none" w:sz="0" w:space="0" w:color="auto"/>
      </w:divBdr>
      <w:divsChild>
        <w:div w:id="2003386801">
          <w:marLeft w:val="0"/>
          <w:marRight w:val="0"/>
          <w:marTop w:val="0"/>
          <w:marBottom w:val="0"/>
          <w:divBdr>
            <w:top w:val="none" w:sz="0" w:space="0" w:color="auto"/>
            <w:left w:val="none" w:sz="0" w:space="0" w:color="auto"/>
            <w:bottom w:val="none" w:sz="0" w:space="0" w:color="auto"/>
            <w:right w:val="none" w:sz="0" w:space="0" w:color="auto"/>
          </w:divBdr>
        </w:div>
      </w:divsChild>
    </w:div>
    <w:div w:id="1350252816">
      <w:bodyDiv w:val="1"/>
      <w:marLeft w:val="0"/>
      <w:marRight w:val="0"/>
      <w:marTop w:val="0"/>
      <w:marBottom w:val="0"/>
      <w:divBdr>
        <w:top w:val="none" w:sz="0" w:space="0" w:color="auto"/>
        <w:left w:val="none" w:sz="0" w:space="0" w:color="auto"/>
        <w:bottom w:val="none" w:sz="0" w:space="0" w:color="auto"/>
        <w:right w:val="none" w:sz="0" w:space="0" w:color="auto"/>
      </w:divBdr>
    </w:div>
    <w:div w:id="1362975370">
      <w:bodyDiv w:val="1"/>
      <w:marLeft w:val="0"/>
      <w:marRight w:val="0"/>
      <w:marTop w:val="0"/>
      <w:marBottom w:val="0"/>
      <w:divBdr>
        <w:top w:val="none" w:sz="0" w:space="0" w:color="auto"/>
        <w:left w:val="none" w:sz="0" w:space="0" w:color="auto"/>
        <w:bottom w:val="none" w:sz="0" w:space="0" w:color="auto"/>
        <w:right w:val="none" w:sz="0" w:space="0" w:color="auto"/>
      </w:divBdr>
    </w:div>
    <w:div w:id="1398823667">
      <w:bodyDiv w:val="1"/>
      <w:marLeft w:val="0"/>
      <w:marRight w:val="0"/>
      <w:marTop w:val="0"/>
      <w:marBottom w:val="0"/>
      <w:divBdr>
        <w:top w:val="none" w:sz="0" w:space="0" w:color="auto"/>
        <w:left w:val="none" w:sz="0" w:space="0" w:color="auto"/>
        <w:bottom w:val="none" w:sz="0" w:space="0" w:color="auto"/>
        <w:right w:val="none" w:sz="0" w:space="0" w:color="auto"/>
      </w:divBdr>
    </w:div>
    <w:div w:id="1408503284">
      <w:bodyDiv w:val="1"/>
      <w:marLeft w:val="0"/>
      <w:marRight w:val="0"/>
      <w:marTop w:val="0"/>
      <w:marBottom w:val="0"/>
      <w:divBdr>
        <w:top w:val="none" w:sz="0" w:space="0" w:color="auto"/>
        <w:left w:val="none" w:sz="0" w:space="0" w:color="auto"/>
        <w:bottom w:val="none" w:sz="0" w:space="0" w:color="auto"/>
        <w:right w:val="none" w:sz="0" w:space="0" w:color="auto"/>
      </w:divBdr>
    </w:div>
    <w:div w:id="1416855144">
      <w:bodyDiv w:val="1"/>
      <w:marLeft w:val="0"/>
      <w:marRight w:val="0"/>
      <w:marTop w:val="0"/>
      <w:marBottom w:val="0"/>
      <w:divBdr>
        <w:top w:val="none" w:sz="0" w:space="0" w:color="auto"/>
        <w:left w:val="none" w:sz="0" w:space="0" w:color="auto"/>
        <w:bottom w:val="none" w:sz="0" w:space="0" w:color="auto"/>
        <w:right w:val="none" w:sz="0" w:space="0" w:color="auto"/>
      </w:divBdr>
    </w:div>
    <w:div w:id="1418214986">
      <w:bodyDiv w:val="1"/>
      <w:marLeft w:val="0"/>
      <w:marRight w:val="0"/>
      <w:marTop w:val="0"/>
      <w:marBottom w:val="0"/>
      <w:divBdr>
        <w:top w:val="none" w:sz="0" w:space="0" w:color="auto"/>
        <w:left w:val="none" w:sz="0" w:space="0" w:color="auto"/>
        <w:bottom w:val="none" w:sz="0" w:space="0" w:color="auto"/>
        <w:right w:val="none" w:sz="0" w:space="0" w:color="auto"/>
      </w:divBdr>
    </w:div>
    <w:div w:id="1423798016">
      <w:bodyDiv w:val="1"/>
      <w:marLeft w:val="0"/>
      <w:marRight w:val="0"/>
      <w:marTop w:val="0"/>
      <w:marBottom w:val="0"/>
      <w:divBdr>
        <w:top w:val="none" w:sz="0" w:space="0" w:color="auto"/>
        <w:left w:val="none" w:sz="0" w:space="0" w:color="auto"/>
        <w:bottom w:val="none" w:sz="0" w:space="0" w:color="auto"/>
        <w:right w:val="none" w:sz="0" w:space="0" w:color="auto"/>
      </w:divBdr>
    </w:div>
    <w:div w:id="1424952852">
      <w:bodyDiv w:val="1"/>
      <w:marLeft w:val="0"/>
      <w:marRight w:val="0"/>
      <w:marTop w:val="0"/>
      <w:marBottom w:val="0"/>
      <w:divBdr>
        <w:top w:val="none" w:sz="0" w:space="0" w:color="auto"/>
        <w:left w:val="none" w:sz="0" w:space="0" w:color="auto"/>
        <w:bottom w:val="none" w:sz="0" w:space="0" w:color="auto"/>
        <w:right w:val="none" w:sz="0" w:space="0" w:color="auto"/>
      </w:divBdr>
    </w:div>
    <w:div w:id="1443648177">
      <w:bodyDiv w:val="1"/>
      <w:marLeft w:val="0"/>
      <w:marRight w:val="0"/>
      <w:marTop w:val="0"/>
      <w:marBottom w:val="0"/>
      <w:divBdr>
        <w:top w:val="none" w:sz="0" w:space="0" w:color="auto"/>
        <w:left w:val="none" w:sz="0" w:space="0" w:color="auto"/>
        <w:bottom w:val="none" w:sz="0" w:space="0" w:color="auto"/>
        <w:right w:val="none" w:sz="0" w:space="0" w:color="auto"/>
      </w:divBdr>
    </w:div>
    <w:div w:id="1460102820">
      <w:bodyDiv w:val="1"/>
      <w:marLeft w:val="0"/>
      <w:marRight w:val="0"/>
      <w:marTop w:val="0"/>
      <w:marBottom w:val="0"/>
      <w:divBdr>
        <w:top w:val="none" w:sz="0" w:space="0" w:color="auto"/>
        <w:left w:val="none" w:sz="0" w:space="0" w:color="auto"/>
        <w:bottom w:val="none" w:sz="0" w:space="0" w:color="auto"/>
        <w:right w:val="none" w:sz="0" w:space="0" w:color="auto"/>
      </w:divBdr>
    </w:div>
    <w:div w:id="1460612525">
      <w:bodyDiv w:val="1"/>
      <w:marLeft w:val="0"/>
      <w:marRight w:val="0"/>
      <w:marTop w:val="0"/>
      <w:marBottom w:val="0"/>
      <w:divBdr>
        <w:top w:val="none" w:sz="0" w:space="0" w:color="auto"/>
        <w:left w:val="none" w:sz="0" w:space="0" w:color="auto"/>
        <w:bottom w:val="none" w:sz="0" w:space="0" w:color="auto"/>
        <w:right w:val="none" w:sz="0" w:space="0" w:color="auto"/>
      </w:divBdr>
    </w:div>
    <w:div w:id="1475754300">
      <w:bodyDiv w:val="1"/>
      <w:marLeft w:val="0"/>
      <w:marRight w:val="0"/>
      <w:marTop w:val="0"/>
      <w:marBottom w:val="0"/>
      <w:divBdr>
        <w:top w:val="none" w:sz="0" w:space="0" w:color="auto"/>
        <w:left w:val="none" w:sz="0" w:space="0" w:color="auto"/>
        <w:bottom w:val="none" w:sz="0" w:space="0" w:color="auto"/>
        <w:right w:val="none" w:sz="0" w:space="0" w:color="auto"/>
      </w:divBdr>
    </w:div>
    <w:div w:id="1502351552">
      <w:bodyDiv w:val="1"/>
      <w:marLeft w:val="0"/>
      <w:marRight w:val="0"/>
      <w:marTop w:val="0"/>
      <w:marBottom w:val="0"/>
      <w:divBdr>
        <w:top w:val="none" w:sz="0" w:space="0" w:color="auto"/>
        <w:left w:val="none" w:sz="0" w:space="0" w:color="auto"/>
        <w:bottom w:val="none" w:sz="0" w:space="0" w:color="auto"/>
        <w:right w:val="none" w:sz="0" w:space="0" w:color="auto"/>
      </w:divBdr>
    </w:div>
    <w:div w:id="1540166789">
      <w:bodyDiv w:val="1"/>
      <w:marLeft w:val="0"/>
      <w:marRight w:val="0"/>
      <w:marTop w:val="0"/>
      <w:marBottom w:val="0"/>
      <w:divBdr>
        <w:top w:val="none" w:sz="0" w:space="0" w:color="auto"/>
        <w:left w:val="none" w:sz="0" w:space="0" w:color="auto"/>
        <w:bottom w:val="none" w:sz="0" w:space="0" w:color="auto"/>
        <w:right w:val="none" w:sz="0" w:space="0" w:color="auto"/>
      </w:divBdr>
    </w:div>
    <w:div w:id="1545672932">
      <w:bodyDiv w:val="1"/>
      <w:marLeft w:val="0"/>
      <w:marRight w:val="0"/>
      <w:marTop w:val="0"/>
      <w:marBottom w:val="0"/>
      <w:divBdr>
        <w:top w:val="none" w:sz="0" w:space="0" w:color="auto"/>
        <w:left w:val="none" w:sz="0" w:space="0" w:color="auto"/>
        <w:bottom w:val="none" w:sz="0" w:space="0" w:color="auto"/>
        <w:right w:val="none" w:sz="0" w:space="0" w:color="auto"/>
      </w:divBdr>
    </w:div>
    <w:div w:id="1568685772">
      <w:bodyDiv w:val="1"/>
      <w:marLeft w:val="0"/>
      <w:marRight w:val="0"/>
      <w:marTop w:val="0"/>
      <w:marBottom w:val="0"/>
      <w:divBdr>
        <w:top w:val="none" w:sz="0" w:space="0" w:color="auto"/>
        <w:left w:val="none" w:sz="0" w:space="0" w:color="auto"/>
        <w:bottom w:val="none" w:sz="0" w:space="0" w:color="auto"/>
        <w:right w:val="none" w:sz="0" w:space="0" w:color="auto"/>
      </w:divBdr>
    </w:div>
    <w:div w:id="1571692731">
      <w:bodyDiv w:val="1"/>
      <w:marLeft w:val="0"/>
      <w:marRight w:val="0"/>
      <w:marTop w:val="0"/>
      <w:marBottom w:val="0"/>
      <w:divBdr>
        <w:top w:val="none" w:sz="0" w:space="0" w:color="auto"/>
        <w:left w:val="none" w:sz="0" w:space="0" w:color="auto"/>
        <w:bottom w:val="none" w:sz="0" w:space="0" w:color="auto"/>
        <w:right w:val="none" w:sz="0" w:space="0" w:color="auto"/>
      </w:divBdr>
    </w:div>
    <w:div w:id="1581134197">
      <w:bodyDiv w:val="1"/>
      <w:marLeft w:val="0"/>
      <w:marRight w:val="0"/>
      <w:marTop w:val="0"/>
      <w:marBottom w:val="0"/>
      <w:divBdr>
        <w:top w:val="none" w:sz="0" w:space="0" w:color="auto"/>
        <w:left w:val="none" w:sz="0" w:space="0" w:color="auto"/>
        <w:bottom w:val="none" w:sz="0" w:space="0" w:color="auto"/>
        <w:right w:val="none" w:sz="0" w:space="0" w:color="auto"/>
      </w:divBdr>
    </w:div>
    <w:div w:id="1582372186">
      <w:bodyDiv w:val="1"/>
      <w:marLeft w:val="0"/>
      <w:marRight w:val="0"/>
      <w:marTop w:val="0"/>
      <w:marBottom w:val="0"/>
      <w:divBdr>
        <w:top w:val="none" w:sz="0" w:space="0" w:color="auto"/>
        <w:left w:val="none" w:sz="0" w:space="0" w:color="auto"/>
        <w:bottom w:val="none" w:sz="0" w:space="0" w:color="auto"/>
        <w:right w:val="none" w:sz="0" w:space="0" w:color="auto"/>
      </w:divBdr>
    </w:div>
    <w:div w:id="1601790839">
      <w:bodyDiv w:val="1"/>
      <w:marLeft w:val="0"/>
      <w:marRight w:val="0"/>
      <w:marTop w:val="0"/>
      <w:marBottom w:val="0"/>
      <w:divBdr>
        <w:top w:val="none" w:sz="0" w:space="0" w:color="auto"/>
        <w:left w:val="none" w:sz="0" w:space="0" w:color="auto"/>
        <w:bottom w:val="none" w:sz="0" w:space="0" w:color="auto"/>
        <w:right w:val="none" w:sz="0" w:space="0" w:color="auto"/>
      </w:divBdr>
    </w:div>
    <w:div w:id="1630822992">
      <w:bodyDiv w:val="1"/>
      <w:marLeft w:val="0"/>
      <w:marRight w:val="0"/>
      <w:marTop w:val="0"/>
      <w:marBottom w:val="0"/>
      <w:divBdr>
        <w:top w:val="none" w:sz="0" w:space="0" w:color="auto"/>
        <w:left w:val="none" w:sz="0" w:space="0" w:color="auto"/>
        <w:bottom w:val="none" w:sz="0" w:space="0" w:color="auto"/>
        <w:right w:val="none" w:sz="0" w:space="0" w:color="auto"/>
      </w:divBdr>
    </w:div>
    <w:div w:id="1651210205">
      <w:bodyDiv w:val="1"/>
      <w:marLeft w:val="0"/>
      <w:marRight w:val="0"/>
      <w:marTop w:val="0"/>
      <w:marBottom w:val="0"/>
      <w:divBdr>
        <w:top w:val="none" w:sz="0" w:space="0" w:color="auto"/>
        <w:left w:val="none" w:sz="0" w:space="0" w:color="auto"/>
        <w:bottom w:val="none" w:sz="0" w:space="0" w:color="auto"/>
        <w:right w:val="none" w:sz="0" w:space="0" w:color="auto"/>
      </w:divBdr>
    </w:div>
    <w:div w:id="1655909641">
      <w:bodyDiv w:val="1"/>
      <w:marLeft w:val="0"/>
      <w:marRight w:val="0"/>
      <w:marTop w:val="0"/>
      <w:marBottom w:val="0"/>
      <w:divBdr>
        <w:top w:val="none" w:sz="0" w:space="0" w:color="auto"/>
        <w:left w:val="none" w:sz="0" w:space="0" w:color="auto"/>
        <w:bottom w:val="none" w:sz="0" w:space="0" w:color="auto"/>
        <w:right w:val="none" w:sz="0" w:space="0" w:color="auto"/>
      </w:divBdr>
    </w:div>
    <w:div w:id="1672641536">
      <w:bodyDiv w:val="1"/>
      <w:marLeft w:val="0"/>
      <w:marRight w:val="0"/>
      <w:marTop w:val="0"/>
      <w:marBottom w:val="0"/>
      <w:divBdr>
        <w:top w:val="none" w:sz="0" w:space="0" w:color="auto"/>
        <w:left w:val="none" w:sz="0" w:space="0" w:color="auto"/>
        <w:bottom w:val="none" w:sz="0" w:space="0" w:color="auto"/>
        <w:right w:val="none" w:sz="0" w:space="0" w:color="auto"/>
      </w:divBdr>
    </w:div>
    <w:div w:id="1679194033">
      <w:bodyDiv w:val="1"/>
      <w:marLeft w:val="0"/>
      <w:marRight w:val="0"/>
      <w:marTop w:val="0"/>
      <w:marBottom w:val="0"/>
      <w:divBdr>
        <w:top w:val="none" w:sz="0" w:space="0" w:color="auto"/>
        <w:left w:val="none" w:sz="0" w:space="0" w:color="auto"/>
        <w:bottom w:val="none" w:sz="0" w:space="0" w:color="auto"/>
        <w:right w:val="none" w:sz="0" w:space="0" w:color="auto"/>
      </w:divBdr>
    </w:div>
    <w:div w:id="1693262940">
      <w:bodyDiv w:val="1"/>
      <w:marLeft w:val="0"/>
      <w:marRight w:val="0"/>
      <w:marTop w:val="0"/>
      <w:marBottom w:val="0"/>
      <w:divBdr>
        <w:top w:val="none" w:sz="0" w:space="0" w:color="auto"/>
        <w:left w:val="none" w:sz="0" w:space="0" w:color="auto"/>
        <w:bottom w:val="none" w:sz="0" w:space="0" w:color="auto"/>
        <w:right w:val="none" w:sz="0" w:space="0" w:color="auto"/>
      </w:divBdr>
    </w:div>
    <w:div w:id="1714187317">
      <w:bodyDiv w:val="1"/>
      <w:marLeft w:val="0"/>
      <w:marRight w:val="0"/>
      <w:marTop w:val="0"/>
      <w:marBottom w:val="0"/>
      <w:divBdr>
        <w:top w:val="none" w:sz="0" w:space="0" w:color="auto"/>
        <w:left w:val="none" w:sz="0" w:space="0" w:color="auto"/>
        <w:bottom w:val="none" w:sz="0" w:space="0" w:color="auto"/>
        <w:right w:val="none" w:sz="0" w:space="0" w:color="auto"/>
      </w:divBdr>
    </w:div>
    <w:div w:id="1718116798">
      <w:bodyDiv w:val="1"/>
      <w:marLeft w:val="0"/>
      <w:marRight w:val="0"/>
      <w:marTop w:val="0"/>
      <w:marBottom w:val="0"/>
      <w:divBdr>
        <w:top w:val="none" w:sz="0" w:space="0" w:color="auto"/>
        <w:left w:val="none" w:sz="0" w:space="0" w:color="auto"/>
        <w:bottom w:val="none" w:sz="0" w:space="0" w:color="auto"/>
        <w:right w:val="none" w:sz="0" w:space="0" w:color="auto"/>
      </w:divBdr>
      <w:divsChild>
        <w:div w:id="2063626544">
          <w:marLeft w:val="0"/>
          <w:marRight w:val="0"/>
          <w:marTop w:val="0"/>
          <w:marBottom w:val="0"/>
          <w:divBdr>
            <w:top w:val="none" w:sz="0" w:space="0" w:color="auto"/>
            <w:left w:val="none" w:sz="0" w:space="0" w:color="auto"/>
            <w:bottom w:val="none" w:sz="0" w:space="0" w:color="auto"/>
            <w:right w:val="none" w:sz="0" w:space="0" w:color="auto"/>
          </w:divBdr>
        </w:div>
      </w:divsChild>
    </w:div>
    <w:div w:id="1728986710">
      <w:bodyDiv w:val="1"/>
      <w:marLeft w:val="0"/>
      <w:marRight w:val="0"/>
      <w:marTop w:val="0"/>
      <w:marBottom w:val="0"/>
      <w:divBdr>
        <w:top w:val="none" w:sz="0" w:space="0" w:color="auto"/>
        <w:left w:val="none" w:sz="0" w:space="0" w:color="auto"/>
        <w:bottom w:val="none" w:sz="0" w:space="0" w:color="auto"/>
        <w:right w:val="none" w:sz="0" w:space="0" w:color="auto"/>
      </w:divBdr>
    </w:div>
    <w:div w:id="1740713552">
      <w:bodyDiv w:val="1"/>
      <w:marLeft w:val="0"/>
      <w:marRight w:val="0"/>
      <w:marTop w:val="0"/>
      <w:marBottom w:val="0"/>
      <w:divBdr>
        <w:top w:val="none" w:sz="0" w:space="0" w:color="auto"/>
        <w:left w:val="none" w:sz="0" w:space="0" w:color="auto"/>
        <w:bottom w:val="none" w:sz="0" w:space="0" w:color="auto"/>
        <w:right w:val="none" w:sz="0" w:space="0" w:color="auto"/>
      </w:divBdr>
    </w:div>
    <w:div w:id="1758674283">
      <w:bodyDiv w:val="1"/>
      <w:marLeft w:val="0"/>
      <w:marRight w:val="0"/>
      <w:marTop w:val="0"/>
      <w:marBottom w:val="0"/>
      <w:divBdr>
        <w:top w:val="none" w:sz="0" w:space="0" w:color="auto"/>
        <w:left w:val="none" w:sz="0" w:space="0" w:color="auto"/>
        <w:bottom w:val="none" w:sz="0" w:space="0" w:color="auto"/>
        <w:right w:val="none" w:sz="0" w:space="0" w:color="auto"/>
      </w:divBdr>
    </w:div>
    <w:div w:id="1771318686">
      <w:bodyDiv w:val="1"/>
      <w:marLeft w:val="0"/>
      <w:marRight w:val="0"/>
      <w:marTop w:val="0"/>
      <w:marBottom w:val="0"/>
      <w:divBdr>
        <w:top w:val="none" w:sz="0" w:space="0" w:color="auto"/>
        <w:left w:val="none" w:sz="0" w:space="0" w:color="auto"/>
        <w:bottom w:val="none" w:sz="0" w:space="0" w:color="auto"/>
        <w:right w:val="none" w:sz="0" w:space="0" w:color="auto"/>
      </w:divBdr>
    </w:div>
    <w:div w:id="1771973436">
      <w:bodyDiv w:val="1"/>
      <w:marLeft w:val="0"/>
      <w:marRight w:val="0"/>
      <w:marTop w:val="0"/>
      <w:marBottom w:val="0"/>
      <w:divBdr>
        <w:top w:val="none" w:sz="0" w:space="0" w:color="auto"/>
        <w:left w:val="none" w:sz="0" w:space="0" w:color="auto"/>
        <w:bottom w:val="none" w:sz="0" w:space="0" w:color="auto"/>
        <w:right w:val="none" w:sz="0" w:space="0" w:color="auto"/>
      </w:divBdr>
    </w:div>
    <w:div w:id="1772503933">
      <w:bodyDiv w:val="1"/>
      <w:marLeft w:val="0"/>
      <w:marRight w:val="0"/>
      <w:marTop w:val="0"/>
      <w:marBottom w:val="0"/>
      <w:divBdr>
        <w:top w:val="none" w:sz="0" w:space="0" w:color="auto"/>
        <w:left w:val="none" w:sz="0" w:space="0" w:color="auto"/>
        <w:bottom w:val="none" w:sz="0" w:space="0" w:color="auto"/>
        <w:right w:val="none" w:sz="0" w:space="0" w:color="auto"/>
      </w:divBdr>
    </w:div>
    <w:div w:id="1789162367">
      <w:bodyDiv w:val="1"/>
      <w:marLeft w:val="0"/>
      <w:marRight w:val="0"/>
      <w:marTop w:val="0"/>
      <w:marBottom w:val="0"/>
      <w:divBdr>
        <w:top w:val="none" w:sz="0" w:space="0" w:color="auto"/>
        <w:left w:val="none" w:sz="0" w:space="0" w:color="auto"/>
        <w:bottom w:val="none" w:sz="0" w:space="0" w:color="auto"/>
        <w:right w:val="none" w:sz="0" w:space="0" w:color="auto"/>
      </w:divBdr>
    </w:div>
    <w:div w:id="1811051134">
      <w:bodyDiv w:val="1"/>
      <w:marLeft w:val="0"/>
      <w:marRight w:val="0"/>
      <w:marTop w:val="0"/>
      <w:marBottom w:val="0"/>
      <w:divBdr>
        <w:top w:val="none" w:sz="0" w:space="0" w:color="auto"/>
        <w:left w:val="none" w:sz="0" w:space="0" w:color="auto"/>
        <w:bottom w:val="none" w:sz="0" w:space="0" w:color="auto"/>
        <w:right w:val="none" w:sz="0" w:space="0" w:color="auto"/>
      </w:divBdr>
    </w:div>
    <w:div w:id="1860197931">
      <w:bodyDiv w:val="1"/>
      <w:marLeft w:val="0"/>
      <w:marRight w:val="0"/>
      <w:marTop w:val="0"/>
      <w:marBottom w:val="0"/>
      <w:divBdr>
        <w:top w:val="none" w:sz="0" w:space="0" w:color="auto"/>
        <w:left w:val="none" w:sz="0" w:space="0" w:color="auto"/>
        <w:bottom w:val="none" w:sz="0" w:space="0" w:color="auto"/>
        <w:right w:val="none" w:sz="0" w:space="0" w:color="auto"/>
      </w:divBdr>
    </w:div>
    <w:div w:id="1866477124">
      <w:bodyDiv w:val="1"/>
      <w:marLeft w:val="0"/>
      <w:marRight w:val="0"/>
      <w:marTop w:val="0"/>
      <w:marBottom w:val="0"/>
      <w:divBdr>
        <w:top w:val="none" w:sz="0" w:space="0" w:color="auto"/>
        <w:left w:val="none" w:sz="0" w:space="0" w:color="auto"/>
        <w:bottom w:val="none" w:sz="0" w:space="0" w:color="auto"/>
        <w:right w:val="none" w:sz="0" w:space="0" w:color="auto"/>
      </w:divBdr>
    </w:div>
    <w:div w:id="1867403811">
      <w:bodyDiv w:val="1"/>
      <w:marLeft w:val="0"/>
      <w:marRight w:val="0"/>
      <w:marTop w:val="0"/>
      <w:marBottom w:val="0"/>
      <w:divBdr>
        <w:top w:val="none" w:sz="0" w:space="0" w:color="auto"/>
        <w:left w:val="none" w:sz="0" w:space="0" w:color="auto"/>
        <w:bottom w:val="none" w:sz="0" w:space="0" w:color="auto"/>
        <w:right w:val="none" w:sz="0" w:space="0" w:color="auto"/>
      </w:divBdr>
    </w:div>
    <w:div w:id="1898663769">
      <w:bodyDiv w:val="1"/>
      <w:marLeft w:val="0"/>
      <w:marRight w:val="0"/>
      <w:marTop w:val="0"/>
      <w:marBottom w:val="0"/>
      <w:divBdr>
        <w:top w:val="none" w:sz="0" w:space="0" w:color="auto"/>
        <w:left w:val="none" w:sz="0" w:space="0" w:color="auto"/>
        <w:bottom w:val="none" w:sz="0" w:space="0" w:color="auto"/>
        <w:right w:val="none" w:sz="0" w:space="0" w:color="auto"/>
      </w:divBdr>
    </w:div>
    <w:div w:id="1906866410">
      <w:bodyDiv w:val="1"/>
      <w:marLeft w:val="0"/>
      <w:marRight w:val="0"/>
      <w:marTop w:val="0"/>
      <w:marBottom w:val="0"/>
      <w:divBdr>
        <w:top w:val="none" w:sz="0" w:space="0" w:color="auto"/>
        <w:left w:val="none" w:sz="0" w:space="0" w:color="auto"/>
        <w:bottom w:val="none" w:sz="0" w:space="0" w:color="auto"/>
        <w:right w:val="none" w:sz="0" w:space="0" w:color="auto"/>
      </w:divBdr>
    </w:div>
    <w:div w:id="1913927551">
      <w:bodyDiv w:val="1"/>
      <w:marLeft w:val="0"/>
      <w:marRight w:val="0"/>
      <w:marTop w:val="0"/>
      <w:marBottom w:val="0"/>
      <w:divBdr>
        <w:top w:val="none" w:sz="0" w:space="0" w:color="auto"/>
        <w:left w:val="none" w:sz="0" w:space="0" w:color="auto"/>
        <w:bottom w:val="none" w:sz="0" w:space="0" w:color="auto"/>
        <w:right w:val="none" w:sz="0" w:space="0" w:color="auto"/>
      </w:divBdr>
    </w:div>
    <w:div w:id="1925726215">
      <w:bodyDiv w:val="1"/>
      <w:marLeft w:val="0"/>
      <w:marRight w:val="0"/>
      <w:marTop w:val="0"/>
      <w:marBottom w:val="0"/>
      <w:divBdr>
        <w:top w:val="none" w:sz="0" w:space="0" w:color="auto"/>
        <w:left w:val="none" w:sz="0" w:space="0" w:color="auto"/>
        <w:bottom w:val="none" w:sz="0" w:space="0" w:color="auto"/>
        <w:right w:val="none" w:sz="0" w:space="0" w:color="auto"/>
      </w:divBdr>
    </w:div>
    <w:div w:id="1927955418">
      <w:bodyDiv w:val="1"/>
      <w:marLeft w:val="0"/>
      <w:marRight w:val="0"/>
      <w:marTop w:val="0"/>
      <w:marBottom w:val="0"/>
      <w:divBdr>
        <w:top w:val="none" w:sz="0" w:space="0" w:color="auto"/>
        <w:left w:val="none" w:sz="0" w:space="0" w:color="auto"/>
        <w:bottom w:val="none" w:sz="0" w:space="0" w:color="auto"/>
        <w:right w:val="none" w:sz="0" w:space="0" w:color="auto"/>
      </w:divBdr>
    </w:div>
    <w:div w:id="1931616349">
      <w:bodyDiv w:val="1"/>
      <w:marLeft w:val="0"/>
      <w:marRight w:val="0"/>
      <w:marTop w:val="0"/>
      <w:marBottom w:val="0"/>
      <w:divBdr>
        <w:top w:val="none" w:sz="0" w:space="0" w:color="auto"/>
        <w:left w:val="none" w:sz="0" w:space="0" w:color="auto"/>
        <w:bottom w:val="none" w:sz="0" w:space="0" w:color="auto"/>
        <w:right w:val="none" w:sz="0" w:space="0" w:color="auto"/>
      </w:divBdr>
    </w:div>
    <w:div w:id="1943417477">
      <w:bodyDiv w:val="1"/>
      <w:marLeft w:val="0"/>
      <w:marRight w:val="0"/>
      <w:marTop w:val="0"/>
      <w:marBottom w:val="0"/>
      <w:divBdr>
        <w:top w:val="none" w:sz="0" w:space="0" w:color="auto"/>
        <w:left w:val="none" w:sz="0" w:space="0" w:color="auto"/>
        <w:bottom w:val="none" w:sz="0" w:space="0" w:color="auto"/>
        <w:right w:val="none" w:sz="0" w:space="0" w:color="auto"/>
      </w:divBdr>
    </w:div>
    <w:div w:id="1945962054">
      <w:bodyDiv w:val="1"/>
      <w:marLeft w:val="0"/>
      <w:marRight w:val="0"/>
      <w:marTop w:val="0"/>
      <w:marBottom w:val="0"/>
      <w:divBdr>
        <w:top w:val="none" w:sz="0" w:space="0" w:color="auto"/>
        <w:left w:val="none" w:sz="0" w:space="0" w:color="auto"/>
        <w:bottom w:val="none" w:sz="0" w:space="0" w:color="auto"/>
        <w:right w:val="none" w:sz="0" w:space="0" w:color="auto"/>
      </w:divBdr>
    </w:div>
    <w:div w:id="1954824936">
      <w:bodyDiv w:val="1"/>
      <w:marLeft w:val="0"/>
      <w:marRight w:val="0"/>
      <w:marTop w:val="0"/>
      <w:marBottom w:val="0"/>
      <w:divBdr>
        <w:top w:val="none" w:sz="0" w:space="0" w:color="auto"/>
        <w:left w:val="none" w:sz="0" w:space="0" w:color="auto"/>
        <w:bottom w:val="none" w:sz="0" w:space="0" w:color="auto"/>
        <w:right w:val="none" w:sz="0" w:space="0" w:color="auto"/>
      </w:divBdr>
    </w:div>
    <w:div w:id="1999722655">
      <w:bodyDiv w:val="1"/>
      <w:marLeft w:val="0"/>
      <w:marRight w:val="0"/>
      <w:marTop w:val="0"/>
      <w:marBottom w:val="0"/>
      <w:divBdr>
        <w:top w:val="none" w:sz="0" w:space="0" w:color="auto"/>
        <w:left w:val="none" w:sz="0" w:space="0" w:color="auto"/>
        <w:bottom w:val="none" w:sz="0" w:space="0" w:color="auto"/>
        <w:right w:val="none" w:sz="0" w:space="0" w:color="auto"/>
      </w:divBdr>
    </w:div>
    <w:div w:id="2005282402">
      <w:bodyDiv w:val="1"/>
      <w:marLeft w:val="0"/>
      <w:marRight w:val="0"/>
      <w:marTop w:val="0"/>
      <w:marBottom w:val="0"/>
      <w:divBdr>
        <w:top w:val="none" w:sz="0" w:space="0" w:color="auto"/>
        <w:left w:val="none" w:sz="0" w:space="0" w:color="auto"/>
        <w:bottom w:val="none" w:sz="0" w:space="0" w:color="auto"/>
        <w:right w:val="none" w:sz="0" w:space="0" w:color="auto"/>
      </w:divBdr>
    </w:div>
    <w:div w:id="2011909794">
      <w:bodyDiv w:val="1"/>
      <w:marLeft w:val="0"/>
      <w:marRight w:val="0"/>
      <w:marTop w:val="0"/>
      <w:marBottom w:val="0"/>
      <w:divBdr>
        <w:top w:val="none" w:sz="0" w:space="0" w:color="auto"/>
        <w:left w:val="none" w:sz="0" w:space="0" w:color="auto"/>
        <w:bottom w:val="none" w:sz="0" w:space="0" w:color="auto"/>
        <w:right w:val="none" w:sz="0" w:space="0" w:color="auto"/>
      </w:divBdr>
    </w:div>
    <w:div w:id="2015261653">
      <w:bodyDiv w:val="1"/>
      <w:marLeft w:val="0"/>
      <w:marRight w:val="0"/>
      <w:marTop w:val="0"/>
      <w:marBottom w:val="0"/>
      <w:divBdr>
        <w:top w:val="none" w:sz="0" w:space="0" w:color="auto"/>
        <w:left w:val="none" w:sz="0" w:space="0" w:color="auto"/>
        <w:bottom w:val="none" w:sz="0" w:space="0" w:color="auto"/>
        <w:right w:val="none" w:sz="0" w:space="0" w:color="auto"/>
      </w:divBdr>
    </w:div>
    <w:div w:id="2021812271">
      <w:bodyDiv w:val="1"/>
      <w:marLeft w:val="0"/>
      <w:marRight w:val="0"/>
      <w:marTop w:val="0"/>
      <w:marBottom w:val="0"/>
      <w:divBdr>
        <w:top w:val="none" w:sz="0" w:space="0" w:color="auto"/>
        <w:left w:val="none" w:sz="0" w:space="0" w:color="auto"/>
        <w:bottom w:val="none" w:sz="0" w:space="0" w:color="auto"/>
        <w:right w:val="none" w:sz="0" w:space="0" w:color="auto"/>
      </w:divBdr>
    </w:div>
    <w:div w:id="2025858749">
      <w:bodyDiv w:val="1"/>
      <w:marLeft w:val="0"/>
      <w:marRight w:val="0"/>
      <w:marTop w:val="0"/>
      <w:marBottom w:val="0"/>
      <w:divBdr>
        <w:top w:val="none" w:sz="0" w:space="0" w:color="auto"/>
        <w:left w:val="none" w:sz="0" w:space="0" w:color="auto"/>
        <w:bottom w:val="none" w:sz="0" w:space="0" w:color="auto"/>
        <w:right w:val="none" w:sz="0" w:space="0" w:color="auto"/>
      </w:divBdr>
    </w:div>
    <w:div w:id="2027320741">
      <w:bodyDiv w:val="1"/>
      <w:marLeft w:val="0"/>
      <w:marRight w:val="0"/>
      <w:marTop w:val="0"/>
      <w:marBottom w:val="0"/>
      <w:divBdr>
        <w:top w:val="none" w:sz="0" w:space="0" w:color="auto"/>
        <w:left w:val="none" w:sz="0" w:space="0" w:color="auto"/>
        <w:bottom w:val="none" w:sz="0" w:space="0" w:color="auto"/>
        <w:right w:val="none" w:sz="0" w:space="0" w:color="auto"/>
      </w:divBdr>
    </w:div>
    <w:div w:id="2030137159">
      <w:bodyDiv w:val="1"/>
      <w:marLeft w:val="0"/>
      <w:marRight w:val="0"/>
      <w:marTop w:val="0"/>
      <w:marBottom w:val="0"/>
      <w:divBdr>
        <w:top w:val="none" w:sz="0" w:space="0" w:color="auto"/>
        <w:left w:val="none" w:sz="0" w:space="0" w:color="auto"/>
        <w:bottom w:val="none" w:sz="0" w:space="0" w:color="auto"/>
        <w:right w:val="none" w:sz="0" w:space="0" w:color="auto"/>
      </w:divBdr>
    </w:div>
    <w:div w:id="2039426532">
      <w:bodyDiv w:val="1"/>
      <w:marLeft w:val="0"/>
      <w:marRight w:val="0"/>
      <w:marTop w:val="0"/>
      <w:marBottom w:val="0"/>
      <w:divBdr>
        <w:top w:val="none" w:sz="0" w:space="0" w:color="auto"/>
        <w:left w:val="none" w:sz="0" w:space="0" w:color="auto"/>
        <w:bottom w:val="none" w:sz="0" w:space="0" w:color="auto"/>
        <w:right w:val="none" w:sz="0" w:space="0" w:color="auto"/>
      </w:divBdr>
    </w:div>
    <w:div w:id="2039812655">
      <w:bodyDiv w:val="1"/>
      <w:marLeft w:val="0"/>
      <w:marRight w:val="0"/>
      <w:marTop w:val="0"/>
      <w:marBottom w:val="0"/>
      <w:divBdr>
        <w:top w:val="none" w:sz="0" w:space="0" w:color="auto"/>
        <w:left w:val="none" w:sz="0" w:space="0" w:color="auto"/>
        <w:bottom w:val="none" w:sz="0" w:space="0" w:color="auto"/>
        <w:right w:val="none" w:sz="0" w:space="0" w:color="auto"/>
      </w:divBdr>
    </w:div>
    <w:div w:id="2048144152">
      <w:bodyDiv w:val="1"/>
      <w:marLeft w:val="0"/>
      <w:marRight w:val="0"/>
      <w:marTop w:val="0"/>
      <w:marBottom w:val="0"/>
      <w:divBdr>
        <w:top w:val="none" w:sz="0" w:space="0" w:color="auto"/>
        <w:left w:val="none" w:sz="0" w:space="0" w:color="auto"/>
        <w:bottom w:val="none" w:sz="0" w:space="0" w:color="auto"/>
        <w:right w:val="none" w:sz="0" w:space="0" w:color="auto"/>
      </w:divBdr>
    </w:div>
    <w:div w:id="2074497227">
      <w:bodyDiv w:val="1"/>
      <w:marLeft w:val="0"/>
      <w:marRight w:val="0"/>
      <w:marTop w:val="0"/>
      <w:marBottom w:val="0"/>
      <w:divBdr>
        <w:top w:val="none" w:sz="0" w:space="0" w:color="auto"/>
        <w:left w:val="none" w:sz="0" w:space="0" w:color="auto"/>
        <w:bottom w:val="none" w:sz="0" w:space="0" w:color="auto"/>
        <w:right w:val="none" w:sz="0" w:space="0" w:color="auto"/>
      </w:divBdr>
    </w:div>
    <w:div w:id="2074887756">
      <w:bodyDiv w:val="1"/>
      <w:marLeft w:val="0"/>
      <w:marRight w:val="0"/>
      <w:marTop w:val="0"/>
      <w:marBottom w:val="0"/>
      <w:divBdr>
        <w:top w:val="none" w:sz="0" w:space="0" w:color="auto"/>
        <w:left w:val="none" w:sz="0" w:space="0" w:color="auto"/>
        <w:bottom w:val="none" w:sz="0" w:space="0" w:color="auto"/>
        <w:right w:val="none" w:sz="0" w:space="0" w:color="auto"/>
      </w:divBdr>
    </w:div>
    <w:div w:id="2077118922">
      <w:bodyDiv w:val="1"/>
      <w:marLeft w:val="0"/>
      <w:marRight w:val="0"/>
      <w:marTop w:val="0"/>
      <w:marBottom w:val="0"/>
      <w:divBdr>
        <w:top w:val="none" w:sz="0" w:space="0" w:color="auto"/>
        <w:left w:val="none" w:sz="0" w:space="0" w:color="auto"/>
        <w:bottom w:val="none" w:sz="0" w:space="0" w:color="auto"/>
        <w:right w:val="none" w:sz="0" w:space="0" w:color="auto"/>
      </w:divBdr>
    </w:div>
    <w:div w:id="2086679019">
      <w:bodyDiv w:val="1"/>
      <w:marLeft w:val="0"/>
      <w:marRight w:val="0"/>
      <w:marTop w:val="0"/>
      <w:marBottom w:val="0"/>
      <w:divBdr>
        <w:top w:val="none" w:sz="0" w:space="0" w:color="auto"/>
        <w:left w:val="none" w:sz="0" w:space="0" w:color="auto"/>
        <w:bottom w:val="none" w:sz="0" w:space="0" w:color="auto"/>
        <w:right w:val="none" w:sz="0" w:space="0" w:color="auto"/>
      </w:divBdr>
    </w:div>
    <w:div w:id="2092460606">
      <w:bodyDiv w:val="1"/>
      <w:marLeft w:val="0"/>
      <w:marRight w:val="0"/>
      <w:marTop w:val="0"/>
      <w:marBottom w:val="0"/>
      <w:divBdr>
        <w:top w:val="none" w:sz="0" w:space="0" w:color="auto"/>
        <w:left w:val="none" w:sz="0" w:space="0" w:color="auto"/>
        <w:bottom w:val="none" w:sz="0" w:space="0" w:color="auto"/>
        <w:right w:val="none" w:sz="0" w:space="0" w:color="auto"/>
      </w:divBdr>
    </w:div>
    <w:div w:id="211570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fatumo@qmul.ac.uk"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corpas@westminster.ac.uk"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manuelcorpas/17-EH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947</TotalTime>
  <Pages>23</Pages>
  <Words>18596</Words>
  <Characters>106002</Characters>
  <Application>Microsoft Office Word</Application>
  <DocSecurity>0</DocSecurity>
  <Lines>883</Lines>
  <Paragraphs>248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Corpas</dc:creator>
  <cp:keywords/>
  <dc:description/>
  <cp:lastModifiedBy>Manuel Corpas</cp:lastModifiedBy>
  <cp:revision>37</cp:revision>
  <cp:lastPrinted>2025-04-05T11:58:00Z</cp:lastPrinted>
  <dcterms:created xsi:type="dcterms:W3CDTF">2025-07-03T12:37:00Z</dcterms:created>
  <dcterms:modified xsi:type="dcterms:W3CDTF">2025-07-07T09:26:00Z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zotero-version="7.0.18"&gt;&lt;session id="dHHDmGqA"/&gt;&lt;style id="http://www.zotero.org/styles/nature" hasBibliography="1" bibliographyStyleHasBeenSet="1"/&gt;&lt;prefs&gt;&lt;pref name="fieldType" value="Field"/&gt;&lt;/prefs&gt;&lt;/data&gt;</vt:lpwstr>
  </property>
</Properties>
</file>