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03FA4" w14:textId="77777777" w:rsidR="00BA109A" w:rsidRDefault="00000000">
      <w:pPr>
        <w:spacing w:after="200"/>
        <w:jc w:val="center"/>
      </w:pPr>
      <w:r>
        <w:rPr>
          <w:b/>
          <w:bCs/>
          <w:sz w:val="32"/>
          <w:szCs w:val="32"/>
        </w:rPr>
        <w:t>Health Equity Informative Metrics (HEIM): A Framework for Quantifying Global Biobank Research Equity</w:t>
      </w:r>
    </w:p>
    <w:p w14:paraId="2E464900" w14:textId="77777777" w:rsidR="00BA109A" w:rsidRDefault="00000000">
      <w:pPr>
        <w:spacing w:after="400"/>
        <w:jc w:val="center"/>
      </w:pPr>
      <w:r>
        <w:rPr>
          <w:b/>
          <w:bCs/>
          <w:sz w:val="26"/>
          <w:szCs w:val="26"/>
        </w:rPr>
        <w:t>Equity Analysis of 70 International Health Cohorts Consortium Biobanks</w:t>
      </w:r>
    </w:p>
    <w:p w14:paraId="596B5758" w14:textId="77777777" w:rsidR="00BA109A" w:rsidRDefault="00000000">
      <w:pPr>
        <w:spacing w:after="200"/>
        <w:jc w:val="center"/>
      </w:pPr>
      <w:r>
        <w:rPr>
          <w:b/>
          <w:bCs/>
        </w:rPr>
        <w:t>Manuel Corpas</w:t>
      </w:r>
      <w:r>
        <w:rPr>
          <w:vertAlign w:val="superscript"/>
        </w:rPr>
        <w:t>1,2</w:t>
      </w:r>
      <w:r>
        <w:t>*</w:t>
      </w:r>
    </w:p>
    <w:p w14:paraId="0602BCB7" w14:textId="77777777" w:rsidR="00BA109A" w:rsidRDefault="00000000">
      <w:pPr>
        <w:spacing w:after="100"/>
        <w:jc w:val="center"/>
      </w:pPr>
      <w:r>
        <w:rPr>
          <w:vertAlign w:val="superscript"/>
        </w:rPr>
        <w:t>1</w:t>
      </w:r>
      <w:r>
        <w:rPr>
          <w:i/>
          <w:iCs/>
        </w:rPr>
        <w:t xml:space="preserve"> School of Life Sciences, University of Westminster, London, United Kingdom</w:t>
      </w:r>
    </w:p>
    <w:p w14:paraId="320E619E" w14:textId="77777777" w:rsidR="00BA109A" w:rsidRDefault="00000000">
      <w:pPr>
        <w:spacing w:after="200"/>
        <w:jc w:val="center"/>
      </w:pPr>
      <w:r>
        <w:rPr>
          <w:vertAlign w:val="superscript"/>
        </w:rPr>
        <w:t>2</w:t>
      </w:r>
      <w:r>
        <w:rPr>
          <w:i/>
          <w:iCs/>
        </w:rPr>
        <w:t xml:space="preserve"> The Alan Turing Institute, London, United Kingdom</w:t>
      </w:r>
    </w:p>
    <w:p w14:paraId="6CC3B985" w14:textId="77777777" w:rsidR="00BA109A" w:rsidRDefault="00000000">
      <w:pPr>
        <w:spacing w:after="200"/>
        <w:jc w:val="center"/>
      </w:pPr>
      <w:r>
        <w:t>* Corresponding author: m.corpas@westminster.ac.uk</w:t>
      </w:r>
    </w:p>
    <w:p w14:paraId="2BB11C54" w14:textId="77777777" w:rsidR="00BA109A" w:rsidRDefault="00000000">
      <w:pPr>
        <w:spacing w:after="400"/>
        <w:jc w:val="center"/>
      </w:pPr>
      <w:r>
        <w:rPr>
          <w:i/>
          <w:iCs/>
        </w:rPr>
        <w:t>Preprint version 2.0 | January 2026</w:t>
      </w:r>
    </w:p>
    <w:p w14:paraId="4498837A" w14:textId="77777777" w:rsidR="00BA109A" w:rsidRDefault="00000000">
      <w:pPr>
        <w:pStyle w:val="Heading1"/>
      </w:pPr>
      <w:r>
        <w:t>Abstract</w:t>
      </w:r>
    </w:p>
    <w:p w14:paraId="29F8CBAB" w14:textId="77777777" w:rsidR="00BA109A" w:rsidRDefault="00000000">
      <w:pPr>
        <w:spacing w:after="200"/>
        <w:jc w:val="both"/>
      </w:pPr>
      <w:r>
        <w:rPr>
          <w:b/>
          <w:bCs/>
        </w:rPr>
        <w:t xml:space="preserve">Background: </w:t>
      </w:r>
      <w:r>
        <w:t xml:space="preserve">Despite representing approximately 85% of the global population, </w:t>
      </w:r>
      <w:proofErr w:type="gramStart"/>
      <w:r>
        <w:t>low and middle income</w:t>
      </w:r>
      <w:proofErr w:type="gramEnd"/>
      <w:r>
        <w:t xml:space="preserve"> countries (LMICs) contribute less than 10% of participants to genome-wide association studies and biobank research. This disparity has profound implications for the generalisability of precision medicine. However, no standardised framework exists to quantify research equity at the biobank level or track progress over time.</w:t>
      </w:r>
    </w:p>
    <w:p w14:paraId="48AA2B9F" w14:textId="77777777" w:rsidR="00BA109A" w:rsidRDefault="00000000">
      <w:pPr>
        <w:spacing w:after="200"/>
        <w:jc w:val="both"/>
      </w:pPr>
      <w:r>
        <w:rPr>
          <w:b/>
          <w:bCs/>
        </w:rPr>
        <w:t xml:space="preserve">Methods: </w:t>
      </w:r>
      <w:r>
        <w:t>We developed the Health Equity Informative Metrics (HEIM) framework to quantify alignment between biobank research output and global disease burden. We analysed 38,595 PubMed-indexed publications (2000 to 2025) from 70 International Health Cohorts Consortium (IHCC) member biobanks across 29 countries, mapping each to 179 disease categories from the Global Burden of Disease Study 2021. We calculated disease-specific Gap Scores measuring the mismatch between burden (disability-adjusted life years, DALYs) and research attention, biobank-level Equity Alignment Scores (EAS), and regional equity ratios comparing high income (HIC) to LMIC research intensity.</w:t>
      </w:r>
    </w:p>
    <w:p w14:paraId="43585E0F" w14:textId="77777777" w:rsidR="00BA109A" w:rsidRDefault="00000000">
      <w:pPr>
        <w:spacing w:after="200"/>
        <w:jc w:val="both"/>
      </w:pPr>
      <w:r>
        <w:rPr>
          <w:b/>
          <w:bCs/>
        </w:rPr>
        <w:t xml:space="preserve">Findings: </w:t>
      </w:r>
      <w:r>
        <w:t xml:space="preserve">Within the 70-biobank IHCC cohort, HIC biobanks produced substantially higher research output per DALY compared to LMIC biobanks (equity ratio: 57.8:1; </w:t>
      </w:r>
      <w:r>
        <w:rPr>
          <w:b/>
          <w:bCs/>
        </w:rPr>
        <w:t>Figure 1C</w:t>
      </w:r>
      <w:r>
        <w:t>). Regional concentration was marked: the Americas and Europe accounted for 87.9% of publications, while Africa, Eastern Mediterranean, and South-East Asia combined contributed 2.2%. Of 179 disease categories, 48 (27%) exhibited critical or high severity research gaps despite substantial global burden; 22 diseases showed critical gaps. Only 1 of 70 biobanks (1.4%) achieved a 'High' equity alignment (UK Biobank, EAS 84.6); 13 (18.6%) were 'Moderate'; 56 (80%) were rated 'Low'. Critical gap diseases included malaria (55.2 million DALYs, 17 publications), dengue (2.1 million DALYs, 0 publications), and schistosomiasis (1.8 million DALYs, 0 publications).</w:t>
      </w:r>
    </w:p>
    <w:p w14:paraId="301D437C" w14:textId="77777777" w:rsidR="00BA109A" w:rsidRDefault="00000000">
      <w:pPr>
        <w:spacing w:after="200"/>
        <w:jc w:val="both"/>
      </w:pPr>
      <w:r>
        <w:rPr>
          <w:b/>
          <w:bCs/>
        </w:rPr>
        <w:t xml:space="preserve">Interpretation: </w:t>
      </w:r>
      <w:r>
        <w:t>The HEIM framework reveals substantial disparities in how biobank research capacity is distributed relative to global disease burden across IHCC-registered cohorts (</w:t>
      </w:r>
      <w:r>
        <w:rPr>
          <w:b/>
          <w:bCs/>
        </w:rPr>
        <w:t>Figure 1A</w:t>
      </w:r>
      <w:r>
        <w:t xml:space="preserve">). UK Biobank emerges as the leading performer, contributing 35.7% of all publications and achieving the highest EAS rating. These findings establish standardised baseline measurements for tracking progress toward more equitable genomic research. To operationalise these metrics, we </w:t>
      </w:r>
      <w:r>
        <w:lastRenderedPageBreak/>
        <w:t>developed an interactive dashboard (https://manuelcorpas.github.io/17-EHR/), which enables real-time benchmarking of biobanks against global disease burden. The dashboard will be updated annually to track equity trends.</w:t>
      </w:r>
    </w:p>
    <w:p w14:paraId="6DB2C44F" w14:textId="77777777" w:rsidR="00BA109A" w:rsidRDefault="00000000">
      <w:pPr>
        <w:spacing w:after="200"/>
        <w:jc w:val="both"/>
      </w:pPr>
      <w:r>
        <w:rPr>
          <w:b/>
          <w:bCs/>
        </w:rPr>
        <w:t xml:space="preserve">Code and Tool Availability: </w:t>
      </w:r>
      <w:r>
        <w:t>All analysis code, data, and the interactive dashboard are publicly available at https://manuelcorpas.github.io/17-EHR/ (source: https://github.com/manuelcorpas/17-EHR).</w:t>
      </w:r>
    </w:p>
    <w:p w14:paraId="7E2209D9" w14:textId="77777777" w:rsidR="00BA109A" w:rsidRDefault="00000000">
      <w:pPr>
        <w:spacing w:after="200"/>
        <w:jc w:val="both"/>
      </w:pPr>
      <w:r>
        <w:rPr>
          <w:b/>
          <w:bCs/>
        </w:rPr>
        <w:t xml:space="preserve">Keywords: </w:t>
      </w:r>
      <w:r>
        <w:t xml:space="preserve">biobanks; health equity; genomics; global health; disability-adjusted life years; precision medicine; </w:t>
      </w:r>
      <w:proofErr w:type="gramStart"/>
      <w:r>
        <w:t>low and middle income</w:t>
      </w:r>
      <w:proofErr w:type="gramEnd"/>
      <w:r>
        <w:t xml:space="preserve"> countries; IHCC</w:t>
      </w:r>
    </w:p>
    <w:p w14:paraId="7AE0D379" w14:textId="77777777" w:rsidR="00BA109A" w:rsidRDefault="00000000">
      <w:r>
        <w:br w:type="page"/>
      </w:r>
    </w:p>
    <w:p w14:paraId="1E1DBCB9" w14:textId="77777777" w:rsidR="00BA109A" w:rsidRDefault="00000000">
      <w:pPr>
        <w:pStyle w:val="Heading1"/>
      </w:pPr>
      <w:r>
        <w:lastRenderedPageBreak/>
        <w:t>Introduction</w:t>
      </w:r>
    </w:p>
    <w:p w14:paraId="75DDD11B" w14:textId="77777777" w:rsidR="00BA109A" w:rsidRDefault="00000000">
      <w:pPr>
        <w:spacing w:after="200"/>
        <w:jc w:val="both"/>
      </w:pPr>
      <w:r>
        <w:t xml:space="preserve">The global genomics research enterprise faces a fundamental equity challenge. Despite representing approximately 85% of the world's population, </w:t>
      </w:r>
      <w:proofErr w:type="gramStart"/>
      <w:r>
        <w:t>low and middle income</w:t>
      </w:r>
      <w:proofErr w:type="gramEnd"/>
      <w:r>
        <w:t xml:space="preserve"> countries (LMICs) contribute less than 10% of participants across genome-wide association studies (GWAS), pharmacogenomics research, direct-to-consumer genomics, and clinical trials.</w:t>
      </w:r>
      <w:r>
        <w:rPr>
          <w:vertAlign w:val="superscript"/>
        </w:rPr>
        <w:t>1,2,3,4</w:t>
      </w:r>
      <w:r>
        <w:t xml:space="preserve"> This disparity has far-reaching consequences for the generalisability and clinical utility of precision medicine approaches.</w:t>
      </w:r>
    </w:p>
    <w:p w14:paraId="59ABF916" w14:textId="77777777" w:rsidR="00BA109A" w:rsidRDefault="00000000">
      <w:pPr>
        <w:spacing w:after="200"/>
        <w:jc w:val="both"/>
      </w:pPr>
      <w:r>
        <w:t>The consequences of this representation gap are increasingly well documented. Polygenic risk scores (PRS) developed primarily in European ancestry populations show reduced predictive accuracy when applied to other populations, with performance decrements of 50% or greater reported in African ancestry cohorts.</w:t>
      </w:r>
      <w:r>
        <w:rPr>
          <w:vertAlign w:val="superscript"/>
        </w:rPr>
        <w:t>5,6</w:t>
      </w:r>
      <w:r>
        <w:t xml:space="preserve"> Variant pathogenicity assessments in clinical databases such as </w:t>
      </w:r>
      <w:proofErr w:type="spellStart"/>
      <w:r>
        <w:t>ClinVar</w:t>
      </w:r>
      <w:proofErr w:type="spellEnd"/>
      <w:r>
        <w:t xml:space="preserve"> exhibit systematic biases toward well-studied populations, with variants common in African and Asian populations disproportionately classified as 'variants of uncertain significance'.</w:t>
      </w:r>
      <w:r>
        <w:rPr>
          <w:vertAlign w:val="superscript"/>
        </w:rPr>
        <w:t>7,8</w:t>
      </w:r>
      <w:r>
        <w:t xml:space="preserve"> These are not merely academic concerns; they represent systematic barriers to delivering equitable precision medicine globally.</w:t>
      </w:r>
    </w:p>
    <w:p w14:paraId="357F99A2" w14:textId="77777777" w:rsidR="00BA109A" w:rsidRDefault="00000000">
      <w:pPr>
        <w:spacing w:after="200"/>
        <w:jc w:val="both"/>
      </w:pPr>
      <w:r>
        <w:t>Global health organisations, including the World Health Organization, have increasingly called for measurable frameworks to track progress toward equitable genomic research.</w:t>
      </w:r>
      <w:r>
        <w:rPr>
          <w:vertAlign w:val="superscript"/>
        </w:rPr>
        <w:t>9</w:t>
      </w:r>
      <w:r>
        <w:t xml:space="preserve"> A recent WHO report examining 6,513 genomic clinical studies conducted between 1990 and 2024 found that high income countries (HICs) accounted for 68% of all studies, while low income countries (LICs) contributed less than 0.5% (</w:t>
      </w:r>
      <w:r>
        <w:rPr>
          <w:b/>
          <w:bCs/>
        </w:rPr>
        <w:t>Figure 1B</w:t>
      </w:r>
      <w:r>
        <w:t>).</w:t>
      </w:r>
      <w:r>
        <w:rPr>
          <w:vertAlign w:val="superscript"/>
        </w:rPr>
        <w:t>14</w:t>
      </w:r>
      <w:r>
        <w:t xml:space="preserve"> However, a significant methodological gap remains: while the problem of underrepresentation has been extensively documented, no standardised framework exists to quantify research equity at the biobank level, benchmark institutions against global health priorities, or track progress over time.</w:t>
      </w:r>
    </w:p>
    <w:p w14:paraId="7B35B11E" w14:textId="77777777" w:rsidR="00BA109A" w:rsidRDefault="00000000">
      <w:pPr>
        <w:spacing w:after="200"/>
        <w:jc w:val="both"/>
      </w:pPr>
      <w:r>
        <w:t>Biobanks represent critical infrastructure for genomic research, linking biological samples with electronic health records and enabling the large-scale studies necessary for genomic discovery.</w:t>
      </w:r>
      <w:r>
        <w:rPr>
          <w:vertAlign w:val="superscript"/>
        </w:rPr>
        <w:t>10,11,12</w:t>
      </w:r>
      <w:r>
        <w:t xml:space="preserve"> The International Health Cohorts Consortium (IHCC) provides a standardised registry of population cohorts worldwide, offering a unique opportunity to assess equity across a defined set of research resources. The geographic distribution of biobank capacity, however, mirrors broader inequities in research infrastructure.</w:t>
      </w:r>
    </w:p>
    <w:p w14:paraId="55D8C0DC" w14:textId="77777777" w:rsidR="00BA109A" w:rsidRDefault="00000000">
      <w:pPr>
        <w:spacing w:after="200"/>
        <w:jc w:val="both"/>
      </w:pPr>
      <w:r>
        <w:t>This study introduces the Health Equity Informative Metrics (HEIM) framework to address this measurement gap (</w:t>
      </w:r>
      <w:r>
        <w:rPr>
          <w:b/>
          <w:bCs/>
        </w:rPr>
        <w:t>Figure 1A</w:t>
      </w:r>
      <w:r>
        <w:t>). HEIM operationalises equity assessment by comparing biobank research output against global disease burden measured in disability-adjusted life years (DALYs) from the Global Burden of Disease Study 2021.</w:t>
      </w:r>
      <w:r>
        <w:rPr>
          <w:vertAlign w:val="superscript"/>
        </w:rPr>
        <w:t>13</w:t>
      </w:r>
      <w:r>
        <w:t xml:space="preserve"> The methodology for computing burden-adjusted research gaps, including Gap Scores and the Equity Alignment Score, is adapted from Corpas et al. (in press),</w:t>
      </w:r>
      <w:r>
        <w:rPr>
          <w:vertAlign w:val="superscript"/>
        </w:rPr>
        <w:t>15</w:t>
      </w:r>
      <w:r>
        <w:t xml:space="preserve"> where detailed validation and sensitivity analyses are provided. HEIM treats equity as an engineering problem amenable to systematic measurement, tracking, and targeted intervention.</w:t>
      </w:r>
    </w:p>
    <w:p w14:paraId="776BA697" w14:textId="77777777" w:rsidR="00BA109A" w:rsidRDefault="00000000">
      <w:pPr>
        <w:spacing w:after="200"/>
        <w:jc w:val="both"/>
      </w:pPr>
      <w:r>
        <w:t xml:space="preserve">We present findings from the first comprehensive HEIM analysis of the IHCC cohort registry, examining 38,595 publications from 70 biobanks across 29 countries. Our objectives were to: (1) quantify the alignment between biobank research output and global disease burden; (2) identify diseases with critical research gaps despite high burden; (3) benchmark individual biobanks using </w:t>
      </w:r>
      <w:r>
        <w:lastRenderedPageBreak/>
        <w:t>standardised equity metrics; (4) characterise regional disparities in research capacity; and (5) provide an interactive tool enabling stakeholders to explore these metrics in real time.</w:t>
      </w:r>
    </w:p>
    <w:p w14:paraId="77E2D38E" w14:textId="77777777" w:rsidR="00BA109A" w:rsidRDefault="00000000">
      <w:r>
        <w:br w:type="page"/>
      </w:r>
    </w:p>
    <w:p w14:paraId="53DAF395" w14:textId="77777777" w:rsidR="00BA109A" w:rsidRDefault="00000000">
      <w:pPr>
        <w:pStyle w:val="Heading1"/>
      </w:pPr>
      <w:r>
        <w:lastRenderedPageBreak/>
        <w:t>Methods</w:t>
      </w:r>
    </w:p>
    <w:p w14:paraId="11BF84DB" w14:textId="77777777" w:rsidR="00BA109A" w:rsidRDefault="00000000">
      <w:pPr>
        <w:pStyle w:val="Heading2"/>
      </w:pPr>
      <w:r>
        <w:t>Data Sources</w:t>
      </w:r>
    </w:p>
    <w:p w14:paraId="7B588458" w14:textId="77777777" w:rsidR="00BA109A" w:rsidRDefault="00000000">
      <w:pPr>
        <w:pStyle w:val="Heading3"/>
      </w:pPr>
      <w:r>
        <w:t>Publication Data</w:t>
      </w:r>
    </w:p>
    <w:p w14:paraId="0DDA2C6B" w14:textId="77777777" w:rsidR="00BA109A" w:rsidRDefault="00000000">
      <w:pPr>
        <w:spacing w:after="200"/>
        <w:jc w:val="both"/>
      </w:pPr>
      <w:r>
        <w:t>We retrieved publications linked to biobanks registered with the International Health Cohorts Consortium (IHCC) from PubMed using the NCBI Entrez API. Biobank-specific queries were constructed using institution names, acronyms, and known variants (full query strings available at the dashboard: https://manuelcorpas.github.io/17-EHR/). The search period spanned January 2000 to December 2025, with a data cutoff date of December 31, 2025. Each publication's Medical Subject Headings (</w:t>
      </w:r>
      <w:proofErr w:type="spellStart"/>
      <w:r>
        <w:t>MeSH</w:t>
      </w:r>
      <w:proofErr w:type="spellEnd"/>
      <w:r>
        <w:t xml:space="preserve">) terms were extracted and mapped to Global Burden of Disease (GBD) 2021 disease categories using a manually curated mapping dictionary. Manual review of 200 randomly sampled publications showed 92% agreement with automated </w:t>
      </w:r>
      <w:proofErr w:type="spellStart"/>
      <w:r>
        <w:t>MeSH</w:t>
      </w:r>
      <w:proofErr w:type="spellEnd"/>
      <w:r>
        <w:t>-to-GBD mapping; discrepancies primarily occurred with multi-disease publications where secondary conditions were missed.</w:t>
      </w:r>
    </w:p>
    <w:p w14:paraId="05E6AF82" w14:textId="77777777" w:rsidR="00BA109A" w:rsidRDefault="00000000">
      <w:pPr>
        <w:pStyle w:val="Heading3"/>
      </w:pPr>
      <w:r>
        <w:t>Disease Burden Data</w:t>
      </w:r>
    </w:p>
    <w:p w14:paraId="7DE7CF43" w14:textId="77777777" w:rsidR="00BA109A" w:rsidRDefault="00000000">
      <w:pPr>
        <w:spacing w:after="200"/>
        <w:jc w:val="both"/>
      </w:pPr>
      <w:r>
        <w:t>Disability-adjusted life years (DALYs) were obtained from the Institute for Health Metrics and Evaluation (IHME) Global Burden of Disease Study 2021.</w:t>
      </w:r>
      <w:r>
        <w:rPr>
          <w:vertAlign w:val="superscript"/>
        </w:rPr>
        <w:t>13</w:t>
      </w:r>
      <w:r>
        <w:t xml:space="preserve"> DALYs combine years of life lost (YLL) due to premature mortality with years lived with disability (YLD), providing a comprehensive measure of disease burden. We used global, all age, both sexes </w:t>
      </w:r>
      <w:proofErr w:type="gramStart"/>
      <w:r>
        <w:t>estimates</w:t>
      </w:r>
      <w:proofErr w:type="gramEnd"/>
      <w:r>
        <w:t xml:space="preserve"> for the 179 disease categories included in our analysis.</w:t>
      </w:r>
    </w:p>
    <w:p w14:paraId="410730A8" w14:textId="77777777" w:rsidR="00BA109A" w:rsidRDefault="00000000">
      <w:pPr>
        <w:pStyle w:val="Heading3"/>
      </w:pPr>
      <w:r>
        <w:t>Biobank Selection</w:t>
      </w:r>
    </w:p>
    <w:p w14:paraId="4BE2657D" w14:textId="77777777" w:rsidR="00BA109A" w:rsidRDefault="00000000">
      <w:pPr>
        <w:spacing w:after="200"/>
        <w:jc w:val="both"/>
      </w:pPr>
      <w:r>
        <w:t>We identified all cohorts in the International Health Cohorts Consortium (IHCC) Global Cohort Atlas as of December 2025 (N = 79). Of these, 70 had PubMed-indexed publications and were included in analysis. Nine were excluded due to no PubMed-indexed publications (n = 7) or insufficient metadata for analysis (n = 2). All 70 analysed biobanks met the minimum inclusion criterion of one or more peer-reviewed publications. This standardised inclusion criterion ensures reproducibility and enables future updates as the IHCC registry expands.</w:t>
      </w:r>
    </w:p>
    <w:p w14:paraId="475C38B0" w14:textId="77777777" w:rsidR="00BA109A" w:rsidRDefault="00000000">
      <w:pPr>
        <w:spacing w:after="200"/>
        <w:jc w:val="both"/>
      </w:pPr>
      <w:r>
        <w:t>The 70 analysed biobanks span 29 countries across six WHO regions (</w:t>
      </w:r>
      <w:r>
        <w:rPr>
          <w:b/>
          <w:bCs/>
        </w:rPr>
        <w:t>Table 1</w:t>
      </w:r>
      <w:r>
        <w:t xml:space="preserve">). Biobanks were classified by income status using World Bank 2024 classifications: 52 from high income countries (HIC) and 18 from </w:t>
      </w:r>
      <w:proofErr w:type="gramStart"/>
      <w:r>
        <w:t>low and middle income</w:t>
      </w:r>
      <w:proofErr w:type="gramEnd"/>
      <w:r>
        <w:t xml:space="preserve"> countries (LMIC).</w:t>
      </w:r>
    </w:p>
    <w:p w14:paraId="37F78E55" w14:textId="77777777" w:rsidR="00BA109A" w:rsidRDefault="00000000">
      <w:pPr>
        <w:pStyle w:val="Heading2"/>
      </w:pPr>
      <w:r>
        <w:t>Core Metric Definitions</w:t>
      </w:r>
    </w:p>
    <w:p w14:paraId="2F1C16EA" w14:textId="77777777" w:rsidR="00BA109A" w:rsidRDefault="00000000">
      <w:pPr>
        <w:spacing w:after="200"/>
        <w:jc w:val="both"/>
      </w:pPr>
      <w:r>
        <w:t>The HEIM framework comprises three core components that together quantify research equity (</w:t>
      </w:r>
      <w:r>
        <w:rPr>
          <w:b/>
          <w:bCs/>
        </w:rPr>
        <w:t>Figure 1A</w:t>
      </w:r>
      <w:r>
        <w:t>): Gap Severity (mismatch between research output and disease burden), Burden Miss (high burden diseases with inadequate coverage), and Capacity Penalty (underutilisation of research capacity in underrepresented settings). The methodology for these metrics, including coefficient selection, sensitivity analyses, and validation, is described in detail in the Supplementary Materials of Corpas et al. (in press).</w:t>
      </w:r>
      <w:r>
        <w:rPr>
          <w:vertAlign w:val="superscript"/>
        </w:rPr>
        <w:t>15</w:t>
      </w:r>
    </w:p>
    <w:p w14:paraId="63A7E626" w14:textId="77777777" w:rsidR="00BA109A" w:rsidRDefault="00000000">
      <w:pPr>
        <w:pStyle w:val="Heading3"/>
      </w:pPr>
      <w:r>
        <w:t>Burden Score</w:t>
      </w:r>
    </w:p>
    <w:p w14:paraId="3B352329" w14:textId="77777777" w:rsidR="00BA109A" w:rsidRDefault="00000000">
      <w:pPr>
        <w:spacing w:after="200"/>
        <w:jc w:val="both"/>
      </w:pPr>
      <w:r>
        <w:t>The Burden Score quantifies the global health importance of each disease category using a composite formula that integrates DALYs, mortality, and prevalence:</w:t>
      </w:r>
    </w:p>
    <w:p w14:paraId="0092B031" w14:textId="77777777" w:rsidR="00BA109A" w:rsidRDefault="00000000">
      <w:pPr>
        <w:spacing w:before="100" w:after="100"/>
        <w:jc w:val="center"/>
      </w:pPr>
      <w:r>
        <w:rPr>
          <w:i/>
          <w:iCs/>
        </w:rPr>
        <w:lastRenderedPageBreak/>
        <w:t>Burden Score = (0.5 x DALYs) + (50 x Deaths) + [10 x log10(Prevalence)]</w:t>
      </w:r>
    </w:p>
    <w:p w14:paraId="167E088B" w14:textId="77777777" w:rsidR="00BA109A" w:rsidRDefault="00000000">
      <w:pPr>
        <w:spacing w:after="200"/>
        <w:jc w:val="both"/>
      </w:pPr>
      <w:r>
        <w:t>This formulation balances fatal and nonfatal disease components. Coefficients were selected through iterative calibration against established global health priorities in the GBD framework, including infectious diseases (malaria, tuberculosis), non-communicable diseases (cardiovascular disease), and maternal conditions. Sensitivity analysis varying each coefficient by plus or minus 20% confirmed stable disease rankings, with only minor shifts between neighbouring conditions.</w:t>
      </w:r>
      <w:r>
        <w:rPr>
          <w:vertAlign w:val="superscript"/>
        </w:rPr>
        <w:t>15</w:t>
      </w:r>
    </w:p>
    <w:p w14:paraId="7C1A6D92" w14:textId="77777777" w:rsidR="00BA109A" w:rsidRDefault="00000000">
      <w:pPr>
        <w:pStyle w:val="Heading3"/>
      </w:pPr>
      <w:r>
        <w:t>Research Gap Score</w:t>
      </w:r>
    </w:p>
    <w:p w14:paraId="1CEA84C5" w14:textId="77777777" w:rsidR="00BA109A" w:rsidRDefault="00000000">
      <w:pPr>
        <w:spacing w:after="200"/>
        <w:jc w:val="both"/>
      </w:pPr>
      <w:r>
        <w:t>The Gap Score (range: 0 to 100) measures the mismatch between disease burden and research attention. The scoring algorithm incorporates: (</w:t>
      </w:r>
      <w:proofErr w:type="spellStart"/>
      <w:r>
        <w:t>i</w:t>
      </w:r>
      <w:proofErr w:type="spellEnd"/>
      <w:r>
        <w:t>) a zero-publication penalty where diseases with no publications receive a gap score of 95; (ii) threshold-based adjustments where infectious and neglected diseases receive elevated scores if they fall below predefined publication thresholds; and (iii) scaled burden-normalised intensity for remaining diseases based on publication density relative to disease burden using decile-based thresholds. Gap severity was classified as: Critical (greater than 70), High (50 to 70), Moderate (30 to 50), or Low (less than 30). Full details of weighting choices, robustness checks, and alternative formulations are provided in Corpas et al. (in press).</w:t>
      </w:r>
      <w:r>
        <w:rPr>
          <w:vertAlign w:val="superscript"/>
        </w:rPr>
        <w:t>15</w:t>
      </w:r>
    </w:p>
    <w:p w14:paraId="6BF44C0F" w14:textId="77777777" w:rsidR="00BA109A" w:rsidRDefault="00000000">
      <w:pPr>
        <w:pStyle w:val="Heading3"/>
      </w:pPr>
      <w:r>
        <w:t>Equity Alignment Score (EAS)</w:t>
      </w:r>
    </w:p>
    <w:p w14:paraId="1616DB21" w14:textId="77777777" w:rsidR="00BA109A" w:rsidRDefault="00000000">
      <w:pPr>
        <w:spacing w:after="200"/>
        <w:jc w:val="both"/>
      </w:pPr>
      <w:r>
        <w:t>The EAS provides an overall assessment of how well a biobank's research portfolio aligns with global disease burden:</w:t>
      </w:r>
    </w:p>
    <w:p w14:paraId="05E14840" w14:textId="77777777" w:rsidR="00BA109A" w:rsidRDefault="00000000">
      <w:pPr>
        <w:spacing w:before="100" w:after="100"/>
        <w:jc w:val="center"/>
      </w:pPr>
      <w:r>
        <w:rPr>
          <w:i/>
          <w:iCs/>
        </w:rPr>
        <w:t xml:space="preserve">EAS = 100 - (0.4 x </w:t>
      </w:r>
      <w:proofErr w:type="spellStart"/>
      <w:r>
        <w:rPr>
          <w:i/>
          <w:iCs/>
        </w:rPr>
        <w:t>Gap_Severity</w:t>
      </w:r>
      <w:proofErr w:type="spellEnd"/>
      <w:r>
        <w:rPr>
          <w:i/>
          <w:iCs/>
        </w:rPr>
        <w:t xml:space="preserve"> + 0.3 x </w:t>
      </w:r>
      <w:proofErr w:type="spellStart"/>
      <w:r>
        <w:rPr>
          <w:i/>
          <w:iCs/>
        </w:rPr>
        <w:t>Burden_Miss</w:t>
      </w:r>
      <w:proofErr w:type="spellEnd"/>
      <w:r>
        <w:rPr>
          <w:i/>
          <w:iCs/>
        </w:rPr>
        <w:t xml:space="preserve"> + 0.3 x </w:t>
      </w:r>
      <w:proofErr w:type="spellStart"/>
      <w:r>
        <w:rPr>
          <w:i/>
          <w:iCs/>
        </w:rPr>
        <w:t>Capacity_Penalty</w:t>
      </w:r>
      <w:proofErr w:type="spellEnd"/>
      <w:r>
        <w:rPr>
          <w:i/>
          <w:iCs/>
        </w:rPr>
        <w:t>)</w:t>
      </w:r>
    </w:p>
    <w:p w14:paraId="2E9D68C3" w14:textId="77777777" w:rsidR="00BA109A" w:rsidRDefault="00000000">
      <w:pPr>
        <w:spacing w:after="200"/>
        <w:jc w:val="both"/>
      </w:pPr>
      <w:r>
        <w:t xml:space="preserve">where </w:t>
      </w:r>
      <w:proofErr w:type="spellStart"/>
      <w:r>
        <w:t>Gap_Severity</w:t>
      </w:r>
      <w:proofErr w:type="spellEnd"/>
      <w:r>
        <w:t xml:space="preserve"> reflects the weighted average gap score across diseases, </w:t>
      </w:r>
      <w:proofErr w:type="spellStart"/>
      <w:r>
        <w:t>Burden_Miss</w:t>
      </w:r>
      <w:proofErr w:type="spellEnd"/>
      <w:r>
        <w:t xml:space="preserve"> captures the proportion of high burden diseases with inadequate coverage, and </w:t>
      </w:r>
      <w:proofErr w:type="spellStart"/>
      <w:r>
        <w:t>Capacity_Penalty</w:t>
      </w:r>
      <w:proofErr w:type="spellEnd"/>
      <w:r>
        <w:t xml:space="preserve"> reflects underutilisation of research capacity in underrepresented settings. Scores range from 0 to 100 and are categorised as: </w:t>
      </w:r>
      <w:r>
        <w:rPr>
          <w:b/>
          <w:bCs/>
        </w:rPr>
        <w:t>High (70 or above):</w:t>
      </w:r>
      <w:r>
        <w:t xml:space="preserve"> Strong alignment with global health priorities. </w:t>
      </w:r>
      <w:r>
        <w:rPr>
          <w:b/>
          <w:bCs/>
        </w:rPr>
        <w:t>Moderate (40 to 69):</w:t>
      </w:r>
      <w:r>
        <w:t xml:space="preserve"> Partial alignment, some gaps in priority diseases. </w:t>
      </w:r>
      <w:r>
        <w:rPr>
          <w:b/>
          <w:bCs/>
        </w:rPr>
        <w:t>Low (below 40):</w:t>
      </w:r>
      <w:r>
        <w:t xml:space="preserve"> Significant misalignment with global health priorities. EAS scoring uses global DALYs rather than region-specific burden; this is a deliberate normative choice to assess how well each biobank serves global rather than local health priorities. The EAS formula and its component weights were validated through sensitivity analysis.</w:t>
      </w:r>
      <w:r>
        <w:rPr>
          <w:vertAlign w:val="superscript"/>
        </w:rPr>
        <w:t>15</w:t>
      </w:r>
    </w:p>
    <w:p w14:paraId="67C8CC71" w14:textId="77777777" w:rsidR="00BA109A" w:rsidRDefault="00000000">
      <w:pPr>
        <w:pStyle w:val="Heading3"/>
      </w:pPr>
      <w:r>
        <w:t>Equity Ratio</w:t>
      </w:r>
    </w:p>
    <w:p w14:paraId="1D57EF75" w14:textId="77777777" w:rsidR="00BA109A" w:rsidRDefault="00000000">
      <w:pPr>
        <w:spacing w:after="200"/>
        <w:jc w:val="both"/>
      </w:pPr>
      <w:r>
        <w:t>The equity ratio compares research intensity (publications per DALY) between HIC and LMIC biobanks. A ratio of 1.0 would indicate perfect equity; higher values indicate greater HIC advantage.</w:t>
      </w:r>
    </w:p>
    <w:p w14:paraId="518A1E44" w14:textId="77777777" w:rsidR="00BA109A" w:rsidRDefault="00000000">
      <w:pPr>
        <w:pStyle w:val="Heading2"/>
      </w:pPr>
      <w:r>
        <w:t>UK Biobank Sensitivity Analysis</w:t>
      </w:r>
    </w:p>
    <w:p w14:paraId="3AB7EA79" w14:textId="77777777" w:rsidR="00BA109A" w:rsidRDefault="00000000">
      <w:pPr>
        <w:spacing w:after="200"/>
        <w:jc w:val="both"/>
      </w:pPr>
      <w:r>
        <w:t>Given UK Biobank's dominant position (35.7% of all publications), we conducted sensitivity analyses excluding UK Biobank to assess its influence on aggregate statistics.</w:t>
      </w:r>
    </w:p>
    <w:p w14:paraId="3CAB00A5" w14:textId="77777777" w:rsidR="00BA109A" w:rsidRDefault="00000000">
      <w:pPr>
        <w:pStyle w:val="Heading2"/>
      </w:pPr>
      <w:r>
        <w:t>Data Availability and Reproducibility</w:t>
      </w:r>
    </w:p>
    <w:p w14:paraId="074487DF" w14:textId="77777777" w:rsidR="00BA109A" w:rsidRDefault="00000000">
      <w:pPr>
        <w:spacing w:after="200"/>
        <w:jc w:val="both"/>
      </w:pPr>
      <w:r>
        <w:t xml:space="preserve">All analysis code, mapping dictionaries, and aggregated data are available at the dashboard (https://manuelcorpas.github.io/17-EHR/). Raw publication data are derived from PubMed and </w:t>
      </w:r>
      <w:r>
        <w:lastRenderedPageBreak/>
        <w:t>subject to NLM terms of use. Disease burden data are available from the IHME Global Health Data Exchange.</w:t>
      </w:r>
    </w:p>
    <w:p w14:paraId="6B1D25E3" w14:textId="77777777" w:rsidR="00BA109A" w:rsidRDefault="00000000">
      <w:pPr>
        <w:pStyle w:val="Heading3"/>
      </w:pPr>
      <w:r>
        <w:t>Tool Implementation</w:t>
      </w:r>
    </w:p>
    <w:p w14:paraId="5843784A" w14:textId="77777777" w:rsidR="00BA109A" w:rsidRDefault="00000000">
      <w:pPr>
        <w:spacing w:after="200"/>
        <w:jc w:val="both"/>
      </w:pPr>
      <w:r>
        <w:t>The interactive dashboard is implemented as a static web application using HTML5, CSS3, and JavaScript with Chart.js for visualisations. The dashboard is hosted on GitHub Pages and loads pre-computed JSON data files generated by Python analysis scripts. Data refresh follows a quarterly update cycle. The full source code is available at https://github.com/manuelcorpas/17-EHR under an MIT licence.</w:t>
      </w:r>
    </w:p>
    <w:p w14:paraId="2F6A8E45" w14:textId="77777777" w:rsidR="00BA109A" w:rsidRDefault="00000000">
      <w:pPr>
        <w:pStyle w:val="Heading2"/>
      </w:pPr>
      <w:r>
        <w:t>Interactive Dashboard</w:t>
      </w:r>
    </w:p>
    <w:p w14:paraId="25E0A950" w14:textId="77777777" w:rsidR="00BA109A" w:rsidRDefault="00000000">
      <w:pPr>
        <w:spacing w:after="200"/>
        <w:jc w:val="both"/>
      </w:pPr>
      <w:r>
        <w:t xml:space="preserve">To operationalise the HEIM framework for practical use, we developed an interactive web-based dashboard (https://manuelcorpas.github.io/17-EHR/) that enables stakeholders to explore equity metrics in real time. The dashboard comprises nine modules: </w:t>
      </w:r>
      <w:r>
        <w:rPr>
          <w:b/>
          <w:bCs/>
        </w:rPr>
        <w:t>Overview</w:t>
      </w:r>
      <w:r>
        <w:t xml:space="preserve"> (summary statistics and key findings), </w:t>
      </w:r>
      <w:r>
        <w:rPr>
          <w:b/>
          <w:bCs/>
        </w:rPr>
        <w:t>Biobanks</w:t>
      </w:r>
      <w:r>
        <w:t xml:space="preserve"> (sortable rankings with EAS confidence intervals), </w:t>
      </w:r>
      <w:r>
        <w:rPr>
          <w:b/>
          <w:bCs/>
        </w:rPr>
        <w:t>Diseases</w:t>
      </w:r>
      <w:r>
        <w:t xml:space="preserve"> (gap scores for 179 conditions), </w:t>
      </w:r>
      <w:r>
        <w:rPr>
          <w:b/>
          <w:bCs/>
        </w:rPr>
        <w:t>Matrix</w:t>
      </w:r>
      <w:r>
        <w:t xml:space="preserve"> (biobank by disease publication heatmap), </w:t>
      </w:r>
      <w:r>
        <w:rPr>
          <w:b/>
          <w:bCs/>
        </w:rPr>
        <w:t>Trends</w:t>
      </w:r>
      <w:r>
        <w:t xml:space="preserve"> (temporal publication patterns), </w:t>
      </w:r>
      <w:r>
        <w:rPr>
          <w:b/>
          <w:bCs/>
        </w:rPr>
        <w:t>Themes</w:t>
      </w:r>
      <w:r>
        <w:t xml:space="preserve"> (</w:t>
      </w:r>
      <w:proofErr w:type="spellStart"/>
      <w:r>
        <w:t>MeSH</w:t>
      </w:r>
      <w:proofErr w:type="spellEnd"/>
      <w:r>
        <w:t xml:space="preserve">-based thematic clustering), </w:t>
      </w:r>
      <w:r>
        <w:rPr>
          <w:b/>
          <w:bCs/>
        </w:rPr>
        <w:t>Compare</w:t>
      </w:r>
      <w:r>
        <w:t xml:space="preserve"> (side-by-side biobank comparisons), </w:t>
      </w:r>
      <w:r>
        <w:rPr>
          <w:b/>
          <w:bCs/>
        </w:rPr>
        <w:t>Equity</w:t>
      </w:r>
      <w:r>
        <w:t xml:space="preserve"> (regional and income group disparities), and </w:t>
      </w:r>
      <w:r>
        <w:rPr>
          <w:b/>
          <w:bCs/>
        </w:rPr>
        <w:t>About</w:t>
      </w:r>
      <w:r>
        <w:t xml:space="preserve"> (methodology documentation).</w:t>
      </w:r>
    </w:p>
    <w:p w14:paraId="36CC170A" w14:textId="77777777" w:rsidR="00BA109A" w:rsidRDefault="00000000">
      <w:r>
        <w:br w:type="page"/>
      </w:r>
    </w:p>
    <w:p w14:paraId="4E9C9E38" w14:textId="77777777" w:rsidR="00BA109A" w:rsidRDefault="00000000">
      <w:pPr>
        <w:pStyle w:val="Heading1"/>
      </w:pPr>
      <w:r>
        <w:lastRenderedPageBreak/>
        <w:t>Results</w:t>
      </w:r>
    </w:p>
    <w:p w14:paraId="696E9E09" w14:textId="77777777" w:rsidR="00BA109A" w:rsidRDefault="00000000">
      <w:pPr>
        <w:pStyle w:val="Heading2"/>
      </w:pPr>
      <w:r>
        <w:t>Overview of Dataset</w:t>
      </w:r>
    </w:p>
    <w:p w14:paraId="53B1BB5A" w14:textId="77777777" w:rsidR="00BA109A" w:rsidRDefault="00000000">
      <w:pPr>
        <w:spacing w:after="200"/>
        <w:jc w:val="both"/>
      </w:pPr>
      <w:r>
        <w:t>We analysed 38,595 PubMed-indexed publications from 70 IHCC-registered biobanks across 29 countries (</w:t>
      </w:r>
      <w:r>
        <w:rPr>
          <w:b/>
          <w:bCs/>
        </w:rPr>
        <w:t>Table 1</w:t>
      </w:r>
      <w:r>
        <w:t xml:space="preserve">; </w:t>
      </w:r>
      <w:r>
        <w:rPr>
          <w:b/>
          <w:bCs/>
        </w:rPr>
        <w:t>Figure 2</w:t>
      </w:r>
      <w:r>
        <w:t xml:space="preserve">). Publications were mapped to 179 disease categories based on </w:t>
      </w:r>
      <w:proofErr w:type="spellStart"/>
      <w:r>
        <w:t>MeSH</w:t>
      </w:r>
      <w:proofErr w:type="spellEnd"/>
      <w:r>
        <w:t xml:space="preserve"> term annotations. The included biobanks span six WHO regions, with representation from both high income (n=52) and low and middle income (n=18) countries.</w:t>
      </w:r>
    </w:p>
    <w:p w14:paraId="646D3DBD" w14:textId="77777777" w:rsidR="00BA109A" w:rsidRDefault="00000000">
      <w:pPr>
        <w:pStyle w:val="Heading2"/>
      </w:pPr>
      <w:r>
        <w:t>Regional Distribution of Research Output</w:t>
      </w:r>
    </w:p>
    <w:p w14:paraId="4DE677E4" w14:textId="77777777" w:rsidR="00BA109A" w:rsidRDefault="00000000">
      <w:pPr>
        <w:spacing w:after="200"/>
        <w:jc w:val="both"/>
      </w:pPr>
      <w:r>
        <w:t>Research output was highly concentrated in specific regions (</w:t>
      </w:r>
      <w:r>
        <w:rPr>
          <w:b/>
          <w:bCs/>
        </w:rPr>
        <w:t>Table 2</w:t>
      </w:r>
      <w:r>
        <w:t xml:space="preserve">; </w:t>
      </w:r>
      <w:r>
        <w:rPr>
          <w:b/>
          <w:bCs/>
        </w:rPr>
        <w:t>Figure 3</w:t>
      </w:r>
      <w:r>
        <w:t>). Europe contributed 55.7% of all publications (21,482 of 38,595), driven primarily by UK Biobank (13,785 publications, 35.7% of total). The Americas contributed 32.2% (12,433 publications), with the Nurses' Health Study (3,197), Women's Health Initiative (3,433), and All of Us Research Program (837) as leading contributors.</w:t>
      </w:r>
    </w:p>
    <w:p w14:paraId="1D9245D0" w14:textId="77777777" w:rsidR="00BA109A" w:rsidRDefault="00000000">
      <w:pPr>
        <w:spacing w:after="200"/>
        <w:jc w:val="both"/>
      </w:pPr>
      <w:r>
        <w:t xml:space="preserve">The Western Pacific region contributed 9.9% (3,819 publications), led by Biobank Japan (492), China </w:t>
      </w:r>
      <w:proofErr w:type="spellStart"/>
      <w:r>
        <w:t>Kadoorie</w:t>
      </w:r>
      <w:proofErr w:type="spellEnd"/>
      <w:r>
        <w:t xml:space="preserve"> Biobank (624), and Taiwan Biobank (312). Critically, Africa (277 publications, 0.7%), Eastern Mediterranean (574 publications, 1.5%), and South-East Asia (10 publications, less than 0.1%) combined contributed only 2.2% of total publications.</w:t>
      </w:r>
    </w:p>
    <w:p w14:paraId="0F8D0A31" w14:textId="77777777" w:rsidR="00BA109A" w:rsidRDefault="00000000">
      <w:pPr>
        <w:pStyle w:val="Heading2"/>
      </w:pPr>
      <w:r>
        <w:t>Equity Ratio</w:t>
      </w:r>
    </w:p>
    <w:p w14:paraId="30CCB42C" w14:textId="77777777" w:rsidR="00BA109A" w:rsidRDefault="00000000">
      <w:pPr>
        <w:spacing w:after="200"/>
        <w:jc w:val="both"/>
      </w:pPr>
      <w:r>
        <w:t xml:space="preserve">Within the 70-biobank IHCC cohort, HIC biobanks produced substantially higher research output per DALY compared to LMIC biobanks (equity ratio: 57.8:1; </w:t>
      </w:r>
      <w:r>
        <w:rPr>
          <w:b/>
          <w:bCs/>
        </w:rPr>
        <w:t>Figure 1C</w:t>
      </w:r>
      <w:r>
        <w:t xml:space="preserve">; </w:t>
      </w:r>
      <w:r>
        <w:rPr>
          <w:b/>
          <w:bCs/>
        </w:rPr>
        <w:t>Figure 4</w:t>
      </w:r>
      <w:r>
        <w:t>). This ratio indicates that for every unit of disease burden, HIC biobanks generated 57.8 times more research output than LMIC biobanks, confirming substantial inequity across the IHCC registry.</w:t>
      </w:r>
    </w:p>
    <w:p w14:paraId="3828C291" w14:textId="77777777" w:rsidR="00BA109A" w:rsidRDefault="00000000">
      <w:pPr>
        <w:pStyle w:val="Heading2"/>
      </w:pPr>
      <w:r>
        <w:t>Disease-Level Research Gaps</w:t>
      </w:r>
    </w:p>
    <w:p w14:paraId="0EBD1290" w14:textId="77777777" w:rsidR="00BA109A" w:rsidRDefault="00000000">
      <w:pPr>
        <w:spacing w:after="200"/>
        <w:jc w:val="both"/>
      </w:pPr>
      <w:r>
        <w:t>Of 179 disease categories analysed, 22 (12.3%) showed critical research gaps (Gap Score greater than 70), 26 (14.5%) showed high gaps (50 to 70), 47 (26.3%) showed moderate gaps (30 to 50), and 84 (46.9%) showed low gaps (less than 30, adequate coverage). The 48 diseases with critical or high gaps represent priority targets for equity-focused investment (</w:t>
      </w:r>
      <w:r>
        <w:rPr>
          <w:b/>
          <w:bCs/>
        </w:rPr>
        <w:t>Figure 5</w:t>
      </w:r>
      <w:r>
        <w:t>).</w:t>
      </w:r>
    </w:p>
    <w:p w14:paraId="067DE8A5" w14:textId="77777777" w:rsidR="00BA109A" w:rsidRDefault="00000000">
      <w:pPr>
        <w:spacing w:after="200"/>
        <w:jc w:val="both"/>
      </w:pPr>
      <w:r>
        <w:t>Diseases with critical gaps included (</w:t>
      </w:r>
      <w:r>
        <w:rPr>
          <w:b/>
          <w:bCs/>
        </w:rPr>
        <w:t>Table 3</w:t>
      </w:r>
      <w:r>
        <w:t>): malaria (55.2 million DALYs, 17 publications), dengue (2.1 million DALYs, 0 publications), schistosomiasis (1.8 million DALYs, 0 publications), lymphatic filariasis (1.3 million DALYs, 0 publications), and cysticercosis (1.2 million DALYs, 0 publications).</w:t>
      </w:r>
    </w:p>
    <w:p w14:paraId="2752BC9D" w14:textId="77777777" w:rsidR="00BA109A" w:rsidRDefault="00000000">
      <w:pPr>
        <w:pStyle w:val="Heading2"/>
      </w:pPr>
      <w:r>
        <w:t>Biobank-Level Equity Alignment</w:t>
      </w:r>
    </w:p>
    <w:p w14:paraId="2C1A8F21" w14:textId="77777777" w:rsidR="00BA109A" w:rsidRDefault="00000000">
      <w:pPr>
        <w:spacing w:after="200"/>
        <w:jc w:val="both"/>
      </w:pPr>
      <w:r>
        <w:t>Equity Alignment Scores ranged from 1.7 (Civil Service Hospital Nepal) to 84.6 (UK Biobank). The distribution was heavily skewed toward lower scores (</w:t>
      </w:r>
      <w:r>
        <w:rPr>
          <w:b/>
          <w:bCs/>
        </w:rPr>
        <w:t>Table 4</w:t>
      </w:r>
      <w:r>
        <w:t xml:space="preserve">; </w:t>
      </w:r>
      <w:r>
        <w:rPr>
          <w:b/>
          <w:bCs/>
        </w:rPr>
        <w:t>Figure 6</w:t>
      </w:r>
      <w:r>
        <w:t>): High (70 or above): 1 biobank (1.4%); Moderate (40 to 69): 13 biobanks (18.6%); Low (below 40): 56 biobanks (80.0%).</w:t>
      </w:r>
    </w:p>
    <w:p w14:paraId="11F1B264" w14:textId="77777777" w:rsidR="00BA109A" w:rsidRDefault="00000000">
      <w:pPr>
        <w:spacing w:after="200"/>
        <w:jc w:val="both"/>
      </w:pPr>
      <w:r>
        <w:lastRenderedPageBreak/>
        <w:t>UK Biobank achieved the highest alignment (EAS 84.6, 95% CI: 82.1 to 87.1). The next highest-scoring biobanks were Nurses' Health Study (EAS 55.2), Women's Health Initiative (EAS 53.4), Estonian Biobank (EAS 49.2), and All of Us Research Program (EAS 49.1). The concentration in the 'Low' category reflects systemic factors including resource constraints, infrastructure limitations, and research agendas driven by local rather than global priorities.</w:t>
      </w:r>
    </w:p>
    <w:p w14:paraId="00557229" w14:textId="77777777" w:rsidR="00BA109A" w:rsidRDefault="00000000">
      <w:pPr>
        <w:pStyle w:val="Heading2"/>
      </w:pPr>
      <w:r>
        <w:t>UK Biobank Analysis</w:t>
      </w:r>
    </w:p>
    <w:p w14:paraId="69093B7A" w14:textId="77777777" w:rsidR="00BA109A" w:rsidRDefault="00000000">
      <w:pPr>
        <w:spacing w:after="200"/>
        <w:jc w:val="both"/>
      </w:pPr>
      <w:r>
        <w:t>UK Biobank's leading position warrants specific analysis. UK Biobank contributes 35.7% of all IHCC-linked publications. The gap between UK Biobank (EAS 84.6) and second-place Nurses' Health Study (EAS 55.2) is 29.4 points. Without UK Biobank, no biobank exceeds the 'High' alignment threshold.</w:t>
      </w:r>
    </w:p>
    <w:p w14:paraId="223B9416" w14:textId="77777777" w:rsidR="00BA109A" w:rsidRDefault="00000000">
      <w:pPr>
        <w:spacing w:after="200"/>
        <w:jc w:val="both"/>
      </w:pPr>
      <w:r>
        <w:t>UK Biobank's performance reflects its design, funding, and infrastructure. For policy purposes, comparing biobanks to the 'Moderate' threshold (40 to 69) may be more actionable than comparison to UK Biobank, as it represents an achievable target for well-resourced institutions.</w:t>
      </w:r>
    </w:p>
    <w:p w14:paraId="62ACCCE8" w14:textId="77777777" w:rsidR="00BA109A" w:rsidRDefault="00000000">
      <w:pPr>
        <w:pStyle w:val="Heading2"/>
      </w:pPr>
      <w:r>
        <w:t>Global South and LMIC Biobanks</w:t>
      </w:r>
    </w:p>
    <w:p w14:paraId="1A3DD3F9" w14:textId="77777777" w:rsidR="00BA109A" w:rsidRDefault="00000000">
      <w:pPr>
        <w:spacing w:after="200"/>
        <w:jc w:val="both"/>
      </w:pPr>
      <w:r>
        <w:t xml:space="preserve">Eighteen biobanks in our sample serve Global South or LMIC populations. Despite resource constraints, several are emerging as important contributors: China </w:t>
      </w:r>
      <w:proofErr w:type="spellStart"/>
      <w:r>
        <w:t>Kadoorie</w:t>
      </w:r>
      <w:proofErr w:type="spellEnd"/>
      <w:r>
        <w:t xml:space="preserve"> Biobank (624 publications, EAS 41.6), ELSA-</w:t>
      </w:r>
      <w:proofErr w:type="spellStart"/>
      <w:r>
        <w:t>Brasil</w:t>
      </w:r>
      <w:proofErr w:type="spellEnd"/>
      <w:r>
        <w:t xml:space="preserve"> (418 publications, EAS 38.0), Qatar Biobank (287 publications, EAS 21.2), PERSIAN Cohort (156 publications, EAS 19.5), AWI-Gen (89 publications, EAS 10.8), and Uganda Genome Resource (31 publications, EAS 2.7). These biobanks face systematic challenges including limited funding and infrastructure constraints but provide critical representation for populations historically excluded from genomic research.</w:t>
      </w:r>
    </w:p>
    <w:p w14:paraId="50F9BC51" w14:textId="77777777" w:rsidR="00BA109A" w:rsidRDefault="00000000">
      <w:r>
        <w:br w:type="page"/>
      </w:r>
    </w:p>
    <w:p w14:paraId="17BA467F" w14:textId="77777777" w:rsidR="00BA109A" w:rsidRDefault="00000000">
      <w:pPr>
        <w:pStyle w:val="Heading1"/>
      </w:pPr>
      <w:r>
        <w:lastRenderedPageBreak/>
        <w:t>Discussion</w:t>
      </w:r>
    </w:p>
    <w:p w14:paraId="602F2C29" w14:textId="77777777" w:rsidR="00BA109A" w:rsidRDefault="00000000">
      <w:pPr>
        <w:pStyle w:val="Heading2"/>
      </w:pPr>
      <w:r>
        <w:t>Principal Findings</w:t>
      </w:r>
    </w:p>
    <w:p w14:paraId="0CBDF950" w14:textId="77777777" w:rsidR="00BA109A" w:rsidRDefault="00000000">
      <w:pPr>
        <w:spacing w:after="200"/>
        <w:jc w:val="both"/>
      </w:pPr>
      <w:r>
        <w:t>This study presents the first standardised HEIM analysis across the International Health Cohorts Consortium registry, examining 38,595 publications from 70 biobanks in 29 countries. Our principal findings are threefold.</w:t>
      </w:r>
    </w:p>
    <w:p w14:paraId="6F12326C" w14:textId="77777777" w:rsidR="00BA109A" w:rsidRDefault="00000000">
      <w:pPr>
        <w:spacing w:after="200"/>
        <w:jc w:val="both"/>
      </w:pPr>
      <w:r>
        <w:t>First, we observed substantial disparity in research intensity between HIC and LMIC biobanks (equity ratio: 57.8:1), indicating that biobank research capacity remains profoundly misaligned with global disease burden even within a standardised consortium framework.</w:t>
      </w:r>
    </w:p>
    <w:p w14:paraId="28255A90" w14:textId="77777777" w:rsidR="00BA109A" w:rsidRDefault="00000000">
      <w:pPr>
        <w:spacing w:after="200"/>
        <w:jc w:val="both"/>
      </w:pPr>
      <w:r>
        <w:t>Second, we identified 48 disease categories (27%) with critical or high severity research gaps despite substantial global burden, with neglected tropical diseases (malaria, dengue, schistosomiasis) particularly underrepresented.</w:t>
      </w:r>
    </w:p>
    <w:p w14:paraId="3C100D6C" w14:textId="77777777" w:rsidR="00BA109A" w:rsidRDefault="00000000">
      <w:pPr>
        <w:spacing w:after="200"/>
        <w:jc w:val="both"/>
      </w:pPr>
      <w:r>
        <w:t>Third, only 1 of 70 biobanks (UK Biobank) achieved 'High' equity alignment (</w:t>
      </w:r>
      <w:r>
        <w:rPr>
          <w:b/>
          <w:bCs/>
        </w:rPr>
        <w:t>Table 4</w:t>
      </w:r>
      <w:r>
        <w:t>), highlighting systemic underperformance across the global biobank landscape.</w:t>
      </w:r>
    </w:p>
    <w:p w14:paraId="4EDFAA2C" w14:textId="77777777" w:rsidR="00BA109A" w:rsidRDefault="00000000">
      <w:pPr>
        <w:pStyle w:val="Heading2"/>
      </w:pPr>
      <w:r>
        <w:t>Comparison with Prior Literature</w:t>
      </w:r>
    </w:p>
    <w:p w14:paraId="75902DD4" w14:textId="77777777" w:rsidR="00BA109A" w:rsidRDefault="00000000">
      <w:pPr>
        <w:spacing w:after="200"/>
        <w:jc w:val="both"/>
      </w:pPr>
      <w:r>
        <w:t>Our findings are consistent with prior documentation of ancestry bias in genomic research. Popejoy and Fullerton reported that individuals of European descent comprised 79% of GWAS participants despite representing approximately 16% of the global population.</w:t>
      </w:r>
      <w:r>
        <w:rPr>
          <w:vertAlign w:val="superscript"/>
        </w:rPr>
        <w:t>3</w:t>
      </w:r>
      <w:r>
        <w:t xml:space="preserve"> The recent WHO report on genomic clinical studies (1990 to 2024) found that 68% of all studies were conducted in high income countries (</w:t>
      </w:r>
      <w:r>
        <w:rPr>
          <w:b/>
          <w:bCs/>
        </w:rPr>
        <w:t>Figures 1 and 2</w:t>
      </w:r>
      <w:r>
        <w:t>).</w:t>
      </w:r>
      <w:r>
        <w:rPr>
          <w:vertAlign w:val="superscript"/>
        </w:rPr>
        <w:t>14</w:t>
      </w:r>
      <w:r>
        <w:t xml:space="preserve"> Our contribution extends this literature by providing disease-resolved, DALY-normalised equity metrics at the biobank level.</w:t>
      </w:r>
    </w:p>
    <w:p w14:paraId="373B01AC" w14:textId="77777777" w:rsidR="00BA109A" w:rsidRDefault="00000000">
      <w:pPr>
        <w:pStyle w:val="Heading2"/>
      </w:pPr>
      <w:r>
        <w:t>Why 80% of Biobanks Score 'Low'</w:t>
      </w:r>
    </w:p>
    <w:p w14:paraId="6DBBED49" w14:textId="77777777" w:rsidR="00BA109A" w:rsidRDefault="00000000">
      <w:pPr>
        <w:spacing w:after="200"/>
        <w:jc w:val="both"/>
      </w:pPr>
      <w:r>
        <w:t>The concentration of biobanks in the 'Low' EAS category reflects structural factors rather than individual institutional failures: resource constraints (LMIC biobanks operate with a fraction of the funding available to HIC counterparts), infrastructure gaps (genomic sequencing, computing infrastructure, and trained personnel remain scarce in many regions), network effects (research collaborations, journal access, and funding opportunities cluster in established centres), and local versus global priorities (biobanks naturally focus on conditions prevalent in their source populations). Addressing these systemic factors requires coordinated action from funders, institutions, and policymakers.</w:t>
      </w:r>
    </w:p>
    <w:p w14:paraId="5D8B0680" w14:textId="77777777" w:rsidR="00BA109A" w:rsidRDefault="00000000">
      <w:pPr>
        <w:pStyle w:val="Heading2"/>
      </w:pPr>
      <w:r>
        <w:t>Limitations</w:t>
      </w:r>
    </w:p>
    <w:p w14:paraId="39853571" w14:textId="77777777" w:rsidR="00BA109A" w:rsidRDefault="00000000">
      <w:pPr>
        <w:spacing w:after="200"/>
        <w:jc w:val="both"/>
      </w:pPr>
      <w:r>
        <w:t xml:space="preserve">Several limitations should inform interpretation. Publication coverage is limited to PubMed-indexed publications, potentially undercounting research published in regional journals or non-English languages. </w:t>
      </w:r>
      <w:proofErr w:type="spellStart"/>
      <w:r>
        <w:t>MeSH</w:t>
      </w:r>
      <w:proofErr w:type="spellEnd"/>
      <w:r>
        <w:t xml:space="preserve"> mapping achieved 92% concordance; some misclassification is expected for multimorbid conditions. The IHCC registry, while standardised, does not capture all global biobanks. Temporal confounding advantages established biobanks. Quality versus quantity: publication counts do not capture research impact. Future versions of HEIM will address these limitations through expanded data sources and complementary quality metrics.</w:t>
      </w:r>
    </w:p>
    <w:p w14:paraId="465FFAD4" w14:textId="77777777" w:rsidR="00BA109A" w:rsidRDefault="00000000">
      <w:pPr>
        <w:pStyle w:val="Heading2"/>
      </w:pPr>
      <w:r>
        <w:lastRenderedPageBreak/>
        <w:t>Policy Implications</w:t>
      </w:r>
    </w:p>
    <w:p w14:paraId="6B267B7E" w14:textId="77777777" w:rsidR="00BA109A" w:rsidRDefault="00000000">
      <w:pPr>
        <w:spacing w:after="200"/>
        <w:jc w:val="both"/>
      </w:pPr>
      <w:r>
        <w:t>The HEIM framework has several applications for policy and practice. Research funders could incorporate equity metrics into grant evaluation criteria. Biobanks could use the framework for strategic planning, identifying underserved disease areas. Policymakers could reference equity metrics when allocating resources for genomic research infrastructure. The interactive dashboard (https://manuelcorpas.github.io/17-EHR/) operationalises these metrics for practical use, enabling stakeholders to filter by biobank, disease, region, and income group; compare institutions; and identify priority gaps in real time.</w:t>
      </w:r>
    </w:p>
    <w:p w14:paraId="3E5C80DE" w14:textId="77777777" w:rsidR="00BA109A" w:rsidRDefault="00000000">
      <w:r>
        <w:br w:type="page"/>
      </w:r>
    </w:p>
    <w:p w14:paraId="7DC8944B" w14:textId="77777777" w:rsidR="00BA109A" w:rsidRDefault="00000000">
      <w:pPr>
        <w:pStyle w:val="Heading1"/>
      </w:pPr>
      <w:r>
        <w:lastRenderedPageBreak/>
        <w:t>Conclusions</w:t>
      </w:r>
    </w:p>
    <w:p w14:paraId="12EE04AC" w14:textId="77777777" w:rsidR="00BA109A" w:rsidRDefault="00000000">
      <w:pPr>
        <w:spacing w:after="200"/>
        <w:jc w:val="both"/>
      </w:pPr>
      <w:r>
        <w:t>The HEIM framework provides a standardised, reproducible approach to quantifying equity in global biobank research (</w:t>
      </w:r>
      <w:r>
        <w:rPr>
          <w:b/>
          <w:bCs/>
        </w:rPr>
        <w:t>Figure 1A</w:t>
      </w:r>
      <w:r>
        <w:t>). Our analysis of 70 IHCC-registered biobanks reveals substantial disparities in how research capacity is distributed relative to global disease burden, with HIC biobanks producing 57.8 times more research output per DALY than LMIC counterparts (</w:t>
      </w:r>
      <w:r>
        <w:rPr>
          <w:b/>
          <w:bCs/>
        </w:rPr>
        <w:t>Tables 1 and 2</w:t>
      </w:r>
      <w:r>
        <w:t xml:space="preserve">; </w:t>
      </w:r>
      <w:r>
        <w:rPr>
          <w:b/>
          <w:bCs/>
        </w:rPr>
        <w:t>Figure 1B and C</w:t>
      </w:r>
      <w:r>
        <w:t>).</w:t>
      </w:r>
    </w:p>
    <w:p w14:paraId="503604E3" w14:textId="77777777" w:rsidR="00BA109A" w:rsidRDefault="00000000">
      <w:pPr>
        <w:spacing w:after="200"/>
        <w:jc w:val="both"/>
      </w:pPr>
      <w:r>
        <w:t>UK Biobank emerges as the leading performer, achieving the highest EAS rating (84.6) and contributing over one third of all publications. While this benchmark demonstrates what is achievable with sustained investment, the 29-point gap to second-ranked biobanks indicates that UK Biobank-level performance may not be a realistic near-term target for most biobanks.</w:t>
      </w:r>
    </w:p>
    <w:p w14:paraId="43666077" w14:textId="77777777" w:rsidR="00BA109A" w:rsidRDefault="00000000">
      <w:pPr>
        <w:spacing w:after="200"/>
        <w:jc w:val="both"/>
      </w:pPr>
      <w:r>
        <w:t>The identification of 48 diseases with critical or high research gaps, including 22 with critical gaps, particularly neglected tropical diseases disproportionately affecting the Global South, provides actionable priorities for equity-focused investment. Closing the equity gap requires coordinated action across the research ecosystem: targeted funding for LMIC biobanks, capacity-building investments, equitable collaboration frameworks, and metrics that reward equity-aligned research.</w:t>
      </w:r>
    </w:p>
    <w:p w14:paraId="498F9391" w14:textId="77777777" w:rsidR="00BA109A" w:rsidRDefault="00000000">
      <w:pPr>
        <w:spacing w:after="200"/>
        <w:jc w:val="both"/>
      </w:pPr>
      <w:r>
        <w:t>The interactive dashboard (https://manuelcorpas.github.io/17-EHR/) operationalises these metrics for researchers, funders, and policymakers, providing real-time access to biobank rankings, disease gap scores, regional comparisons, and trend analyses. Annual updates will enable stakeholders to monitor progress and identify emerging priorities as the global biobank landscape evolves.</w:t>
      </w:r>
    </w:p>
    <w:p w14:paraId="241CEF74" w14:textId="77777777" w:rsidR="00BA109A" w:rsidRDefault="00000000">
      <w:r>
        <w:br w:type="page"/>
      </w:r>
    </w:p>
    <w:p w14:paraId="051AFD73" w14:textId="77777777" w:rsidR="00BA109A" w:rsidRDefault="00000000">
      <w:pPr>
        <w:pStyle w:val="Heading1"/>
      </w:pPr>
      <w:r>
        <w:lastRenderedPageBreak/>
        <w:t>Declarations</w:t>
      </w:r>
    </w:p>
    <w:p w14:paraId="7779E31D" w14:textId="77777777" w:rsidR="00BA109A" w:rsidRDefault="00000000">
      <w:pPr>
        <w:pStyle w:val="Heading2"/>
      </w:pPr>
      <w:r>
        <w:t>Author Contributions</w:t>
      </w:r>
    </w:p>
    <w:p w14:paraId="1A0AD489" w14:textId="77777777" w:rsidR="00BA109A" w:rsidRDefault="00000000">
      <w:pPr>
        <w:spacing w:after="200"/>
        <w:jc w:val="both"/>
      </w:pPr>
      <w:r>
        <w:t>MC conceived the study, developed the methodology, conducted the analyses, developed the interactive dashboard, and wrote the manuscript.</w:t>
      </w:r>
    </w:p>
    <w:p w14:paraId="2C884F22" w14:textId="77777777" w:rsidR="00BA109A" w:rsidRDefault="00000000">
      <w:pPr>
        <w:pStyle w:val="Heading2"/>
      </w:pPr>
      <w:r>
        <w:t>Funding</w:t>
      </w:r>
    </w:p>
    <w:p w14:paraId="04508A25" w14:textId="77777777" w:rsidR="00BA109A" w:rsidRDefault="00000000">
      <w:pPr>
        <w:spacing w:after="200"/>
        <w:jc w:val="both"/>
      </w:pPr>
      <w:r>
        <w:t>No specific funding has been dedicated for this work.</w:t>
      </w:r>
    </w:p>
    <w:p w14:paraId="20D06929" w14:textId="77777777" w:rsidR="00BA109A" w:rsidRDefault="00000000">
      <w:pPr>
        <w:pStyle w:val="Heading2"/>
      </w:pPr>
      <w:r>
        <w:t>Conflicts of Interest</w:t>
      </w:r>
    </w:p>
    <w:p w14:paraId="765F1AD0" w14:textId="77777777" w:rsidR="00BA109A" w:rsidRDefault="00000000">
      <w:pPr>
        <w:spacing w:after="200"/>
        <w:jc w:val="both"/>
      </w:pPr>
      <w:r>
        <w:t>The author declares no competing interests.</w:t>
      </w:r>
    </w:p>
    <w:p w14:paraId="3994A45C" w14:textId="77777777" w:rsidR="00BA109A" w:rsidRDefault="00000000">
      <w:pPr>
        <w:pStyle w:val="Heading2"/>
      </w:pPr>
      <w:r>
        <w:t>Ethics Approval</w:t>
      </w:r>
    </w:p>
    <w:p w14:paraId="16722E92" w14:textId="77777777" w:rsidR="00BA109A" w:rsidRDefault="00000000">
      <w:pPr>
        <w:spacing w:after="200"/>
        <w:jc w:val="both"/>
      </w:pPr>
      <w:r>
        <w:t xml:space="preserve">This study analysed publicly available, aggregated publication data and disease burden statistics. No individual-level human </w:t>
      </w:r>
      <w:proofErr w:type="gramStart"/>
      <w:r>
        <w:t>subjects</w:t>
      </w:r>
      <w:proofErr w:type="gramEnd"/>
      <w:r>
        <w:t xml:space="preserve"> data were used. Institutional ethics approval was not required.</w:t>
      </w:r>
    </w:p>
    <w:p w14:paraId="35716604" w14:textId="77777777" w:rsidR="00BA109A" w:rsidRDefault="00000000">
      <w:pPr>
        <w:pStyle w:val="Heading2"/>
      </w:pPr>
      <w:r>
        <w:t>Data Availability</w:t>
      </w:r>
    </w:p>
    <w:p w14:paraId="5A636C29" w14:textId="77777777" w:rsidR="00BA109A" w:rsidRDefault="00000000">
      <w:pPr>
        <w:spacing w:after="200"/>
        <w:jc w:val="both"/>
      </w:pPr>
      <w:r>
        <w:t>All aggregated data, analysis code, and mapping dictionaries are available at the dashboard (https://manuelcorpas.github.io/17-EHR/) and GitHub repository (https://github.com/manuelcorpas/17-EHR). The interactive dashboard provides access to complete biobank rankings with confidence intervals, disease-level gap scores, regional and income group comparisons, UK Biobank sensitivity analyses, and methodology documentation.</w:t>
      </w:r>
    </w:p>
    <w:p w14:paraId="33395064" w14:textId="77777777" w:rsidR="00BA109A" w:rsidRDefault="00000000">
      <w:pPr>
        <w:pStyle w:val="Heading2"/>
      </w:pPr>
      <w:r>
        <w:t>Acknowledgements</w:t>
      </w:r>
    </w:p>
    <w:p w14:paraId="38CDCA98" w14:textId="77777777" w:rsidR="00BA109A" w:rsidRDefault="00000000">
      <w:pPr>
        <w:spacing w:after="200"/>
        <w:jc w:val="both"/>
      </w:pPr>
      <w:r>
        <w:t>The author acknowledges the contributions of the International Health Cohorts Consortium for maintaining the Global Cohort Atlas and the Institute for Health Metrics and Evaluation for making disease burden data publicly available.</w:t>
      </w:r>
    </w:p>
    <w:p w14:paraId="49E200E2" w14:textId="77777777" w:rsidR="00BA109A" w:rsidRDefault="00000000">
      <w:r>
        <w:br w:type="page"/>
      </w:r>
    </w:p>
    <w:p w14:paraId="7E48CBDE" w14:textId="77777777" w:rsidR="00BA109A" w:rsidRDefault="00000000">
      <w:pPr>
        <w:pStyle w:val="Heading1"/>
      </w:pPr>
      <w:r>
        <w:lastRenderedPageBreak/>
        <w:t>References</w:t>
      </w:r>
    </w:p>
    <w:p w14:paraId="49C207D2" w14:textId="77777777" w:rsidR="00BA109A" w:rsidRDefault="00000000">
      <w:pPr>
        <w:pStyle w:val="ListParagraph"/>
        <w:numPr>
          <w:ilvl w:val="0"/>
          <w:numId w:val="2"/>
        </w:numPr>
        <w:spacing w:after="100"/>
      </w:pPr>
      <w:proofErr w:type="spellStart"/>
      <w:r>
        <w:t>Sirugo</w:t>
      </w:r>
      <w:proofErr w:type="spellEnd"/>
      <w:r>
        <w:t xml:space="preserve"> G, Williams SM, </w:t>
      </w:r>
      <w:proofErr w:type="spellStart"/>
      <w:r>
        <w:t>Tishkoff</w:t>
      </w:r>
      <w:proofErr w:type="spellEnd"/>
      <w:r>
        <w:t xml:space="preserve"> SA. The missing diversity in human genetic studies. Cell </w:t>
      </w:r>
      <w:proofErr w:type="gramStart"/>
      <w:r>
        <w:t>2019;177:26</w:t>
      </w:r>
      <w:proofErr w:type="gramEnd"/>
      <w:r>
        <w:t>-31.</w:t>
      </w:r>
    </w:p>
    <w:p w14:paraId="33B2ED04" w14:textId="77777777" w:rsidR="00BA109A" w:rsidRDefault="00000000">
      <w:pPr>
        <w:pStyle w:val="ListParagraph"/>
        <w:numPr>
          <w:ilvl w:val="0"/>
          <w:numId w:val="2"/>
        </w:numPr>
        <w:spacing w:after="100"/>
      </w:pPr>
      <w:r>
        <w:t xml:space="preserve">Popejoy AB, Fullerton SM. Genomics is failing on diversity. Nature </w:t>
      </w:r>
      <w:proofErr w:type="gramStart"/>
      <w:r>
        <w:t>2016;538:161</w:t>
      </w:r>
      <w:proofErr w:type="gramEnd"/>
      <w:r>
        <w:t>-164.</w:t>
      </w:r>
    </w:p>
    <w:p w14:paraId="723B713E" w14:textId="77777777" w:rsidR="00BA109A" w:rsidRDefault="00000000">
      <w:pPr>
        <w:pStyle w:val="ListParagraph"/>
        <w:numPr>
          <w:ilvl w:val="0"/>
          <w:numId w:val="2"/>
        </w:numPr>
        <w:spacing w:after="100"/>
      </w:pPr>
      <w:r>
        <w:t xml:space="preserve">Martin AR, Kanai M, </w:t>
      </w:r>
      <w:proofErr w:type="spellStart"/>
      <w:r>
        <w:t>Kamatani</w:t>
      </w:r>
      <w:proofErr w:type="spellEnd"/>
      <w:r>
        <w:t xml:space="preserve"> Y, Okada Y, Neale BM, Daly MJ. Clinical use of current polygenic risk scores may exacerbate health disparities. Nat Genet </w:t>
      </w:r>
      <w:proofErr w:type="gramStart"/>
      <w:r>
        <w:t>2019;51:584</w:t>
      </w:r>
      <w:proofErr w:type="gramEnd"/>
      <w:r>
        <w:t>-591.</w:t>
      </w:r>
    </w:p>
    <w:p w14:paraId="6D74399A" w14:textId="77777777" w:rsidR="00BA109A" w:rsidRDefault="00000000">
      <w:pPr>
        <w:pStyle w:val="ListParagraph"/>
        <w:numPr>
          <w:ilvl w:val="0"/>
          <w:numId w:val="2"/>
        </w:numPr>
        <w:spacing w:after="100"/>
      </w:pPr>
      <w:r>
        <w:t xml:space="preserve">Ju Y, Jia T, Yang L, et al. Importance of including non-European populations in large human genetic studies to enhance precision medicine. Annu Rev Genomics Hum Genet </w:t>
      </w:r>
      <w:proofErr w:type="gramStart"/>
      <w:r>
        <w:t>2022;23:187</w:t>
      </w:r>
      <w:proofErr w:type="gramEnd"/>
      <w:r>
        <w:t>-207.</w:t>
      </w:r>
    </w:p>
    <w:p w14:paraId="1ED2C04F" w14:textId="77777777" w:rsidR="00BA109A" w:rsidRDefault="00000000">
      <w:pPr>
        <w:pStyle w:val="ListParagraph"/>
        <w:numPr>
          <w:ilvl w:val="0"/>
          <w:numId w:val="2"/>
        </w:numPr>
        <w:spacing w:after="100"/>
      </w:pPr>
      <w:r>
        <w:t xml:space="preserve">Duncan L, Shen H, </w:t>
      </w:r>
      <w:proofErr w:type="spellStart"/>
      <w:r>
        <w:t>Gelaye</w:t>
      </w:r>
      <w:proofErr w:type="spellEnd"/>
      <w:r>
        <w:t xml:space="preserve"> B, et al. Analysis of polygenic risk score usage and performance in diverse human populations. Nat Commun </w:t>
      </w:r>
      <w:proofErr w:type="gramStart"/>
      <w:r>
        <w:t>2019;10:3328</w:t>
      </w:r>
      <w:proofErr w:type="gramEnd"/>
      <w:r>
        <w:t>.</w:t>
      </w:r>
    </w:p>
    <w:p w14:paraId="162857D1" w14:textId="77777777" w:rsidR="00BA109A" w:rsidRDefault="00000000">
      <w:pPr>
        <w:pStyle w:val="ListParagraph"/>
        <w:numPr>
          <w:ilvl w:val="0"/>
          <w:numId w:val="2"/>
        </w:numPr>
        <w:spacing w:after="100"/>
      </w:pPr>
      <w:r>
        <w:t xml:space="preserve">Wang Y, Guo J, Ni G, Yang J, Visscher PM, Yengo L. Theoretical and empirical quantification of the accuracy of polygenic scores in ancestry divergent populations. Nat Commun </w:t>
      </w:r>
      <w:proofErr w:type="gramStart"/>
      <w:r>
        <w:t>2020;11:3865</w:t>
      </w:r>
      <w:proofErr w:type="gramEnd"/>
      <w:r>
        <w:t>.</w:t>
      </w:r>
    </w:p>
    <w:p w14:paraId="24BD9A7C" w14:textId="77777777" w:rsidR="00BA109A" w:rsidRDefault="00000000">
      <w:pPr>
        <w:pStyle w:val="ListParagraph"/>
        <w:numPr>
          <w:ilvl w:val="0"/>
          <w:numId w:val="2"/>
        </w:numPr>
        <w:spacing w:after="100"/>
      </w:pPr>
      <w:proofErr w:type="spellStart"/>
      <w:r>
        <w:t>Manrai</w:t>
      </w:r>
      <w:proofErr w:type="spellEnd"/>
      <w:r>
        <w:t xml:space="preserve"> AK, Funke BH, Rehm HL, et al. Genetic misdiagnoses and the potential for health disparities. N Engl J Med </w:t>
      </w:r>
      <w:proofErr w:type="gramStart"/>
      <w:r>
        <w:t>2016;375:655</w:t>
      </w:r>
      <w:proofErr w:type="gramEnd"/>
      <w:r>
        <w:t>-665.</w:t>
      </w:r>
    </w:p>
    <w:p w14:paraId="18DC4B4F" w14:textId="77777777" w:rsidR="00BA109A" w:rsidRDefault="00000000">
      <w:pPr>
        <w:pStyle w:val="ListParagraph"/>
        <w:numPr>
          <w:ilvl w:val="0"/>
          <w:numId w:val="2"/>
        </w:numPr>
        <w:spacing w:after="100"/>
      </w:pPr>
      <w:r>
        <w:t xml:space="preserve">Landrum MJ, Lee JM, Benson M, et al. </w:t>
      </w:r>
      <w:proofErr w:type="spellStart"/>
      <w:r>
        <w:t>ClinVar</w:t>
      </w:r>
      <w:proofErr w:type="spellEnd"/>
      <w:r>
        <w:t>: improving access to variant interpretations and supporting evidence. Nucleic Acids Res 2018;</w:t>
      </w:r>
      <w:proofErr w:type="gramStart"/>
      <w:r>
        <w:t>46:D</w:t>
      </w:r>
      <w:proofErr w:type="gramEnd"/>
      <w:r>
        <w:t>1062-D1067.</w:t>
      </w:r>
    </w:p>
    <w:p w14:paraId="5641DB62" w14:textId="77777777" w:rsidR="00BA109A" w:rsidRDefault="00000000">
      <w:pPr>
        <w:pStyle w:val="ListParagraph"/>
        <w:numPr>
          <w:ilvl w:val="0"/>
          <w:numId w:val="2"/>
        </w:numPr>
        <w:spacing w:after="100"/>
      </w:pPr>
      <w:r>
        <w:t>World Health Organization. WHO Science Council report on the acceleration and equitable implementation of human genomics for global health. Geneva: WHO; 2024.</w:t>
      </w:r>
    </w:p>
    <w:p w14:paraId="378A1598" w14:textId="77777777" w:rsidR="00BA109A" w:rsidRDefault="00000000">
      <w:pPr>
        <w:pStyle w:val="ListParagraph"/>
        <w:numPr>
          <w:ilvl w:val="0"/>
          <w:numId w:val="2"/>
        </w:numPr>
        <w:spacing w:after="100"/>
      </w:pPr>
      <w:r>
        <w:t xml:space="preserve">Sudlow C, Gallacher J, Allen N, et al. UK Biobank: An open access resource for identifying the causes of a wide range of complex diseases of middle and old age. </w:t>
      </w:r>
      <w:proofErr w:type="spellStart"/>
      <w:r>
        <w:t>PLoS</w:t>
      </w:r>
      <w:proofErr w:type="spellEnd"/>
      <w:r>
        <w:t xml:space="preserve"> Med 2015;</w:t>
      </w:r>
      <w:proofErr w:type="gramStart"/>
      <w:r>
        <w:t>12:e</w:t>
      </w:r>
      <w:proofErr w:type="gramEnd"/>
      <w:r>
        <w:t>1001779.</w:t>
      </w:r>
    </w:p>
    <w:p w14:paraId="476B3DA3" w14:textId="77777777" w:rsidR="00BA109A" w:rsidRDefault="00000000">
      <w:pPr>
        <w:pStyle w:val="ListParagraph"/>
        <w:numPr>
          <w:ilvl w:val="0"/>
          <w:numId w:val="2"/>
        </w:numPr>
        <w:spacing w:after="100"/>
      </w:pPr>
      <w:r>
        <w:t xml:space="preserve">Gaziano JM, Concato J, Brophy M, et al. Million Veteran Program: A mega-biobank to study genetic influences on health and disease. J Clin </w:t>
      </w:r>
      <w:proofErr w:type="spellStart"/>
      <w:r>
        <w:t>Epidemiol</w:t>
      </w:r>
      <w:proofErr w:type="spellEnd"/>
      <w:r>
        <w:t xml:space="preserve"> </w:t>
      </w:r>
      <w:proofErr w:type="gramStart"/>
      <w:r>
        <w:t>2016;70:214</w:t>
      </w:r>
      <w:proofErr w:type="gramEnd"/>
      <w:r>
        <w:t>-223.</w:t>
      </w:r>
    </w:p>
    <w:p w14:paraId="782872C0" w14:textId="77777777" w:rsidR="00BA109A" w:rsidRDefault="00000000">
      <w:pPr>
        <w:pStyle w:val="ListParagraph"/>
        <w:numPr>
          <w:ilvl w:val="0"/>
          <w:numId w:val="2"/>
        </w:numPr>
        <w:spacing w:after="100"/>
      </w:pPr>
      <w:r>
        <w:t>International Health Cohorts Consortium. Global Cohort Atlas. https://ihccglobal.org/ (accessed January 7, 2026).</w:t>
      </w:r>
    </w:p>
    <w:p w14:paraId="42C7161A" w14:textId="77777777" w:rsidR="00BA109A" w:rsidRDefault="00000000">
      <w:pPr>
        <w:pStyle w:val="ListParagraph"/>
        <w:numPr>
          <w:ilvl w:val="0"/>
          <w:numId w:val="2"/>
        </w:numPr>
        <w:spacing w:after="100"/>
      </w:pPr>
      <w:r>
        <w:t xml:space="preserve">GBD 2021 Collaborators. Global burden of 369 diseases and injuries in 204 countries and territories, 1990-2021: a systematic analysis for the Global Burden of Disease Study 2021. Lancet </w:t>
      </w:r>
      <w:proofErr w:type="gramStart"/>
      <w:r>
        <w:t>2024;403:2133</w:t>
      </w:r>
      <w:proofErr w:type="gramEnd"/>
      <w:r>
        <w:t>-2161.</w:t>
      </w:r>
    </w:p>
    <w:p w14:paraId="6AA7C1ED" w14:textId="77777777" w:rsidR="00BA109A" w:rsidRDefault="00000000">
      <w:pPr>
        <w:pStyle w:val="ListParagraph"/>
        <w:numPr>
          <w:ilvl w:val="0"/>
          <w:numId w:val="2"/>
        </w:numPr>
        <w:spacing w:after="100"/>
      </w:pPr>
      <w:r>
        <w:t>World Health Organization. Human genomics technologies in clinical studies: the research landscape, report on the 1990-2024 period. Geneva: WHO; 2025.</w:t>
      </w:r>
    </w:p>
    <w:p w14:paraId="40C7A32C" w14:textId="77777777" w:rsidR="00BA109A" w:rsidRDefault="00000000">
      <w:pPr>
        <w:pStyle w:val="ListParagraph"/>
        <w:numPr>
          <w:ilvl w:val="0"/>
          <w:numId w:val="2"/>
        </w:numPr>
        <w:spacing w:after="100"/>
      </w:pPr>
      <w:r>
        <w:t xml:space="preserve">Corpas M, </w:t>
      </w:r>
      <w:proofErr w:type="spellStart"/>
      <w:r>
        <w:t>Ojewunmi</w:t>
      </w:r>
      <w:proofErr w:type="spellEnd"/>
      <w:r>
        <w:t xml:space="preserve"> O, Guio H, Fatumo S. EHR-linked biobank expansion reveals global health inequities. Annu Rev Biomed Data Sci 2026 (in press).</w:t>
      </w:r>
    </w:p>
    <w:p w14:paraId="45CBB569" w14:textId="77777777" w:rsidR="00BA109A" w:rsidRDefault="00000000">
      <w:r>
        <w:br w:type="page"/>
      </w:r>
    </w:p>
    <w:p w14:paraId="32FB6299" w14:textId="77777777" w:rsidR="00BA109A" w:rsidRDefault="00000000">
      <w:pPr>
        <w:pStyle w:val="Heading1"/>
      </w:pPr>
      <w:r>
        <w:lastRenderedPageBreak/>
        <w:t>Figures</w:t>
      </w:r>
    </w:p>
    <w:p w14:paraId="71025F2C" w14:textId="77777777" w:rsidR="00BA109A" w:rsidRDefault="00000000">
      <w:pPr>
        <w:spacing w:before="200" w:after="100"/>
      </w:pPr>
      <w:r>
        <w:rPr>
          <w:b/>
          <w:bCs/>
        </w:rPr>
        <w:t>Figure 1. HEIM Framework and Global Genomic Research Equity</w:t>
      </w:r>
    </w:p>
    <w:p w14:paraId="030A01CA" w14:textId="77777777" w:rsidR="00BA109A" w:rsidRDefault="00000000">
      <w:pPr>
        <w:spacing w:after="200"/>
        <w:jc w:val="both"/>
      </w:pPr>
      <w:r>
        <w:t>[INSERT FIGURE 1 HERE]</w:t>
      </w:r>
    </w:p>
    <w:p w14:paraId="31F35DF4" w14:textId="77777777" w:rsidR="00BA109A" w:rsidRDefault="00000000">
      <w:pPr>
        <w:spacing w:after="200"/>
        <w:jc w:val="both"/>
      </w:pPr>
      <w:r>
        <w:rPr>
          <w:b/>
          <w:bCs/>
        </w:rPr>
        <w:t xml:space="preserve">Figure 1. </w:t>
      </w:r>
      <w:r>
        <w:t xml:space="preserve">Health Equity Informative Metrics (HEIM) framework and distribution of global genomic clinical studies. </w:t>
      </w:r>
      <w:r>
        <w:rPr>
          <w:b/>
          <w:bCs/>
        </w:rPr>
        <w:t xml:space="preserve">(A) </w:t>
      </w:r>
      <w:r>
        <w:t xml:space="preserve">Core formulation of the Equity Alignment Score (EAS), comprising three components: Gap Severity, Burden Miss, and Capacity Penalty. </w:t>
      </w:r>
      <w:r>
        <w:rPr>
          <w:b/>
          <w:bCs/>
        </w:rPr>
        <w:t xml:space="preserve">(B) </w:t>
      </w:r>
      <w:r>
        <w:t xml:space="preserve">Distribution of genomic clinical studies (1990 to 2024) by World Bank income group. </w:t>
      </w:r>
      <w:r>
        <w:rPr>
          <w:b/>
          <w:bCs/>
        </w:rPr>
        <w:t xml:space="preserve">(C) </w:t>
      </w:r>
      <w:r>
        <w:t xml:space="preserve">Key finding: the publication ratio between HIC and LMIC biobanks in the IHCC cohort is 57.8:1. </w:t>
      </w:r>
      <w:r>
        <w:rPr>
          <w:b/>
          <w:bCs/>
        </w:rPr>
        <w:t xml:space="preserve">(D) </w:t>
      </w:r>
      <w:r>
        <w:t>Summary statistics from WHO analysis of 6,513 genomic clinical studies.</w:t>
      </w:r>
    </w:p>
    <w:p w14:paraId="60681CA1" w14:textId="77777777" w:rsidR="00BA109A" w:rsidRDefault="00000000">
      <w:pPr>
        <w:spacing w:before="300" w:after="100"/>
      </w:pPr>
      <w:r>
        <w:rPr>
          <w:b/>
          <w:bCs/>
        </w:rPr>
        <w:t>Figure 2. Global Distribution of IHCC Biobanks</w:t>
      </w:r>
    </w:p>
    <w:p w14:paraId="151F25CE" w14:textId="77777777" w:rsidR="00BA109A" w:rsidRDefault="00000000">
      <w:pPr>
        <w:spacing w:after="200"/>
        <w:jc w:val="both"/>
      </w:pPr>
      <w:r>
        <w:t>[INSERT FIGURE 2 HERE]</w:t>
      </w:r>
    </w:p>
    <w:p w14:paraId="66FA1717" w14:textId="77777777" w:rsidR="00BA109A" w:rsidRDefault="00000000">
      <w:pPr>
        <w:spacing w:after="200"/>
        <w:jc w:val="both"/>
      </w:pPr>
      <w:r>
        <w:rPr>
          <w:b/>
          <w:bCs/>
        </w:rPr>
        <w:t xml:space="preserve">Figure 2. </w:t>
      </w:r>
      <w:r>
        <w:t>Geographic distribution of 70 IHCC-registered biobanks across 29 countries. Circle size is proportional to publication volume. Colour indicates World Bank income classification.</w:t>
      </w:r>
    </w:p>
    <w:p w14:paraId="2354C398" w14:textId="77777777" w:rsidR="00BA109A" w:rsidRDefault="00000000">
      <w:pPr>
        <w:spacing w:before="300" w:after="100"/>
      </w:pPr>
      <w:r>
        <w:rPr>
          <w:b/>
          <w:bCs/>
        </w:rPr>
        <w:t>Figure 3. Regional Distribution of Research Output</w:t>
      </w:r>
    </w:p>
    <w:p w14:paraId="05E069D3" w14:textId="77777777" w:rsidR="00BA109A" w:rsidRDefault="00000000">
      <w:pPr>
        <w:spacing w:after="200"/>
        <w:jc w:val="both"/>
      </w:pPr>
      <w:r>
        <w:t>[INSERT FIGURE 3 HERE]</w:t>
      </w:r>
    </w:p>
    <w:p w14:paraId="0D4881B2" w14:textId="77777777" w:rsidR="00BA109A" w:rsidRDefault="00000000">
      <w:pPr>
        <w:spacing w:after="200"/>
        <w:jc w:val="both"/>
      </w:pPr>
      <w:r>
        <w:rPr>
          <w:b/>
          <w:bCs/>
        </w:rPr>
        <w:t xml:space="preserve">Figure 3. </w:t>
      </w:r>
      <w:r>
        <w:t>Publication distribution by WHO region. Europe and the Americas account for 87.9% of total output, while Africa, Eastern Mediterranean, and South-East Asia contribute 2.2%.</w:t>
      </w:r>
    </w:p>
    <w:p w14:paraId="31A44C6D" w14:textId="77777777" w:rsidR="00BA109A" w:rsidRDefault="00000000">
      <w:pPr>
        <w:spacing w:before="300" w:after="100"/>
      </w:pPr>
      <w:r>
        <w:rPr>
          <w:b/>
          <w:bCs/>
        </w:rPr>
        <w:t>Figure 4. Equity Ratio Between HIC and LMIC Biobanks</w:t>
      </w:r>
    </w:p>
    <w:p w14:paraId="0714C55F" w14:textId="77777777" w:rsidR="00BA109A" w:rsidRDefault="00000000">
      <w:pPr>
        <w:spacing w:after="200"/>
        <w:jc w:val="both"/>
      </w:pPr>
      <w:r>
        <w:t>[INSERT FIGURE 4 HERE]</w:t>
      </w:r>
    </w:p>
    <w:p w14:paraId="42E483D6" w14:textId="77777777" w:rsidR="00BA109A" w:rsidRDefault="00000000">
      <w:pPr>
        <w:spacing w:after="200"/>
        <w:jc w:val="both"/>
      </w:pPr>
      <w:r>
        <w:rPr>
          <w:b/>
          <w:bCs/>
        </w:rPr>
        <w:t xml:space="preserve">Figure 4. </w:t>
      </w:r>
      <w:r>
        <w:t>Research intensity comparison between high income and low/middle income country biobanks. The 57.8:1 equity ratio indicates profound disparity in research output relative to disease burden.</w:t>
      </w:r>
    </w:p>
    <w:p w14:paraId="53A276AB" w14:textId="77777777" w:rsidR="00BA109A" w:rsidRDefault="00000000">
      <w:pPr>
        <w:spacing w:before="300" w:after="100"/>
      </w:pPr>
      <w:r>
        <w:rPr>
          <w:b/>
          <w:bCs/>
        </w:rPr>
        <w:t>Figure 5. Disease-Level Research Gaps</w:t>
      </w:r>
    </w:p>
    <w:p w14:paraId="1AAF545E" w14:textId="77777777" w:rsidR="00BA109A" w:rsidRDefault="00000000">
      <w:pPr>
        <w:spacing w:after="200"/>
        <w:jc w:val="both"/>
      </w:pPr>
      <w:r>
        <w:t>[INSERT FIGURE 5 HERE]</w:t>
      </w:r>
    </w:p>
    <w:p w14:paraId="5344503F" w14:textId="77777777" w:rsidR="00BA109A" w:rsidRDefault="00000000">
      <w:pPr>
        <w:spacing w:after="200"/>
        <w:jc w:val="both"/>
      </w:pPr>
      <w:r>
        <w:rPr>
          <w:b/>
          <w:bCs/>
        </w:rPr>
        <w:t xml:space="preserve">Figure 5. </w:t>
      </w:r>
      <w:r>
        <w:t xml:space="preserve">Distribution of Gap Scores across 179 disease categories. </w:t>
      </w:r>
      <w:r>
        <w:rPr>
          <w:b/>
          <w:bCs/>
        </w:rPr>
        <w:t xml:space="preserve">(A) </w:t>
      </w:r>
      <w:r>
        <w:t xml:space="preserve">Scatterplot of disease burden (DALYs) versus publication count. </w:t>
      </w:r>
      <w:r>
        <w:rPr>
          <w:b/>
          <w:bCs/>
        </w:rPr>
        <w:t xml:space="preserve">(B) </w:t>
      </w:r>
      <w:r>
        <w:t>Gap severity distribution showing 22 critical, 26 high, 47 moderate, and 84 low gap diseases.</w:t>
      </w:r>
    </w:p>
    <w:p w14:paraId="7EC76044" w14:textId="77777777" w:rsidR="00BA109A" w:rsidRDefault="00000000">
      <w:pPr>
        <w:spacing w:before="300" w:after="100"/>
      </w:pPr>
      <w:r>
        <w:rPr>
          <w:b/>
          <w:bCs/>
        </w:rPr>
        <w:t>Figure 6. Biobank Equity Alignment Score Distribution</w:t>
      </w:r>
    </w:p>
    <w:p w14:paraId="41C519AC" w14:textId="77777777" w:rsidR="00BA109A" w:rsidRDefault="00000000">
      <w:pPr>
        <w:spacing w:after="200"/>
        <w:jc w:val="both"/>
      </w:pPr>
      <w:r>
        <w:t>[INSERT FIGURE 6 HERE]</w:t>
      </w:r>
    </w:p>
    <w:p w14:paraId="4176B6D2" w14:textId="77777777" w:rsidR="00BA109A" w:rsidRDefault="00000000">
      <w:pPr>
        <w:spacing w:after="200"/>
        <w:jc w:val="both"/>
      </w:pPr>
      <w:r>
        <w:rPr>
          <w:b/>
          <w:bCs/>
        </w:rPr>
        <w:t xml:space="preserve">Figure 6. </w:t>
      </w:r>
      <w:r>
        <w:t>Distribution of Equity Alignment Scores across 70 IHCC biobanks. UK Biobank leads with EAS 84.6; 80% of biobanks fall in the 'Low' category (below 40).</w:t>
      </w:r>
    </w:p>
    <w:p w14:paraId="0250803E" w14:textId="77777777" w:rsidR="00BA109A" w:rsidRDefault="00000000">
      <w:r>
        <w:br w:type="page"/>
      </w:r>
    </w:p>
    <w:p w14:paraId="655477DA" w14:textId="77777777" w:rsidR="00BA109A" w:rsidRDefault="00000000">
      <w:pPr>
        <w:pStyle w:val="Heading1"/>
      </w:pPr>
      <w:r>
        <w:lastRenderedPageBreak/>
        <w:t>Tables</w:t>
      </w:r>
    </w:p>
    <w:p w14:paraId="7486E247" w14:textId="77777777" w:rsidR="00BA109A" w:rsidRDefault="00000000">
      <w:pPr>
        <w:pStyle w:val="Heading2"/>
      </w:pPr>
      <w:r>
        <w:t>Table 1. Characteristics of IHCC-Registered Biobanks (Top 15 by EAS)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8"/>
        <w:gridCol w:w="1723"/>
        <w:gridCol w:w="729"/>
        <w:gridCol w:w="927"/>
        <w:gridCol w:w="834"/>
        <w:gridCol w:w="556"/>
        <w:gridCol w:w="656"/>
        <w:gridCol w:w="1075"/>
      </w:tblGrid>
      <w:tr w:rsidR="00BA109A" w14:paraId="13EECA6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75A3A6D7" w14:textId="77777777" w:rsidR="00BA109A" w:rsidRDefault="00000000">
            <w:r>
              <w:rPr>
                <w:b/>
                <w:bCs/>
                <w:sz w:val="20"/>
                <w:szCs w:val="20"/>
              </w:rPr>
              <w:t>Biobank</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22447946" w14:textId="77777777" w:rsidR="00BA109A" w:rsidRDefault="00000000">
            <w:r>
              <w:rPr>
                <w:b/>
                <w:bCs/>
                <w:sz w:val="20"/>
                <w:szCs w:val="20"/>
              </w:rPr>
              <w:t>Country</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37ED2CF3" w14:textId="77777777" w:rsidR="00BA109A" w:rsidRDefault="00000000">
            <w:proofErr w:type="spellStart"/>
            <w:r>
              <w:rPr>
                <w:b/>
                <w:bCs/>
                <w:sz w:val="20"/>
                <w:szCs w:val="20"/>
              </w:rPr>
              <w:t>Rgn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20E23ACC" w14:textId="77777777" w:rsidR="00BA109A" w:rsidRDefault="00000000">
            <w:r>
              <w:rPr>
                <w:b/>
                <w:bCs/>
                <w:sz w:val="20"/>
                <w:szCs w:val="20"/>
              </w:rPr>
              <w:t>Income</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21F679C1" w14:textId="77777777" w:rsidR="00BA109A" w:rsidRDefault="00000000">
            <w:r>
              <w:rPr>
                <w:b/>
                <w:bCs/>
                <w:sz w:val="20"/>
                <w:szCs w:val="20"/>
              </w:rPr>
              <w:t>Pubs</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07A9AC32" w14:textId="77777777" w:rsidR="00BA109A" w:rsidRDefault="00000000">
            <w:r>
              <w:rPr>
                <w:b/>
                <w:bCs/>
                <w:sz w:val="20"/>
                <w:szCs w:val="20"/>
              </w:rPr>
              <w:t>Dis</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133FADCB" w14:textId="77777777" w:rsidR="00BA109A" w:rsidRDefault="00000000">
            <w:r>
              <w:rPr>
                <w:b/>
                <w:bCs/>
                <w:sz w:val="20"/>
                <w:szCs w:val="20"/>
              </w:rPr>
              <w:t>EAS</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0CFAFDFF" w14:textId="77777777" w:rsidR="00BA109A" w:rsidRDefault="00000000">
            <w:r>
              <w:rPr>
                <w:b/>
                <w:bCs/>
                <w:sz w:val="20"/>
                <w:szCs w:val="20"/>
              </w:rPr>
              <w:t>95% CI</w:t>
            </w:r>
          </w:p>
        </w:tc>
      </w:tr>
      <w:tr w:rsidR="00BA109A" w14:paraId="547AFA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86035" w14:textId="77777777" w:rsidR="00BA109A" w:rsidRDefault="00000000">
            <w:r>
              <w:rPr>
                <w:sz w:val="20"/>
                <w:szCs w:val="20"/>
              </w:rPr>
              <w:t>UK Biobank</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FBC53" w14:textId="77777777" w:rsidR="00BA109A" w:rsidRDefault="00000000">
            <w:r>
              <w:rPr>
                <w:sz w:val="20"/>
                <w:szCs w:val="20"/>
              </w:rPr>
              <w:t>United Kingdom</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18ABA6" w14:textId="77777777" w:rsidR="00BA109A" w:rsidRDefault="00000000">
            <w:r>
              <w:rPr>
                <w:sz w:val="20"/>
                <w:szCs w:val="20"/>
              </w:rPr>
              <w:t>EUR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DBD92"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E61B5" w14:textId="77777777" w:rsidR="00BA109A" w:rsidRDefault="00000000">
            <w:r>
              <w:rPr>
                <w:sz w:val="20"/>
                <w:szCs w:val="20"/>
              </w:rPr>
              <w:t>13,785</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572429" w14:textId="77777777" w:rsidR="00BA109A" w:rsidRDefault="00000000">
            <w:r>
              <w:rPr>
                <w:sz w:val="20"/>
                <w:szCs w:val="20"/>
              </w:rPr>
              <w:t>163</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316B4" w14:textId="77777777" w:rsidR="00BA109A" w:rsidRDefault="00000000">
            <w:r>
              <w:rPr>
                <w:sz w:val="20"/>
                <w:szCs w:val="20"/>
              </w:rPr>
              <w:t>84.6</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AE11D" w14:textId="77777777" w:rsidR="00BA109A" w:rsidRDefault="00000000">
            <w:r>
              <w:rPr>
                <w:sz w:val="20"/>
                <w:szCs w:val="20"/>
              </w:rPr>
              <w:t>82.1-87.1</w:t>
            </w:r>
          </w:p>
        </w:tc>
      </w:tr>
      <w:tr w:rsidR="00BA109A" w14:paraId="0C7215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1406" w14:textId="77777777" w:rsidR="00BA109A" w:rsidRDefault="00000000">
            <w:r>
              <w:rPr>
                <w:sz w:val="20"/>
                <w:szCs w:val="20"/>
              </w:rPr>
              <w:t>Nurses' Health Study</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CD4BC" w14:textId="77777777" w:rsidR="00BA109A" w:rsidRDefault="00000000">
            <w:r>
              <w:rPr>
                <w:sz w:val="20"/>
                <w:szCs w:val="20"/>
              </w:rPr>
              <w:t>United States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BA3718" w14:textId="77777777" w:rsidR="00BA109A" w:rsidRDefault="00000000">
            <w:r>
              <w:rPr>
                <w:sz w:val="20"/>
                <w:szCs w:val="20"/>
              </w:rPr>
              <w:t>AMR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064DE"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A67A0" w14:textId="77777777" w:rsidR="00BA109A" w:rsidRDefault="00000000">
            <w:r>
              <w:rPr>
                <w:sz w:val="20"/>
                <w:szCs w:val="20"/>
              </w:rPr>
              <w:t>3,197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B629D6" w14:textId="77777777" w:rsidR="00BA109A" w:rsidRDefault="00000000">
            <w:r>
              <w:rPr>
                <w:sz w:val="20"/>
                <w:szCs w:val="20"/>
              </w:rPr>
              <w:t>142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6FBFE0" w14:textId="77777777" w:rsidR="00BA109A" w:rsidRDefault="00000000">
            <w:r>
              <w:rPr>
                <w:sz w:val="20"/>
                <w:szCs w:val="20"/>
              </w:rPr>
              <w:t>55.2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0B2A5" w14:textId="77777777" w:rsidR="00BA109A" w:rsidRDefault="00000000">
            <w:r>
              <w:rPr>
                <w:sz w:val="20"/>
                <w:szCs w:val="20"/>
              </w:rPr>
              <w:t>53.0-57.4</w:t>
            </w:r>
          </w:p>
        </w:tc>
      </w:tr>
      <w:tr w:rsidR="00BA109A" w14:paraId="54AE22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5D94C" w14:textId="77777777" w:rsidR="00BA109A" w:rsidRDefault="00000000">
            <w:r>
              <w:rPr>
                <w:sz w:val="20"/>
                <w:szCs w:val="20"/>
              </w:rPr>
              <w:t>Women's Health Initiative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DF00E" w14:textId="77777777" w:rsidR="00BA109A" w:rsidRDefault="00000000">
            <w:r>
              <w:rPr>
                <w:sz w:val="20"/>
                <w:szCs w:val="20"/>
              </w:rPr>
              <w:t>United States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F32D0" w14:textId="77777777" w:rsidR="00BA109A" w:rsidRDefault="00000000">
            <w:r>
              <w:rPr>
                <w:sz w:val="20"/>
                <w:szCs w:val="20"/>
              </w:rPr>
              <w:t>AMR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8D145B"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2A2C8" w14:textId="77777777" w:rsidR="00BA109A" w:rsidRDefault="00000000">
            <w:r>
              <w:rPr>
                <w:sz w:val="20"/>
                <w:szCs w:val="20"/>
              </w:rPr>
              <w:t>3,433</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B7D38" w14:textId="77777777" w:rsidR="00BA109A" w:rsidRDefault="00000000">
            <w:r>
              <w:rPr>
                <w:sz w:val="20"/>
                <w:szCs w:val="20"/>
              </w:rPr>
              <w:t>138</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3F8769" w14:textId="77777777" w:rsidR="00BA109A" w:rsidRDefault="00000000">
            <w:r>
              <w:rPr>
                <w:sz w:val="20"/>
                <w:szCs w:val="20"/>
              </w:rPr>
              <w:t>53.4</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ABE94" w14:textId="77777777" w:rsidR="00BA109A" w:rsidRDefault="00000000">
            <w:r>
              <w:rPr>
                <w:sz w:val="20"/>
                <w:szCs w:val="20"/>
              </w:rPr>
              <w:t>51.3-55.5</w:t>
            </w:r>
          </w:p>
        </w:tc>
      </w:tr>
      <w:tr w:rsidR="00BA109A" w14:paraId="174603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0618C" w14:textId="77777777" w:rsidR="00BA109A" w:rsidRDefault="00000000">
            <w:r>
              <w:rPr>
                <w:sz w:val="20"/>
                <w:szCs w:val="20"/>
              </w:rPr>
              <w:t>Estonian Biobank</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B009E" w14:textId="77777777" w:rsidR="00BA109A" w:rsidRDefault="00000000">
            <w:r>
              <w:rPr>
                <w:sz w:val="20"/>
                <w:szCs w:val="20"/>
              </w:rPr>
              <w:t>Estonia</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A36F2F" w14:textId="77777777" w:rsidR="00BA109A" w:rsidRDefault="00000000">
            <w:r>
              <w:rPr>
                <w:sz w:val="20"/>
                <w:szCs w:val="20"/>
              </w:rPr>
              <w:t>EUR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ED4A58"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9FDF1" w14:textId="77777777" w:rsidR="00BA109A" w:rsidRDefault="00000000">
            <w:r>
              <w:rPr>
                <w:sz w:val="20"/>
                <w:szCs w:val="20"/>
              </w:rPr>
              <w:t>675</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FD6A7" w14:textId="77777777" w:rsidR="00BA109A" w:rsidRDefault="00000000">
            <w:r>
              <w:rPr>
                <w:sz w:val="20"/>
                <w:szCs w:val="20"/>
              </w:rPr>
              <w:t>119</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A7ECF" w14:textId="77777777" w:rsidR="00BA109A" w:rsidRDefault="00000000">
            <w:r>
              <w:rPr>
                <w:sz w:val="20"/>
                <w:szCs w:val="20"/>
              </w:rPr>
              <w:t>49.2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FC99B" w14:textId="77777777" w:rsidR="00BA109A" w:rsidRDefault="00000000">
            <w:r>
              <w:rPr>
                <w:sz w:val="20"/>
                <w:szCs w:val="20"/>
              </w:rPr>
              <w:t>46.3-52.1</w:t>
            </w:r>
          </w:p>
        </w:tc>
      </w:tr>
      <w:tr w:rsidR="00BA109A" w14:paraId="06D824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F55E5E" w14:textId="77777777" w:rsidR="00BA109A" w:rsidRDefault="00000000">
            <w:r>
              <w:rPr>
                <w:sz w:val="20"/>
                <w:szCs w:val="20"/>
              </w:rPr>
              <w:t>All of Us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227BF" w14:textId="77777777" w:rsidR="00BA109A" w:rsidRDefault="00000000">
            <w:r>
              <w:rPr>
                <w:sz w:val="20"/>
                <w:szCs w:val="20"/>
              </w:rPr>
              <w:t>United States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B9DEE" w14:textId="77777777" w:rsidR="00BA109A" w:rsidRDefault="00000000">
            <w:r>
              <w:rPr>
                <w:sz w:val="20"/>
                <w:szCs w:val="20"/>
              </w:rPr>
              <w:t>AMR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6A19C"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29199" w14:textId="77777777" w:rsidR="00BA109A" w:rsidRDefault="00000000">
            <w:r>
              <w:rPr>
                <w:sz w:val="20"/>
                <w:szCs w:val="20"/>
              </w:rPr>
              <w:t>837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86FB3" w14:textId="77777777" w:rsidR="00BA109A" w:rsidRDefault="00000000">
            <w:r>
              <w:rPr>
                <w:sz w:val="20"/>
                <w:szCs w:val="20"/>
              </w:rPr>
              <w:t>124</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20D0E" w14:textId="77777777" w:rsidR="00BA109A" w:rsidRDefault="00000000">
            <w:r>
              <w:rPr>
                <w:sz w:val="20"/>
                <w:szCs w:val="20"/>
              </w:rPr>
              <w:t>49.1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BA28F" w14:textId="77777777" w:rsidR="00BA109A" w:rsidRDefault="00000000">
            <w:r>
              <w:rPr>
                <w:sz w:val="20"/>
                <w:szCs w:val="20"/>
              </w:rPr>
              <w:t>46.3-51.9</w:t>
            </w:r>
          </w:p>
        </w:tc>
      </w:tr>
      <w:tr w:rsidR="00BA109A" w14:paraId="00F450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DCEA0" w14:textId="77777777" w:rsidR="00BA109A" w:rsidRDefault="00000000">
            <w:r>
              <w:rPr>
                <w:sz w:val="20"/>
                <w:szCs w:val="20"/>
              </w:rPr>
              <w:t>HUNT Study</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BC95E3" w14:textId="77777777" w:rsidR="00BA109A" w:rsidRDefault="00000000">
            <w:r>
              <w:rPr>
                <w:sz w:val="20"/>
                <w:szCs w:val="20"/>
              </w:rPr>
              <w:t>Norway</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EDD10" w14:textId="77777777" w:rsidR="00BA109A" w:rsidRDefault="00000000">
            <w:r>
              <w:rPr>
                <w:sz w:val="20"/>
                <w:szCs w:val="20"/>
              </w:rPr>
              <w:t>EUR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3801C"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68F16" w14:textId="77777777" w:rsidR="00BA109A" w:rsidRDefault="00000000">
            <w:r>
              <w:rPr>
                <w:sz w:val="20"/>
                <w:szCs w:val="20"/>
              </w:rPr>
              <w:t>1,218</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BFB76" w14:textId="77777777" w:rsidR="00BA109A" w:rsidRDefault="00000000">
            <w:r>
              <w:rPr>
                <w:sz w:val="20"/>
                <w:szCs w:val="20"/>
              </w:rPr>
              <w:t>116</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AA7C0" w14:textId="77777777" w:rsidR="00BA109A" w:rsidRDefault="00000000">
            <w:r>
              <w:rPr>
                <w:sz w:val="20"/>
                <w:szCs w:val="20"/>
              </w:rPr>
              <w:t>48.1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F227F9" w14:textId="77777777" w:rsidR="00BA109A" w:rsidRDefault="00000000">
            <w:r>
              <w:rPr>
                <w:sz w:val="20"/>
                <w:szCs w:val="20"/>
              </w:rPr>
              <w:t>45.4-50.8</w:t>
            </w:r>
          </w:p>
        </w:tc>
      </w:tr>
      <w:tr w:rsidR="00BA109A" w14:paraId="74356E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87EF2" w14:textId="77777777" w:rsidR="00BA109A" w:rsidRDefault="00000000">
            <w:r>
              <w:rPr>
                <w:sz w:val="20"/>
                <w:szCs w:val="20"/>
              </w:rPr>
              <w:t>EPIC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AEADF" w14:textId="77777777" w:rsidR="00BA109A" w:rsidRDefault="00000000">
            <w:r>
              <w:rPr>
                <w:sz w:val="20"/>
                <w:szCs w:val="20"/>
              </w:rPr>
              <w:t>Multi-country</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4153F7" w14:textId="77777777" w:rsidR="00BA109A" w:rsidRDefault="00000000">
            <w:r>
              <w:rPr>
                <w:sz w:val="20"/>
                <w:szCs w:val="20"/>
              </w:rPr>
              <w:t>EUR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EF43C"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C82E7" w14:textId="77777777" w:rsidR="00BA109A" w:rsidRDefault="00000000">
            <w:r>
              <w:rPr>
                <w:sz w:val="20"/>
                <w:szCs w:val="20"/>
              </w:rPr>
              <w:t>1,870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A6C157" w14:textId="77777777" w:rsidR="00BA109A" w:rsidRDefault="00000000">
            <w:r>
              <w:rPr>
                <w:sz w:val="20"/>
                <w:szCs w:val="20"/>
              </w:rPr>
              <w:t>127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4163F" w14:textId="77777777" w:rsidR="00BA109A" w:rsidRDefault="00000000">
            <w:r>
              <w:rPr>
                <w:sz w:val="20"/>
                <w:szCs w:val="20"/>
              </w:rPr>
              <w:t>45.2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66173" w14:textId="77777777" w:rsidR="00BA109A" w:rsidRDefault="00000000">
            <w:r>
              <w:rPr>
                <w:sz w:val="20"/>
                <w:szCs w:val="20"/>
              </w:rPr>
              <w:t>42.8-47.6</w:t>
            </w:r>
          </w:p>
        </w:tc>
      </w:tr>
      <w:tr w:rsidR="00BA109A" w14:paraId="0D08C85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258C7" w14:textId="77777777" w:rsidR="00BA109A" w:rsidRDefault="00000000">
            <w:r>
              <w:rPr>
                <w:sz w:val="20"/>
                <w:szCs w:val="20"/>
              </w:rPr>
              <w:t>Danish National Birth Cohort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74A3FB" w14:textId="77777777" w:rsidR="00BA109A" w:rsidRDefault="00000000">
            <w:r>
              <w:rPr>
                <w:sz w:val="20"/>
                <w:szCs w:val="20"/>
              </w:rPr>
              <w:t>Denmark</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C3BE49" w14:textId="77777777" w:rsidR="00BA109A" w:rsidRDefault="00000000">
            <w:r>
              <w:rPr>
                <w:sz w:val="20"/>
                <w:szCs w:val="20"/>
              </w:rPr>
              <w:t>EUR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7B1CB"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C5FDC" w14:textId="77777777" w:rsidR="00BA109A" w:rsidRDefault="00000000">
            <w:r>
              <w:rPr>
                <w:sz w:val="20"/>
                <w:szCs w:val="20"/>
              </w:rPr>
              <w:t>636</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64DB8" w14:textId="77777777" w:rsidR="00BA109A" w:rsidRDefault="00000000">
            <w:r>
              <w:rPr>
                <w:sz w:val="20"/>
                <w:szCs w:val="20"/>
              </w:rPr>
              <w:t>98</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05AAB" w14:textId="77777777" w:rsidR="00BA109A" w:rsidRDefault="00000000">
            <w:r>
              <w:rPr>
                <w:sz w:val="20"/>
                <w:szCs w:val="20"/>
              </w:rPr>
              <w:t>44.4</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32F42" w14:textId="77777777" w:rsidR="00BA109A" w:rsidRDefault="00000000">
            <w:r>
              <w:rPr>
                <w:sz w:val="20"/>
                <w:szCs w:val="20"/>
              </w:rPr>
              <w:t>41.5-47.3</w:t>
            </w:r>
          </w:p>
        </w:tc>
      </w:tr>
      <w:tr w:rsidR="00BA109A" w14:paraId="03B0DB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FAE237" w14:textId="77777777" w:rsidR="00BA109A" w:rsidRDefault="00000000">
            <w:r>
              <w:rPr>
                <w:sz w:val="20"/>
                <w:szCs w:val="20"/>
              </w:rPr>
              <w:t>Genomics England</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51054" w14:textId="77777777" w:rsidR="00BA109A" w:rsidRDefault="00000000">
            <w:r>
              <w:rPr>
                <w:sz w:val="20"/>
                <w:szCs w:val="20"/>
              </w:rPr>
              <w:t>United Kingdom</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030C4" w14:textId="77777777" w:rsidR="00BA109A" w:rsidRDefault="00000000">
            <w:r>
              <w:rPr>
                <w:sz w:val="20"/>
                <w:szCs w:val="20"/>
              </w:rPr>
              <w:t>EUR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BCFA0"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C93A10" w14:textId="77777777" w:rsidR="00BA109A" w:rsidRDefault="00000000">
            <w:r>
              <w:rPr>
                <w:sz w:val="20"/>
                <w:szCs w:val="20"/>
              </w:rPr>
              <w:t>700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56B47" w14:textId="77777777" w:rsidR="00BA109A" w:rsidRDefault="00000000">
            <w:r>
              <w:rPr>
                <w:sz w:val="20"/>
                <w:szCs w:val="20"/>
              </w:rPr>
              <w:t>112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B1592F" w14:textId="77777777" w:rsidR="00BA109A" w:rsidRDefault="00000000">
            <w:r>
              <w:rPr>
                <w:sz w:val="20"/>
                <w:szCs w:val="20"/>
              </w:rPr>
              <w:t>43.6</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74A79" w14:textId="77777777" w:rsidR="00BA109A" w:rsidRDefault="00000000">
            <w:r>
              <w:rPr>
                <w:sz w:val="20"/>
                <w:szCs w:val="20"/>
              </w:rPr>
              <w:t>40.8-46.4</w:t>
            </w:r>
          </w:p>
        </w:tc>
      </w:tr>
      <w:tr w:rsidR="00BA109A" w14:paraId="47A7D7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D23170" w14:textId="77777777" w:rsidR="00BA109A" w:rsidRDefault="00000000">
            <w:proofErr w:type="spellStart"/>
            <w:r>
              <w:rPr>
                <w:sz w:val="20"/>
                <w:szCs w:val="20"/>
              </w:rPr>
              <w:t>MoBa</w:t>
            </w:r>
            <w:proofErr w:type="spellEnd"/>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BF69FB" w14:textId="77777777" w:rsidR="00BA109A" w:rsidRDefault="00000000">
            <w:r>
              <w:rPr>
                <w:sz w:val="20"/>
                <w:szCs w:val="20"/>
              </w:rPr>
              <w:t>Norway</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51A948" w14:textId="77777777" w:rsidR="00BA109A" w:rsidRDefault="00000000">
            <w:r>
              <w:rPr>
                <w:sz w:val="20"/>
                <w:szCs w:val="20"/>
              </w:rPr>
              <w:t>EUR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82CF7"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1B250" w14:textId="77777777" w:rsidR="00BA109A" w:rsidRDefault="00000000">
            <w:r>
              <w:rPr>
                <w:sz w:val="20"/>
                <w:szCs w:val="20"/>
              </w:rPr>
              <w:t>962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624B7A" w14:textId="77777777" w:rsidR="00BA109A" w:rsidRDefault="00000000">
            <w:r>
              <w:rPr>
                <w:sz w:val="20"/>
                <w:szCs w:val="20"/>
              </w:rPr>
              <w:t>104</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66BCD" w14:textId="77777777" w:rsidR="00BA109A" w:rsidRDefault="00000000">
            <w:r>
              <w:rPr>
                <w:sz w:val="20"/>
                <w:szCs w:val="20"/>
              </w:rPr>
              <w:t>43.1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26133" w14:textId="77777777" w:rsidR="00BA109A" w:rsidRDefault="00000000">
            <w:r>
              <w:rPr>
                <w:sz w:val="20"/>
                <w:szCs w:val="20"/>
              </w:rPr>
              <w:t>40.2-46.0</w:t>
            </w:r>
          </w:p>
        </w:tc>
      </w:tr>
      <w:tr w:rsidR="00BA109A" w14:paraId="7546AB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4A632" w14:textId="77777777" w:rsidR="00BA109A" w:rsidRDefault="00000000">
            <w:r>
              <w:rPr>
                <w:sz w:val="20"/>
                <w:szCs w:val="20"/>
              </w:rPr>
              <w:t>Biobank Japan</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89692" w14:textId="77777777" w:rsidR="00BA109A" w:rsidRDefault="00000000">
            <w:r>
              <w:rPr>
                <w:sz w:val="20"/>
                <w:szCs w:val="20"/>
              </w:rPr>
              <w:t>Japan</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6520AC" w14:textId="77777777" w:rsidR="00BA109A" w:rsidRDefault="00000000">
            <w:r>
              <w:rPr>
                <w:sz w:val="20"/>
                <w:szCs w:val="20"/>
              </w:rPr>
              <w:t>WPR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36B2F"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3B7EC" w14:textId="77777777" w:rsidR="00BA109A" w:rsidRDefault="00000000">
            <w:r>
              <w:rPr>
                <w:sz w:val="20"/>
                <w:szCs w:val="20"/>
              </w:rPr>
              <w:t>492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3CE5E" w14:textId="77777777" w:rsidR="00BA109A" w:rsidRDefault="00000000">
            <w:r>
              <w:rPr>
                <w:sz w:val="20"/>
                <w:szCs w:val="20"/>
              </w:rPr>
              <w:t>108</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0F318" w14:textId="77777777" w:rsidR="00BA109A" w:rsidRDefault="00000000">
            <w:r>
              <w:rPr>
                <w:sz w:val="20"/>
                <w:szCs w:val="20"/>
              </w:rPr>
              <w:t>42.7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0ABECD" w14:textId="77777777" w:rsidR="00BA109A" w:rsidRDefault="00000000">
            <w:r>
              <w:rPr>
                <w:sz w:val="20"/>
                <w:szCs w:val="20"/>
              </w:rPr>
              <w:t>39.3-46.1</w:t>
            </w:r>
          </w:p>
        </w:tc>
      </w:tr>
      <w:tr w:rsidR="00BA109A" w14:paraId="3E2E26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0C580" w14:textId="77777777" w:rsidR="00BA109A" w:rsidRDefault="00000000">
            <w:r>
              <w:rPr>
                <w:sz w:val="20"/>
                <w:szCs w:val="20"/>
              </w:rPr>
              <w:t>Nurses' Health Study II</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581A9" w14:textId="77777777" w:rsidR="00BA109A" w:rsidRDefault="00000000">
            <w:r>
              <w:rPr>
                <w:sz w:val="20"/>
                <w:szCs w:val="20"/>
              </w:rPr>
              <w:t>United States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C1925" w14:textId="77777777" w:rsidR="00BA109A" w:rsidRDefault="00000000">
            <w:r>
              <w:rPr>
                <w:sz w:val="20"/>
                <w:szCs w:val="20"/>
              </w:rPr>
              <w:t>AMR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D77BC"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73239" w14:textId="77777777" w:rsidR="00BA109A" w:rsidRDefault="00000000">
            <w:r>
              <w:rPr>
                <w:sz w:val="20"/>
                <w:szCs w:val="20"/>
              </w:rPr>
              <w:t>1,124</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EA71F" w14:textId="77777777" w:rsidR="00BA109A" w:rsidRDefault="00000000">
            <w:r>
              <w:rPr>
                <w:sz w:val="20"/>
                <w:szCs w:val="20"/>
              </w:rPr>
              <w:t>118</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E381C" w14:textId="77777777" w:rsidR="00BA109A" w:rsidRDefault="00000000">
            <w:r>
              <w:rPr>
                <w:sz w:val="20"/>
                <w:szCs w:val="20"/>
              </w:rPr>
              <w:t>42.5</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B80EF" w14:textId="77777777" w:rsidR="00BA109A" w:rsidRDefault="00000000">
            <w:r>
              <w:rPr>
                <w:sz w:val="20"/>
                <w:szCs w:val="20"/>
              </w:rPr>
              <w:t>39.8-45.2</w:t>
            </w:r>
          </w:p>
        </w:tc>
      </w:tr>
      <w:tr w:rsidR="00BA109A" w14:paraId="4668A05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94F407" w14:textId="77777777" w:rsidR="00BA109A" w:rsidRDefault="00000000">
            <w:r>
              <w:rPr>
                <w:sz w:val="20"/>
                <w:szCs w:val="20"/>
              </w:rPr>
              <w:t xml:space="preserve">China </w:t>
            </w:r>
            <w:proofErr w:type="spellStart"/>
            <w:r>
              <w:rPr>
                <w:sz w:val="20"/>
                <w:szCs w:val="20"/>
              </w:rPr>
              <w:t>Kadoorie</w:t>
            </w:r>
            <w:proofErr w:type="spellEnd"/>
            <w:r>
              <w:rPr>
                <w:sz w:val="20"/>
                <w:szCs w:val="20"/>
              </w:rPr>
              <w:t xml:space="preserve"> Biobank</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6275ED" w14:textId="77777777" w:rsidR="00BA109A" w:rsidRDefault="00000000">
            <w:r>
              <w:rPr>
                <w:sz w:val="20"/>
                <w:szCs w:val="20"/>
              </w:rPr>
              <w:t>China</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2E695" w14:textId="77777777" w:rsidR="00BA109A" w:rsidRDefault="00000000">
            <w:r>
              <w:rPr>
                <w:sz w:val="20"/>
                <w:szCs w:val="20"/>
              </w:rPr>
              <w:t>WPR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4A1BE" w14:textId="77777777" w:rsidR="00BA109A" w:rsidRDefault="00000000">
            <w:r>
              <w:rPr>
                <w:sz w:val="20"/>
                <w:szCs w:val="20"/>
              </w:rPr>
              <w:t>LMIC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DD808" w14:textId="77777777" w:rsidR="00BA109A" w:rsidRDefault="00000000">
            <w:r>
              <w:rPr>
                <w:sz w:val="20"/>
                <w:szCs w:val="20"/>
              </w:rPr>
              <w:t>624</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574DC" w14:textId="77777777" w:rsidR="00BA109A" w:rsidRDefault="00000000">
            <w:r>
              <w:rPr>
                <w:sz w:val="20"/>
                <w:szCs w:val="20"/>
              </w:rPr>
              <w:t>109</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1007A" w14:textId="77777777" w:rsidR="00BA109A" w:rsidRDefault="00000000">
            <w:r>
              <w:rPr>
                <w:sz w:val="20"/>
                <w:szCs w:val="20"/>
              </w:rPr>
              <w:t>41.6</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4C1905" w14:textId="77777777" w:rsidR="00BA109A" w:rsidRDefault="00000000">
            <w:r>
              <w:rPr>
                <w:sz w:val="20"/>
                <w:szCs w:val="20"/>
              </w:rPr>
              <w:t>38.6-44.6</w:t>
            </w:r>
          </w:p>
        </w:tc>
      </w:tr>
      <w:tr w:rsidR="00BA109A" w14:paraId="5D29CD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DC2D68" w14:textId="77777777" w:rsidR="00BA109A" w:rsidRDefault="00000000">
            <w:r>
              <w:rPr>
                <w:sz w:val="20"/>
                <w:szCs w:val="20"/>
              </w:rPr>
              <w:t>Million Veteran Program</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C6B5AA" w14:textId="77777777" w:rsidR="00BA109A" w:rsidRDefault="00000000">
            <w:r>
              <w:rPr>
                <w:sz w:val="20"/>
                <w:szCs w:val="20"/>
              </w:rPr>
              <w:t>United States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340E27" w14:textId="77777777" w:rsidR="00BA109A" w:rsidRDefault="00000000">
            <w:r>
              <w:rPr>
                <w:sz w:val="20"/>
                <w:szCs w:val="20"/>
              </w:rPr>
              <w:t>AMR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0FCE61"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D1B68" w14:textId="77777777" w:rsidR="00BA109A" w:rsidRDefault="00000000">
            <w:r>
              <w:rPr>
                <w:sz w:val="20"/>
                <w:szCs w:val="20"/>
              </w:rPr>
              <w:t>421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13926" w14:textId="77777777" w:rsidR="00BA109A" w:rsidRDefault="00000000">
            <w:r>
              <w:rPr>
                <w:sz w:val="20"/>
                <w:szCs w:val="20"/>
              </w:rPr>
              <w:t>99</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A54E0" w14:textId="77777777" w:rsidR="00BA109A" w:rsidRDefault="00000000">
            <w:r>
              <w:rPr>
                <w:sz w:val="20"/>
                <w:szCs w:val="20"/>
              </w:rPr>
              <w:t>40.1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6E8B1" w14:textId="77777777" w:rsidR="00BA109A" w:rsidRDefault="00000000">
            <w:r>
              <w:rPr>
                <w:sz w:val="20"/>
                <w:szCs w:val="20"/>
              </w:rPr>
              <w:t>36.8-43.4</w:t>
            </w:r>
          </w:p>
        </w:tc>
      </w:tr>
      <w:tr w:rsidR="00BA109A" w14:paraId="395486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CFDA5" w14:textId="77777777" w:rsidR="00BA109A" w:rsidRDefault="00000000">
            <w:r>
              <w:rPr>
                <w:sz w:val="20"/>
                <w:szCs w:val="20"/>
              </w:rPr>
              <w:t>23andMe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B7DE7" w14:textId="77777777" w:rsidR="00BA109A" w:rsidRDefault="00000000">
            <w:r>
              <w:rPr>
                <w:sz w:val="20"/>
                <w:szCs w:val="20"/>
              </w:rPr>
              <w:t>United States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89F463" w14:textId="77777777" w:rsidR="00BA109A" w:rsidRDefault="00000000">
            <w:r>
              <w:rPr>
                <w:sz w:val="20"/>
                <w:szCs w:val="20"/>
              </w:rPr>
              <w:t>AMR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16256" w14:textId="77777777" w:rsidR="00BA109A" w:rsidRDefault="00000000">
            <w:r>
              <w:rPr>
                <w:sz w:val="20"/>
                <w:szCs w:val="20"/>
              </w:rPr>
              <w:t>HIC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D67E6B" w14:textId="77777777" w:rsidR="00BA109A" w:rsidRDefault="00000000">
            <w:r>
              <w:rPr>
                <w:sz w:val="20"/>
                <w:szCs w:val="20"/>
              </w:rPr>
              <w:t>387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CAE68" w14:textId="77777777" w:rsidR="00BA109A" w:rsidRDefault="00000000">
            <w:r>
              <w:rPr>
                <w:sz w:val="20"/>
                <w:szCs w:val="20"/>
              </w:rPr>
              <w:t>94</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7B95F5" w14:textId="77777777" w:rsidR="00BA109A" w:rsidRDefault="00000000">
            <w:r>
              <w:rPr>
                <w:sz w:val="20"/>
                <w:szCs w:val="20"/>
              </w:rPr>
              <w:t>39.9</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4D176" w14:textId="77777777" w:rsidR="00BA109A" w:rsidRDefault="00000000">
            <w:r>
              <w:rPr>
                <w:sz w:val="20"/>
                <w:szCs w:val="20"/>
              </w:rPr>
              <w:t>36.4-43.4</w:t>
            </w:r>
          </w:p>
        </w:tc>
      </w:tr>
    </w:tbl>
    <w:p w14:paraId="7ABE1532" w14:textId="77777777" w:rsidR="00BA109A" w:rsidRDefault="00000000">
      <w:pPr>
        <w:spacing w:after="200"/>
        <w:jc w:val="both"/>
      </w:pPr>
      <w:r>
        <w:rPr>
          <w:i/>
          <w:iCs/>
        </w:rPr>
        <w:t xml:space="preserve">Abbreviations: </w:t>
      </w:r>
      <w:proofErr w:type="spellStart"/>
      <w:r>
        <w:rPr>
          <w:i/>
          <w:iCs/>
        </w:rPr>
        <w:t>Rgn</w:t>
      </w:r>
      <w:proofErr w:type="spellEnd"/>
      <w:r>
        <w:rPr>
          <w:i/>
          <w:iCs/>
        </w:rPr>
        <w:t>, WHO Region (AMR, Americas; EUR, Europe; WPR, Western Pacific; AFR, Africa; EMR, Eastern Mediterranean); Pubs, Publications; Dis, Diseases covered. Full data for all 70 biobanks available at https://manuelcorpas.github.io/17-EHR/</w:t>
      </w:r>
    </w:p>
    <w:p w14:paraId="69401446" w14:textId="77777777" w:rsidR="00BA109A" w:rsidRDefault="00000000">
      <w:pPr>
        <w:pStyle w:val="Heading2"/>
      </w:pPr>
      <w:r>
        <w:t>Table 2. Publication Distribution by WHO Region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0"/>
        <w:gridCol w:w="1385"/>
        <w:gridCol w:w="1738"/>
        <w:gridCol w:w="1500"/>
        <w:gridCol w:w="1945"/>
      </w:tblGrid>
      <w:tr w:rsidR="00BA109A" w14:paraId="60CFA4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5A56BE09" w14:textId="77777777" w:rsidR="00BA109A" w:rsidRDefault="00000000">
            <w:r>
              <w:rPr>
                <w:b/>
                <w:bCs/>
                <w:sz w:val="20"/>
                <w:szCs w:val="20"/>
              </w:rPr>
              <w:t>Region</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4CC53BBB" w14:textId="77777777" w:rsidR="00BA109A" w:rsidRDefault="00000000">
            <w:r>
              <w:rPr>
                <w:b/>
                <w:bCs/>
                <w:sz w:val="20"/>
                <w:szCs w:val="20"/>
              </w:rPr>
              <w:t>Biobanks</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45915451" w14:textId="77777777" w:rsidR="00BA109A" w:rsidRDefault="00000000">
            <w:r>
              <w:rPr>
                <w:b/>
                <w:bCs/>
                <w:sz w:val="20"/>
                <w:szCs w:val="20"/>
              </w:rPr>
              <w:t>Publications</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735C8A07" w14:textId="77777777" w:rsidR="00BA109A" w:rsidRDefault="00000000">
            <w:r>
              <w:rPr>
                <w:b/>
                <w:bCs/>
                <w:sz w:val="20"/>
                <w:szCs w:val="20"/>
              </w:rPr>
              <w:t>Share (%)</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4028303F" w14:textId="77777777" w:rsidR="00BA109A" w:rsidRDefault="00000000">
            <w:r>
              <w:rPr>
                <w:b/>
                <w:bCs/>
                <w:sz w:val="20"/>
                <w:szCs w:val="20"/>
              </w:rPr>
              <w:t>Primary Type</w:t>
            </w:r>
          </w:p>
        </w:tc>
      </w:tr>
      <w:tr w:rsidR="00BA109A" w14:paraId="527736B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E86986" w14:textId="77777777" w:rsidR="00BA109A" w:rsidRDefault="00000000">
            <w:r>
              <w:rPr>
                <w:sz w:val="20"/>
                <w:szCs w:val="20"/>
              </w:rPr>
              <w:t>Europe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250B47" w14:textId="77777777" w:rsidR="00BA109A" w:rsidRDefault="00000000">
            <w:r>
              <w:rPr>
                <w:sz w:val="20"/>
                <w:szCs w:val="20"/>
              </w:rPr>
              <w:t>25</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E7537" w14:textId="77777777" w:rsidR="00BA109A" w:rsidRDefault="00000000">
            <w:r>
              <w:rPr>
                <w:sz w:val="20"/>
                <w:szCs w:val="20"/>
              </w:rPr>
              <w:t>21,482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539154" w14:textId="77777777" w:rsidR="00BA109A" w:rsidRDefault="00000000">
            <w:r>
              <w:rPr>
                <w:sz w:val="20"/>
                <w:szCs w:val="20"/>
              </w:rPr>
              <w:t>55.7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B0EE4" w14:textId="77777777" w:rsidR="00BA109A" w:rsidRDefault="00000000">
            <w:r>
              <w:rPr>
                <w:sz w:val="20"/>
                <w:szCs w:val="20"/>
              </w:rPr>
              <w:t>HIC</w:t>
            </w:r>
          </w:p>
        </w:tc>
      </w:tr>
      <w:tr w:rsidR="00BA109A" w14:paraId="36AD8F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9F380" w14:textId="77777777" w:rsidR="00BA109A" w:rsidRDefault="00000000">
            <w:r>
              <w:rPr>
                <w:sz w:val="20"/>
                <w:szCs w:val="20"/>
              </w:rPr>
              <w:t>Americas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F4F1D" w14:textId="77777777" w:rsidR="00BA109A" w:rsidRDefault="00000000">
            <w:r>
              <w:rPr>
                <w:sz w:val="20"/>
                <w:szCs w:val="20"/>
              </w:rPr>
              <w:t>20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EEAA" w14:textId="77777777" w:rsidR="00BA109A" w:rsidRDefault="00000000">
            <w:r>
              <w:rPr>
                <w:sz w:val="20"/>
                <w:szCs w:val="20"/>
              </w:rPr>
              <w:t>12,433</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2D583" w14:textId="77777777" w:rsidR="00BA109A" w:rsidRDefault="00000000">
            <w:r>
              <w:rPr>
                <w:sz w:val="20"/>
                <w:szCs w:val="20"/>
              </w:rPr>
              <w:t>32.2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5CFB2" w14:textId="77777777" w:rsidR="00BA109A" w:rsidRDefault="00000000">
            <w:r>
              <w:rPr>
                <w:sz w:val="20"/>
                <w:szCs w:val="20"/>
              </w:rPr>
              <w:t>Mixed</w:t>
            </w:r>
          </w:p>
        </w:tc>
      </w:tr>
      <w:tr w:rsidR="00BA109A" w14:paraId="13385F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6B83D4" w14:textId="77777777" w:rsidR="00BA109A" w:rsidRDefault="00000000">
            <w:r>
              <w:rPr>
                <w:sz w:val="20"/>
                <w:szCs w:val="20"/>
              </w:rPr>
              <w:t>Western Pacific</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D3748" w14:textId="77777777" w:rsidR="00BA109A" w:rsidRDefault="00000000">
            <w:r>
              <w:rPr>
                <w:sz w:val="20"/>
                <w:szCs w:val="20"/>
              </w:rPr>
              <w:t>13</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2E81C6" w14:textId="77777777" w:rsidR="00BA109A" w:rsidRDefault="00000000">
            <w:r>
              <w:rPr>
                <w:sz w:val="20"/>
                <w:szCs w:val="20"/>
              </w:rPr>
              <w:t>3,819</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560BF" w14:textId="77777777" w:rsidR="00BA109A" w:rsidRDefault="00000000">
            <w:r>
              <w:rPr>
                <w:sz w:val="20"/>
                <w:szCs w:val="20"/>
              </w:rPr>
              <w:t>9.9</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D54BB" w14:textId="77777777" w:rsidR="00BA109A" w:rsidRDefault="00000000">
            <w:r>
              <w:rPr>
                <w:sz w:val="20"/>
                <w:szCs w:val="20"/>
              </w:rPr>
              <w:t>Mixed</w:t>
            </w:r>
          </w:p>
        </w:tc>
      </w:tr>
      <w:tr w:rsidR="00BA109A" w14:paraId="13A4DD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B49BF8" w14:textId="77777777" w:rsidR="00BA109A" w:rsidRDefault="00000000">
            <w:r>
              <w:rPr>
                <w:sz w:val="20"/>
                <w:szCs w:val="20"/>
              </w:rPr>
              <w:t>Eastern Mediterranean</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07D91" w14:textId="77777777" w:rsidR="00BA109A"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6E02EA" w14:textId="77777777" w:rsidR="00BA109A" w:rsidRDefault="00000000">
            <w:r>
              <w:rPr>
                <w:sz w:val="20"/>
                <w:szCs w:val="20"/>
              </w:rPr>
              <w:t>574</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727950" w14:textId="77777777" w:rsidR="00BA109A" w:rsidRDefault="00000000">
            <w:r>
              <w:rPr>
                <w:sz w:val="20"/>
                <w:szCs w:val="20"/>
              </w:rPr>
              <w:t>1.5</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A4D5A5" w14:textId="77777777" w:rsidR="00BA109A" w:rsidRDefault="00000000">
            <w:r>
              <w:rPr>
                <w:sz w:val="20"/>
                <w:szCs w:val="20"/>
              </w:rPr>
              <w:t>LMIC</w:t>
            </w:r>
          </w:p>
        </w:tc>
      </w:tr>
      <w:tr w:rsidR="00BA109A" w14:paraId="0AEBC0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DFD5E7" w14:textId="77777777" w:rsidR="00BA109A" w:rsidRDefault="00000000">
            <w:r>
              <w:rPr>
                <w:sz w:val="20"/>
                <w:szCs w:val="20"/>
              </w:rPr>
              <w:t>Africa</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DD35D" w14:textId="77777777" w:rsidR="00BA109A" w:rsidRDefault="00000000">
            <w:r>
              <w:rPr>
                <w:sz w:val="20"/>
                <w:szCs w:val="20"/>
              </w:rPr>
              <w:t>6</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26576" w14:textId="77777777" w:rsidR="00BA109A" w:rsidRDefault="00000000">
            <w:r>
              <w:rPr>
                <w:sz w:val="20"/>
                <w:szCs w:val="20"/>
              </w:rPr>
              <w:t>277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3B2F11" w14:textId="77777777" w:rsidR="00BA109A" w:rsidRDefault="00000000">
            <w:r>
              <w:rPr>
                <w:sz w:val="20"/>
                <w:szCs w:val="20"/>
              </w:rPr>
              <w:t>0.7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8978CA" w14:textId="77777777" w:rsidR="00BA109A" w:rsidRDefault="00000000">
            <w:r>
              <w:rPr>
                <w:sz w:val="20"/>
                <w:szCs w:val="20"/>
              </w:rPr>
              <w:t>LMIC</w:t>
            </w:r>
          </w:p>
        </w:tc>
      </w:tr>
      <w:tr w:rsidR="00BA109A" w14:paraId="7C632F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54758" w14:textId="77777777" w:rsidR="00BA109A" w:rsidRDefault="00000000">
            <w:r>
              <w:rPr>
                <w:sz w:val="20"/>
                <w:szCs w:val="20"/>
              </w:rPr>
              <w:t>South-East Asia</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EC812" w14:textId="77777777" w:rsidR="00BA109A"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DE30DA" w14:textId="77777777" w:rsidR="00BA109A" w:rsidRDefault="00000000">
            <w:r>
              <w:rPr>
                <w:sz w:val="20"/>
                <w:szCs w:val="20"/>
              </w:rPr>
              <w:t>10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0524FC" w14:textId="77777777" w:rsidR="00BA109A" w:rsidRDefault="00000000">
            <w:r>
              <w:rPr>
                <w:sz w:val="20"/>
                <w:szCs w:val="20"/>
              </w:rPr>
              <w:t>&lt;0.1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8D940" w14:textId="77777777" w:rsidR="00BA109A" w:rsidRDefault="00000000">
            <w:r>
              <w:rPr>
                <w:sz w:val="20"/>
                <w:szCs w:val="20"/>
              </w:rPr>
              <w:t>LMIC</w:t>
            </w:r>
          </w:p>
        </w:tc>
      </w:tr>
      <w:tr w:rsidR="00BA109A" w14:paraId="686C62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31D850" w14:textId="77777777" w:rsidR="00BA109A" w:rsidRDefault="00000000">
            <w:r>
              <w:rPr>
                <w:sz w:val="20"/>
                <w:szCs w:val="20"/>
              </w:rPr>
              <w:t>Total</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44204D" w14:textId="77777777" w:rsidR="00BA109A" w:rsidRDefault="00000000">
            <w:r>
              <w:rPr>
                <w:sz w:val="20"/>
                <w:szCs w:val="20"/>
              </w:rPr>
              <w:t>70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97D607" w14:textId="77777777" w:rsidR="00BA109A" w:rsidRDefault="00000000">
            <w:r>
              <w:rPr>
                <w:sz w:val="20"/>
                <w:szCs w:val="20"/>
              </w:rPr>
              <w:t>38,595</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AC340" w14:textId="77777777" w:rsidR="00BA109A" w:rsidRDefault="00000000">
            <w:r>
              <w:rPr>
                <w:sz w:val="20"/>
                <w:szCs w:val="20"/>
              </w:rPr>
              <w:t>100.0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15FFE" w14:textId="77777777" w:rsidR="00BA109A" w:rsidRDefault="00000000">
            <w:r>
              <w:rPr>
                <w:sz w:val="20"/>
                <w:szCs w:val="20"/>
              </w:rPr>
              <w:t>-</w:t>
            </w:r>
          </w:p>
        </w:tc>
      </w:tr>
    </w:tbl>
    <w:p w14:paraId="2116150E" w14:textId="77777777" w:rsidR="00BA109A" w:rsidRDefault="00000000">
      <w:pPr>
        <w:pStyle w:val="Heading2"/>
      </w:pPr>
      <w:r>
        <w:t>Table 3. Critical Research Gaps in Biobank-Appropriate Diseases (Gap Score 90 or above)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1"/>
        <w:gridCol w:w="1967"/>
        <w:gridCol w:w="2030"/>
        <w:gridCol w:w="1770"/>
      </w:tblGrid>
      <w:tr w:rsidR="00BA109A" w14:paraId="69F2AA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7328CBB" w14:textId="77777777" w:rsidR="00BA109A" w:rsidRDefault="00000000">
            <w:r>
              <w:rPr>
                <w:b/>
                <w:bCs/>
                <w:sz w:val="20"/>
                <w:szCs w:val="20"/>
              </w:rPr>
              <w:t>Disease</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194DC930" w14:textId="77777777" w:rsidR="00BA109A" w:rsidRDefault="00000000">
            <w:r>
              <w:rPr>
                <w:b/>
                <w:bCs/>
                <w:sz w:val="20"/>
                <w:szCs w:val="20"/>
              </w:rPr>
              <w:t>DALYs (M)</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582BF573" w14:textId="77777777" w:rsidR="00BA109A" w:rsidRDefault="00000000">
            <w:r>
              <w:rPr>
                <w:b/>
                <w:bCs/>
                <w:sz w:val="20"/>
                <w:szCs w:val="20"/>
              </w:rPr>
              <w:t>Publications</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297433C4" w14:textId="77777777" w:rsidR="00BA109A" w:rsidRDefault="00000000">
            <w:r>
              <w:rPr>
                <w:b/>
                <w:bCs/>
                <w:sz w:val="20"/>
                <w:szCs w:val="20"/>
              </w:rPr>
              <w:t>Gap Score</w:t>
            </w:r>
          </w:p>
        </w:tc>
      </w:tr>
      <w:tr w:rsidR="00BA109A" w14:paraId="392799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DDC66" w14:textId="77777777" w:rsidR="00BA109A" w:rsidRDefault="00000000">
            <w:r>
              <w:rPr>
                <w:sz w:val="20"/>
                <w:szCs w:val="20"/>
              </w:rPr>
              <w:t>Malaria</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4CFB8F" w14:textId="77777777" w:rsidR="00BA109A" w:rsidRDefault="00000000">
            <w:r>
              <w:rPr>
                <w:sz w:val="20"/>
                <w:szCs w:val="20"/>
              </w:rPr>
              <w:t>55.2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B9A3B" w14:textId="77777777" w:rsidR="00BA109A" w:rsidRDefault="00000000">
            <w:r>
              <w:rPr>
                <w:sz w:val="20"/>
                <w:szCs w:val="20"/>
              </w:rPr>
              <w:t>17</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3897E1" w14:textId="77777777" w:rsidR="00BA109A" w:rsidRDefault="00000000">
            <w:r>
              <w:rPr>
                <w:sz w:val="20"/>
                <w:szCs w:val="20"/>
              </w:rPr>
              <w:t>95</w:t>
            </w:r>
          </w:p>
        </w:tc>
      </w:tr>
      <w:tr w:rsidR="00BA109A" w14:paraId="2412A2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428D74" w14:textId="77777777" w:rsidR="00BA109A" w:rsidRDefault="00000000">
            <w:r>
              <w:rPr>
                <w:sz w:val="20"/>
                <w:szCs w:val="20"/>
              </w:rPr>
              <w:t>Dengue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97D25" w14:textId="77777777" w:rsidR="00BA109A" w:rsidRDefault="00000000">
            <w:r>
              <w:rPr>
                <w:sz w:val="20"/>
                <w:szCs w:val="20"/>
              </w:rPr>
              <w:t>2.1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2E4C2" w14:textId="77777777" w:rsidR="00BA109A" w:rsidRDefault="00000000">
            <w:r>
              <w:rPr>
                <w:sz w:val="20"/>
                <w:szCs w:val="20"/>
              </w:rPr>
              <w:t>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ECB1A" w14:textId="77777777" w:rsidR="00BA109A" w:rsidRDefault="00000000">
            <w:r>
              <w:rPr>
                <w:sz w:val="20"/>
                <w:szCs w:val="20"/>
              </w:rPr>
              <w:t>95</w:t>
            </w:r>
          </w:p>
        </w:tc>
      </w:tr>
      <w:tr w:rsidR="00BA109A" w14:paraId="1DD0B0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2C9AB" w14:textId="77777777" w:rsidR="00BA109A" w:rsidRDefault="00000000">
            <w:r>
              <w:rPr>
                <w:sz w:val="20"/>
                <w:szCs w:val="20"/>
              </w:rPr>
              <w:lastRenderedPageBreak/>
              <w:t>Schistosomiasis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FAC24" w14:textId="77777777" w:rsidR="00BA109A" w:rsidRDefault="00000000">
            <w:r>
              <w:rPr>
                <w:sz w:val="20"/>
                <w:szCs w:val="20"/>
              </w:rPr>
              <w:t>1.8</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BC70F" w14:textId="77777777" w:rsidR="00BA109A" w:rsidRDefault="00000000">
            <w:r>
              <w:rPr>
                <w:sz w:val="20"/>
                <w:szCs w:val="20"/>
              </w:rPr>
              <w:t>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0462B" w14:textId="77777777" w:rsidR="00BA109A" w:rsidRDefault="00000000">
            <w:r>
              <w:rPr>
                <w:sz w:val="20"/>
                <w:szCs w:val="20"/>
              </w:rPr>
              <w:t>95</w:t>
            </w:r>
          </w:p>
        </w:tc>
      </w:tr>
      <w:tr w:rsidR="00BA109A" w14:paraId="1C7535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1A4ED" w14:textId="77777777" w:rsidR="00BA109A" w:rsidRDefault="00000000">
            <w:r>
              <w:rPr>
                <w:sz w:val="20"/>
                <w:szCs w:val="20"/>
              </w:rPr>
              <w:t>Lymphatic filariasis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F10F89" w14:textId="77777777" w:rsidR="00BA109A" w:rsidRDefault="00000000">
            <w:r>
              <w:rPr>
                <w:sz w:val="20"/>
                <w:szCs w:val="20"/>
              </w:rPr>
              <w:t>1.3</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EDC2C6" w14:textId="77777777" w:rsidR="00BA109A" w:rsidRDefault="00000000">
            <w:r>
              <w:rPr>
                <w:sz w:val="20"/>
                <w:szCs w:val="20"/>
              </w:rPr>
              <w:t>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6151F" w14:textId="77777777" w:rsidR="00BA109A" w:rsidRDefault="00000000">
            <w:r>
              <w:rPr>
                <w:sz w:val="20"/>
                <w:szCs w:val="20"/>
              </w:rPr>
              <w:t>95</w:t>
            </w:r>
          </w:p>
        </w:tc>
      </w:tr>
      <w:tr w:rsidR="00BA109A" w14:paraId="767BFE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8DB263" w14:textId="77777777" w:rsidR="00BA109A" w:rsidRDefault="00000000">
            <w:r>
              <w:rPr>
                <w:sz w:val="20"/>
                <w:szCs w:val="20"/>
              </w:rPr>
              <w:t>Cysticercosis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16C3C" w14:textId="77777777" w:rsidR="00BA109A" w:rsidRDefault="00000000">
            <w:r>
              <w:rPr>
                <w:sz w:val="20"/>
                <w:szCs w:val="20"/>
              </w:rPr>
              <w:t>1.2</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225B2" w14:textId="77777777" w:rsidR="00BA109A" w:rsidRDefault="00000000">
            <w:r>
              <w:rPr>
                <w:sz w:val="20"/>
                <w:szCs w:val="20"/>
              </w:rPr>
              <w:t>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8CE6B8" w14:textId="77777777" w:rsidR="00BA109A" w:rsidRDefault="00000000">
            <w:r>
              <w:rPr>
                <w:sz w:val="20"/>
                <w:szCs w:val="20"/>
              </w:rPr>
              <w:t>95</w:t>
            </w:r>
          </w:p>
        </w:tc>
      </w:tr>
      <w:tr w:rsidR="00BA109A" w14:paraId="5BD931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F76A7" w14:textId="77777777" w:rsidR="00BA109A" w:rsidRDefault="00000000">
            <w:r>
              <w:rPr>
                <w:sz w:val="20"/>
                <w:szCs w:val="20"/>
              </w:rPr>
              <w:t>Scabies</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D7ABC6" w14:textId="77777777" w:rsidR="00BA109A" w:rsidRDefault="00000000">
            <w:r>
              <w:rPr>
                <w:sz w:val="20"/>
                <w:szCs w:val="20"/>
              </w:rPr>
              <w:t>5.3</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5B33A" w14:textId="77777777" w:rsidR="00BA109A"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9B248" w14:textId="77777777" w:rsidR="00BA109A" w:rsidRDefault="00000000">
            <w:r>
              <w:rPr>
                <w:sz w:val="20"/>
                <w:szCs w:val="20"/>
              </w:rPr>
              <w:t>95</w:t>
            </w:r>
          </w:p>
        </w:tc>
      </w:tr>
      <w:tr w:rsidR="00BA109A" w14:paraId="45571D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DB274" w14:textId="77777777" w:rsidR="00BA109A" w:rsidRDefault="00000000">
            <w:r>
              <w:rPr>
                <w:sz w:val="20"/>
                <w:szCs w:val="20"/>
              </w:rPr>
              <w:t>Typhoid and paratyphoid</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3DEA3" w14:textId="77777777" w:rsidR="00BA109A" w:rsidRDefault="00000000">
            <w:r>
              <w:rPr>
                <w:sz w:val="20"/>
                <w:szCs w:val="20"/>
              </w:rPr>
              <w:t>8.1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40EC88" w14:textId="77777777" w:rsidR="00BA109A" w:rsidRDefault="00000000">
            <w:r>
              <w:rPr>
                <w:sz w:val="20"/>
                <w:szCs w:val="20"/>
              </w:rPr>
              <w:t>21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EE4A9" w14:textId="77777777" w:rsidR="00BA109A" w:rsidRDefault="00000000">
            <w:r>
              <w:rPr>
                <w:sz w:val="20"/>
                <w:szCs w:val="20"/>
              </w:rPr>
              <w:t>90</w:t>
            </w:r>
          </w:p>
        </w:tc>
      </w:tr>
    </w:tbl>
    <w:p w14:paraId="3A189B74" w14:textId="77777777" w:rsidR="00BA109A" w:rsidRDefault="00000000">
      <w:pPr>
        <w:spacing w:after="200"/>
        <w:jc w:val="both"/>
      </w:pPr>
      <w:r>
        <w:rPr>
          <w:i/>
          <w:iCs/>
        </w:rPr>
        <w:t>Note: See Supplementary Table S2 for complete gap analysis including all 179 diseases.</w:t>
      </w:r>
    </w:p>
    <w:p w14:paraId="5D10958B" w14:textId="77777777" w:rsidR="00BA109A" w:rsidRDefault="00000000">
      <w:pPr>
        <w:pStyle w:val="Heading2"/>
      </w:pPr>
      <w:r>
        <w:t>Table 4. Equity Alignment Score Distribution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9"/>
        <w:gridCol w:w="2211"/>
        <w:gridCol w:w="3440"/>
        <w:gridCol w:w="1988"/>
      </w:tblGrid>
      <w:tr w:rsidR="00BA109A" w14:paraId="3DACAD0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045DE9E" w14:textId="77777777" w:rsidR="00BA109A" w:rsidRDefault="00000000">
            <w:r>
              <w:rPr>
                <w:b/>
                <w:bCs/>
                <w:sz w:val="20"/>
                <w:szCs w:val="20"/>
              </w:rPr>
              <w:t>Category</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737A4D87" w14:textId="77777777" w:rsidR="00BA109A" w:rsidRDefault="00000000">
            <w:r>
              <w:rPr>
                <w:b/>
                <w:bCs/>
                <w:sz w:val="20"/>
                <w:szCs w:val="20"/>
              </w:rPr>
              <w:t>Score Range</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35FD3718" w14:textId="77777777" w:rsidR="00BA109A" w:rsidRDefault="00000000">
            <w:r>
              <w:rPr>
                <w:b/>
                <w:bCs/>
                <w:sz w:val="20"/>
                <w:szCs w:val="20"/>
              </w:rPr>
              <w:t>Number of Biobanks</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4E3761B8" w14:textId="77777777" w:rsidR="00BA109A" w:rsidRDefault="00000000">
            <w:r>
              <w:rPr>
                <w:b/>
                <w:bCs/>
                <w:sz w:val="20"/>
                <w:szCs w:val="20"/>
              </w:rPr>
              <w:t>Percentage</w:t>
            </w:r>
          </w:p>
        </w:tc>
      </w:tr>
      <w:tr w:rsidR="00BA109A" w14:paraId="40BD52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7CA6E" w14:textId="77777777" w:rsidR="00BA109A" w:rsidRDefault="00000000">
            <w:r>
              <w:rPr>
                <w:sz w:val="20"/>
                <w:szCs w:val="20"/>
              </w:rPr>
              <w:t>High</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D975C" w14:textId="77777777" w:rsidR="00BA109A" w:rsidRDefault="00000000">
            <w:r>
              <w:rPr>
                <w:sz w:val="20"/>
                <w:szCs w:val="20"/>
              </w:rPr>
              <w:t>70 or above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45D25" w14:textId="77777777" w:rsidR="00BA109A"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61B2D" w14:textId="77777777" w:rsidR="00BA109A" w:rsidRDefault="00000000">
            <w:r>
              <w:rPr>
                <w:sz w:val="20"/>
                <w:szCs w:val="20"/>
              </w:rPr>
              <w:t>1.4%</w:t>
            </w:r>
          </w:p>
        </w:tc>
      </w:tr>
      <w:tr w:rsidR="00BA109A" w14:paraId="4A74A5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E9149" w14:textId="77777777" w:rsidR="00BA109A" w:rsidRDefault="00000000">
            <w:r>
              <w:rPr>
                <w:sz w:val="20"/>
                <w:szCs w:val="20"/>
              </w:rPr>
              <w:t>Moderate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87F4D" w14:textId="77777777" w:rsidR="00BA109A" w:rsidRDefault="00000000">
            <w:r>
              <w:rPr>
                <w:sz w:val="20"/>
                <w:szCs w:val="20"/>
              </w:rPr>
              <w:t>40 to 69</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88862" w14:textId="77777777" w:rsidR="00BA109A" w:rsidRDefault="00000000">
            <w:r>
              <w:rPr>
                <w:sz w:val="20"/>
                <w:szCs w:val="20"/>
              </w:rPr>
              <w:t>13</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50885" w14:textId="77777777" w:rsidR="00BA109A" w:rsidRDefault="00000000">
            <w:r>
              <w:rPr>
                <w:sz w:val="20"/>
                <w:szCs w:val="20"/>
              </w:rPr>
              <w:t>18.6%</w:t>
            </w:r>
          </w:p>
        </w:tc>
      </w:tr>
      <w:tr w:rsidR="00BA109A" w14:paraId="21369B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CF1EB" w14:textId="77777777" w:rsidR="00BA109A" w:rsidRDefault="00000000">
            <w:r>
              <w:rPr>
                <w:sz w:val="20"/>
                <w:szCs w:val="20"/>
              </w:rPr>
              <w:t>Low</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9B943" w14:textId="77777777" w:rsidR="00BA109A" w:rsidRDefault="00000000">
            <w:r>
              <w:rPr>
                <w:sz w:val="20"/>
                <w:szCs w:val="20"/>
              </w:rPr>
              <w:t>Below 40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5009A" w14:textId="77777777" w:rsidR="00BA109A" w:rsidRDefault="00000000">
            <w:r>
              <w:rPr>
                <w:sz w:val="20"/>
                <w:szCs w:val="20"/>
              </w:rPr>
              <w:t>56</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64F5CE" w14:textId="77777777" w:rsidR="00BA109A" w:rsidRDefault="00000000">
            <w:r>
              <w:rPr>
                <w:sz w:val="20"/>
                <w:szCs w:val="20"/>
              </w:rPr>
              <w:t>80.0%</w:t>
            </w:r>
          </w:p>
        </w:tc>
      </w:tr>
      <w:tr w:rsidR="00BA109A" w14:paraId="5EFAE1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5E6FE" w14:textId="77777777" w:rsidR="00BA109A" w:rsidRDefault="00000000">
            <w:r>
              <w:rPr>
                <w:sz w:val="20"/>
                <w:szCs w:val="20"/>
              </w:rPr>
              <w:t>Total</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7B6E39" w14:textId="77777777" w:rsidR="00BA109A"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05347" w14:textId="77777777" w:rsidR="00BA109A" w:rsidRDefault="00000000">
            <w:r>
              <w:rPr>
                <w:sz w:val="20"/>
                <w:szCs w:val="20"/>
              </w:rPr>
              <w:t>70</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7AB14" w14:textId="77777777" w:rsidR="00BA109A" w:rsidRDefault="00000000">
            <w:r>
              <w:rPr>
                <w:sz w:val="20"/>
                <w:szCs w:val="20"/>
              </w:rPr>
              <w:t>100%</w:t>
            </w:r>
          </w:p>
        </w:tc>
      </w:tr>
    </w:tbl>
    <w:p w14:paraId="59A5FCAA" w14:textId="77777777" w:rsidR="00BA109A" w:rsidRDefault="00000000">
      <w:r>
        <w:br w:type="page"/>
      </w:r>
    </w:p>
    <w:p w14:paraId="4FDAF434" w14:textId="77777777" w:rsidR="00BA109A" w:rsidRDefault="00000000">
      <w:pPr>
        <w:pStyle w:val="Heading1"/>
      </w:pPr>
      <w:r>
        <w:lastRenderedPageBreak/>
        <w:t>Supplementary Information</w:t>
      </w:r>
    </w:p>
    <w:p w14:paraId="1DD73EB1" w14:textId="77777777" w:rsidR="00BA109A" w:rsidRDefault="00000000">
      <w:pPr>
        <w:pStyle w:val="Heading2"/>
      </w:pPr>
      <w:r>
        <w:t>Supplementary Tables</w:t>
      </w:r>
    </w:p>
    <w:p w14:paraId="658CD0EF" w14:textId="77777777" w:rsidR="00BA109A" w:rsidRDefault="00000000">
      <w:pPr>
        <w:spacing w:after="200"/>
        <w:jc w:val="both"/>
      </w:pPr>
      <w:r>
        <w:rPr>
          <w:b/>
          <w:bCs/>
        </w:rPr>
        <w:t xml:space="preserve">Supplementary Table S1: </w:t>
      </w:r>
      <w:r>
        <w:t>Complete data for all 70 IHCC biobanks (EAS, publications, diseases covered, confidence intervals) available at: https://manuelcorpas.github.io/17-EHR/</w:t>
      </w:r>
    </w:p>
    <w:p w14:paraId="66384959" w14:textId="77777777" w:rsidR="00BA109A" w:rsidRDefault="00000000">
      <w:pPr>
        <w:spacing w:after="200"/>
        <w:jc w:val="both"/>
      </w:pPr>
      <w:r>
        <w:rPr>
          <w:b/>
          <w:bCs/>
        </w:rPr>
        <w:t xml:space="preserve">Supplementary Table S2: </w:t>
      </w:r>
      <w:r>
        <w:t>Complete disease gap analysis for all 179 GBD categories available at: https://manuelcorpas.github.io/17-EHR/</w:t>
      </w:r>
    </w:p>
    <w:p w14:paraId="1862C416" w14:textId="77777777" w:rsidR="00BA109A" w:rsidRDefault="00000000">
      <w:pPr>
        <w:pStyle w:val="Heading2"/>
      </w:pPr>
      <w:r>
        <w:t>Methodological Details</w:t>
      </w:r>
    </w:p>
    <w:p w14:paraId="200930EC" w14:textId="77777777" w:rsidR="00BA109A" w:rsidRDefault="00000000">
      <w:pPr>
        <w:spacing w:after="200"/>
        <w:jc w:val="both"/>
      </w:pPr>
      <w:r>
        <w:t>Full methodological details for the HEIM framework, including Burden Score formulation, Gap Score calculation, EAS component definitions, coefficient selection rationale, and sensitivity analyses, are provided in the Supplementary Materials of Corpas et al. (in press).</w:t>
      </w:r>
      <w:r>
        <w:rPr>
          <w:vertAlign w:val="superscript"/>
        </w:rPr>
        <w:t>15</w:t>
      </w:r>
      <w:r>
        <w:t xml:space="preserve"> Key validation findings include: (</w:t>
      </w:r>
      <w:proofErr w:type="spellStart"/>
      <w:r>
        <w:t>i</w:t>
      </w:r>
      <w:proofErr w:type="spellEnd"/>
      <w:r>
        <w:t>) Burden Score rankings remain stable under plus or minus 20% coefficient variation; (ii) Gap Score thresholds produce consistent disease prioritisation across alternative formulations; and (iii) EAS component weights were calibrated to ensure balanced contribution from gap severity, burden miss, and capacity penalty dimensions.</w:t>
      </w:r>
    </w:p>
    <w:p w14:paraId="1BA698AA" w14:textId="77777777" w:rsidR="00BA109A" w:rsidRDefault="00000000">
      <w:pPr>
        <w:spacing w:before="400"/>
        <w:jc w:val="center"/>
      </w:pPr>
      <w:r>
        <w:rPr>
          <w:i/>
          <w:iCs/>
        </w:rPr>
        <w:t>Generated: January 2026 | Version: HEIM-Biobank v2.0 (IHCC) | Interactive Tool: https://manuelcorpas.github.io/17-EHR/ | Source Code: https://github.com/manuelcorpas/17-EHR</w:t>
      </w:r>
    </w:p>
    <w:sectPr w:rsidR="00BA109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22AFE" w14:textId="77777777" w:rsidR="00713644" w:rsidRDefault="00713644">
      <w:r>
        <w:separator/>
      </w:r>
    </w:p>
  </w:endnote>
  <w:endnote w:type="continuationSeparator" w:id="0">
    <w:p w14:paraId="6E755407" w14:textId="77777777" w:rsidR="00713644" w:rsidRDefault="007136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5917" w14:textId="77777777" w:rsidR="00BA109A"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A1DA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BB70D" w14:textId="77777777" w:rsidR="00713644" w:rsidRDefault="00713644">
      <w:r>
        <w:separator/>
      </w:r>
    </w:p>
  </w:footnote>
  <w:footnote w:type="continuationSeparator" w:id="0">
    <w:p w14:paraId="14497C83" w14:textId="77777777" w:rsidR="00713644" w:rsidRDefault="007136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C5EE9" w14:textId="77777777" w:rsidR="00BA109A" w:rsidRDefault="00000000">
    <w:pPr>
      <w:jc w:val="right"/>
    </w:pPr>
    <w:r>
      <w:rPr>
        <w:i/>
        <w:iCs/>
        <w:sz w:val="20"/>
        <w:szCs w:val="20"/>
      </w:rPr>
      <w:t>HEIM: Global Biobank Research Equity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2123E"/>
    <w:multiLevelType w:val="hybridMultilevel"/>
    <w:tmpl w:val="293A2170"/>
    <w:lvl w:ilvl="0" w:tplc="434C2996">
      <w:start w:val="1"/>
      <w:numFmt w:val="decimal"/>
      <w:lvlText w:val="%1."/>
      <w:lvlJc w:val="left"/>
      <w:pPr>
        <w:ind w:left="720" w:hanging="360"/>
      </w:pPr>
    </w:lvl>
    <w:lvl w:ilvl="1" w:tplc="A2E24022">
      <w:numFmt w:val="decimal"/>
      <w:lvlText w:val=""/>
      <w:lvlJc w:val="left"/>
    </w:lvl>
    <w:lvl w:ilvl="2" w:tplc="B3067216">
      <w:numFmt w:val="decimal"/>
      <w:lvlText w:val=""/>
      <w:lvlJc w:val="left"/>
    </w:lvl>
    <w:lvl w:ilvl="3" w:tplc="2BD85ED6">
      <w:numFmt w:val="decimal"/>
      <w:lvlText w:val=""/>
      <w:lvlJc w:val="left"/>
    </w:lvl>
    <w:lvl w:ilvl="4" w:tplc="9F260652">
      <w:numFmt w:val="decimal"/>
      <w:lvlText w:val=""/>
      <w:lvlJc w:val="left"/>
    </w:lvl>
    <w:lvl w:ilvl="5" w:tplc="E1AAE5D4">
      <w:numFmt w:val="decimal"/>
      <w:lvlText w:val=""/>
      <w:lvlJc w:val="left"/>
    </w:lvl>
    <w:lvl w:ilvl="6" w:tplc="93580BE8">
      <w:numFmt w:val="decimal"/>
      <w:lvlText w:val=""/>
      <w:lvlJc w:val="left"/>
    </w:lvl>
    <w:lvl w:ilvl="7" w:tplc="2936746E">
      <w:numFmt w:val="decimal"/>
      <w:lvlText w:val=""/>
      <w:lvlJc w:val="left"/>
    </w:lvl>
    <w:lvl w:ilvl="8" w:tplc="0D049E08">
      <w:numFmt w:val="decimal"/>
      <w:lvlText w:val=""/>
      <w:lvlJc w:val="left"/>
    </w:lvl>
  </w:abstractNum>
  <w:abstractNum w:abstractNumId="1" w15:restartNumberingAfterBreak="0">
    <w:nsid w:val="332848F6"/>
    <w:multiLevelType w:val="hybridMultilevel"/>
    <w:tmpl w:val="98184CBC"/>
    <w:lvl w:ilvl="0" w:tplc="1CF66EE4">
      <w:start w:val="1"/>
      <w:numFmt w:val="bullet"/>
      <w:lvlText w:val="●"/>
      <w:lvlJc w:val="left"/>
      <w:pPr>
        <w:ind w:left="720" w:hanging="360"/>
      </w:pPr>
    </w:lvl>
    <w:lvl w:ilvl="1" w:tplc="B32ADE62">
      <w:start w:val="1"/>
      <w:numFmt w:val="bullet"/>
      <w:lvlText w:val="○"/>
      <w:lvlJc w:val="left"/>
      <w:pPr>
        <w:ind w:left="1440" w:hanging="360"/>
      </w:pPr>
    </w:lvl>
    <w:lvl w:ilvl="2" w:tplc="DE526E60">
      <w:start w:val="1"/>
      <w:numFmt w:val="bullet"/>
      <w:lvlText w:val="■"/>
      <w:lvlJc w:val="left"/>
      <w:pPr>
        <w:ind w:left="2160" w:hanging="360"/>
      </w:pPr>
    </w:lvl>
    <w:lvl w:ilvl="3" w:tplc="CECE429A">
      <w:start w:val="1"/>
      <w:numFmt w:val="bullet"/>
      <w:lvlText w:val="●"/>
      <w:lvlJc w:val="left"/>
      <w:pPr>
        <w:ind w:left="2880" w:hanging="360"/>
      </w:pPr>
    </w:lvl>
    <w:lvl w:ilvl="4" w:tplc="6B180B1A">
      <w:start w:val="1"/>
      <w:numFmt w:val="bullet"/>
      <w:lvlText w:val="○"/>
      <w:lvlJc w:val="left"/>
      <w:pPr>
        <w:ind w:left="3600" w:hanging="360"/>
      </w:pPr>
    </w:lvl>
    <w:lvl w:ilvl="5" w:tplc="667AE44E">
      <w:start w:val="1"/>
      <w:numFmt w:val="bullet"/>
      <w:lvlText w:val="■"/>
      <w:lvlJc w:val="left"/>
      <w:pPr>
        <w:ind w:left="4320" w:hanging="360"/>
      </w:pPr>
    </w:lvl>
    <w:lvl w:ilvl="6" w:tplc="28B4F3CA">
      <w:start w:val="1"/>
      <w:numFmt w:val="bullet"/>
      <w:lvlText w:val="●"/>
      <w:lvlJc w:val="left"/>
      <w:pPr>
        <w:ind w:left="5040" w:hanging="360"/>
      </w:pPr>
    </w:lvl>
    <w:lvl w:ilvl="7" w:tplc="13B68DB2">
      <w:start w:val="1"/>
      <w:numFmt w:val="bullet"/>
      <w:lvlText w:val="●"/>
      <w:lvlJc w:val="left"/>
      <w:pPr>
        <w:ind w:left="5760" w:hanging="360"/>
      </w:pPr>
    </w:lvl>
    <w:lvl w:ilvl="8" w:tplc="70D654DE">
      <w:start w:val="1"/>
      <w:numFmt w:val="bullet"/>
      <w:lvlText w:val="●"/>
      <w:lvlJc w:val="left"/>
      <w:pPr>
        <w:ind w:left="6480" w:hanging="360"/>
      </w:pPr>
    </w:lvl>
  </w:abstractNum>
  <w:abstractNum w:abstractNumId="2" w15:restartNumberingAfterBreak="0">
    <w:nsid w:val="74703050"/>
    <w:multiLevelType w:val="hybridMultilevel"/>
    <w:tmpl w:val="5642AE54"/>
    <w:lvl w:ilvl="0" w:tplc="6A3A894C">
      <w:start w:val="1"/>
      <w:numFmt w:val="bullet"/>
      <w:lvlText w:val="•"/>
      <w:lvlJc w:val="left"/>
      <w:pPr>
        <w:ind w:left="720" w:hanging="360"/>
      </w:pPr>
    </w:lvl>
    <w:lvl w:ilvl="1" w:tplc="AAAC309C">
      <w:numFmt w:val="decimal"/>
      <w:lvlText w:val=""/>
      <w:lvlJc w:val="left"/>
    </w:lvl>
    <w:lvl w:ilvl="2" w:tplc="15C23638">
      <w:numFmt w:val="decimal"/>
      <w:lvlText w:val=""/>
      <w:lvlJc w:val="left"/>
    </w:lvl>
    <w:lvl w:ilvl="3" w:tplc="92F2CBF6">
      <w:numFmt w:val="decimal"/>
      <w:lvlText w:val=""/>
      <w:lvlJc w:val="left"/>
    </w:lvl>
    <w:lvl w:ilvl="4" w:tplc="4A806134">
      <w:numFmt w:val="decimal"/>
      <w:lvlText w:val=""/>
      <w:lvlJc w:val="left"/>
    </w:lvl>
    <w:lvl w:ilvl="5" w:tplc="904299E2">
      <w:numFmt w:val="decimal"/>
      <w:lvlText w:val=""/>
      <w:lvlJc w:val="left"/>
    </w:lvl>
    <w:lvl w:ilvl="6" w:tplc="E716DEA8">
      <w:numFmt w:val="decimal"/>
      <w:lvlText w:val=""/>
      <w:lvlJc w:val="left"/>
    </w:lvl>
    <w:lvl w:ilvl="7" w:tplc="652240B0">
      <w:numFmt w:val="decimal"/>
      <w:lvlText w:val=""/>
      <w:lvlJc w:val="left"/>
    </w:lvl>
    <w:lvl w:ilvl="8" w:tplc="EEF488CC">
      <w:numFmt w:val="decimal"/>
      <w:lvlText w:val=""/>
      <w:lvlJc w:val="left"/>
    </w:lvl>
  </w:abstractNum>
  <w:num w:numId="1" w16cid:durableId="1309436794">
    <w:abstractNumId w:val="1"/>
    <w:lvlOverride w:ilvl="0">
      <w:startOverride w:val="1"/>
    </w:lvlOverride>
  </w:num>
  <w:num w:numId="2" w16cid:durableId="308247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09A"/>
    <w:rsid w:val="00713644"/>
    <w:rsid w:val="009D7567"/>
    <w:rsid w:val="00AA1DAB"/>
    <w:rsid w:val="00BA10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5535548"/>
  <w15:docId w15:val="{6E6AA2D0-DF06-5446-A53D-980497546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28"/>
      <w:szCs w:val="28"/>
    </w:rPr>
  </w:style>
  <w:style w:type="paragraph" w:styleId="Heading2">
    <w:name w:val="heading 2"/>
    <w:uiPriority w:val="9"/>
    <w:unhideWhenUsed/>
    <w:qFormat/>
    <w:pPr>
      <w:spacing w:before="300" w:after="150"/>
      <w:outlineLvl w:val="1"/>
    </w:pPr>
    <w:rPr>
      <w:b/>
      <w:bCs/>
    </w:rPr>
  </w:style>
  <w:style w:type="paragraph" w:styleId="Heading3">
    <w:name w:val="heading 3"/>
    <w:uiPriority w:val="9"/>
    <w:unhideWhenUsed/>
    <w:qFormat/>
    <w:pPr>
      <w:spacing w:before="200" w:after="100"/>
      <w:outlineLvl w:val="2"/>
    </w:pPr>
    <w:rPr>
      <w:b/>
      <w:bCs/>
      <w:i/>
      <w:i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4407</Words>
  <Characters>27899</Characters>
  <Application>Microsoft Office Word</Application>
  <DocSecurity>0</DocSecurity>
  <Lines>648</Lines>
  <Paragraphs>430</Paragraphs>
  <ScaleCrop>false</ScaleCrop>
  <Company/>
  <LinksUpToDate>false</LinksUpToDate>
  <CharactersWithSpaces>31876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cp:revision>
  <dcterms:created xsi:type="dcterms:W3CDTF">2026-01-09T18:14:00Z</dcterms:created>
  <dcterms:modified xsi:type="dcterms:W3CDTF">2026-01-10T08:27:00Z</dcterms:modified>
</cp:coreProperties>
</file>