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8EE6" w14:textId="77777777" w:rsidR="00C64004" w:rsidRDefault="00000000">
      <w:pPr>
        <w:pStyle w:val="Heading1"/>
      </w:pPr>
      <w:bookmarkStart w:id="0" w:name="Xc1faa75d73c60012412f12c3ba58804ab68c5a0"/>
      <w:r>
        <w:t>Health Equity Informative Metrics (HEIM): Quantifying Research Equity Across 70 Global Biobanks</w:t>
      </w:r>
    </w:p>
    <w:p w14:paraId="7266E3CB" w14:textId="77777777" w:rsidR="00C64004" w:rsidRDefault="00000000">
      <w:pPr>
        <w:pStyle w:val="FirstParagraph"/>
      </w:pPr>
      <w:r>
        <w:t>Manuel Corpas</w:t>
      </w:r>
      <w:r>
        <w:rPr>
          <w:vertAlign w:val="superscript"/>
        </w:rPr>
        <w:t>1,2</w:t>
      </w:r>
      <w:r>
        <w:t>*, Heinner Guio</w:t>
      </w:r>
      <w:r>
        <w:rPr>
          <w:vertAlign w:val="superscript"/>
        </w:rPr>
        <w:t>3,4</w:t>
      </w:r>
    </w:p>
    <w:p w14:paraId="703DE591" w14:textId="77777777" w:rsidR="00C64004" w:rsidRDefault="00000000">
      <w:pPr>
        <w:pStyle w:val="BodyText"/>
      </w:pPr>
      <w:r>
        <w:rPr>
          <w:vertAlign w:val="superscript"/>
        </w:rPr>
        <w:t>1</w:t>
      </w:r>
      <w:r>
        <w:t xml:space="preserve"> School of Life Sciences, University of Westminster, London, United Kingdom </w:t>
      </w:r>
      <w:r>
        <w:rPr>
          <w:vertAlign w:val="superscript"/>
        </w:rPr>
        <w:t>2</w:t>
      </w:r>
      <w:r>
        <w:t xml:space="preserve"> The Alan Turing Institute, London, United Kingdom </w:t>
      </w:r>
      <w:r>
        <w:rPr>
          <w:vertAlign w:val="superscript"/>
        </w:rPr>
        <w:t>3</w:t>
      </w:r>
      <w:r>
        <w:t xml:space="preserve"> Universidad de Ingeniería y Tecnología (UTEC), Lima, Peru </w:t>
      </w:r>
      <w:r>
        <w:rPr>
          <w:vertAlign w:val="superscript"/>
        </w:rPr>
        <w:t>4</w:t>
      </w:r>
      <w:r>
        <w:t xml:space="preserve"> INBIOMEDIC Research and Technological Center, Lima, Peru</w:t>
      </w:r>
    </w:p>
    <w:p w14:paraId="466B5950" w14:textId="0370388A" w:rsidR="00C64004" w:rsidRDefault="00000000" w:rsidP="00656CCA">
      <w:pPr>
        <w:pStyle w:val="BodyText"/>
      </w:pPr>
      <w:r>
        <w:t>*Correspondence to: Dr Manuel Corpas, School of Life Sciences, University of Westminster, 115 New Cavendish Street, London W1W 6UW, United Kingdom. m.corpas@westminster.ac.uk</w:t>
      </w:r>
    </w:p>
    <w:p w14:paraId="1F4E37E4" w14:textId="77777777" w:rsidR="00C64004" w:rsidRDefault="00000000">
      <w:pPr>
        <w:pStyle w:val="Heading2"/>
      </w:pPr>
      <w:bookmarkStart w:id="1" w:name="summary"/>
      <w:r>
        <w:t>Summary</w:t>
      </w:r>
    </w:p>
    <w:p w14:paraId="16C2F9E7" w14:textId="77777777" w:rsidR="00C64004" w:rsidRDefault="00000000">
      <w:pPr>
        <w:pStyle w:val="FirstParagraph"/>
      </w:pPr>
      <w:r>
        <w:rPr>
          <w:b/>
          <w:bCs/>
        </w:rPr>
        <w:t>Background</w:t>
      </w:r>
      <w:r>
        <w:t xml:space="preserve"> Low- and middle-income countries (LMICs) represent 85% of the global population but contribute less than 10% of participants to large-scale health research. This disparity undermines the generalisability of findings from population cohort studies. Despite growing recognition of this problem, no standardised framework exists to quantify research equity at the biobank level or track progress over time. We developed the Health Equity Informative Metrics (HEIM) framework to address this gap.</w:t>
      </w:r>
    </w:p>
    <w:p w14:paraId="50F9BEC0" w14:textId="04AC3F75" w:rsidR="00C64004" w:rsidRDefault="00000000">
      <w:pPr>
        <w:pStyle w:val="BodyText"/>
      </w:pPr>
      <w:r>
        <w:rPr>
          <w:b/>
          <w:bCs/>
        </w:rPr>
        <w:t>Methods</w:t>
      </w:r>
      <w:r>
        <w:t xml:space="preserve"> We analysed 38,595 PubMed-indexed publications (2000</w:t>
      </w:r>
      <w:r w:rsidR="00656CCA">
        <w:t>-</w:t>
      </w:r>
      <w:r>
        <w:t>2025) from 70 biobanks registered with the International Health Cohorts Consortium (IHCC) across 29 countries. Publications were mapped to 179 disease categories from the Global Burden of Disease Study 2021 using Medical Subject Headings (MeSH) terms. We calculated disease-specific Gap Scores measuring mismatch between burden (disability-adjusted life years, DALYs) and research attention, biobank-level Equity Alignment Scores (EAS), and equity ratios comparing high-income country (HIC) to LMIC research intensity.</w:t>
      </w:r>
    </w:p>
    <w:p w14:paraId="1817AF8F" w14:textId="77777777" w:rsidR="00C64004" w:rsidRDefault="00000000">
      <w:pPr>
        <w:pStyle w:val="BodyText"/>
      </w:pPr>
      <w:r>
        <w:rPr>
          <w:b/>
          <w:bCs/>
        </w:rPr>
        <w:t>Findings</w:t>
      </w:r>
      <w:r>
        <w:t xml:space="preserve"> HIC biobanks produced 57.8 times more research output per DALY than LMIC biobanks. Regional concentration was stark: Europe (55.7%) and the Americas (32.2%) accounted for 87.9% of publications, while Africa, Eastern Mediterranean, and South-East Asia combined contributed 2.2%. Of 179 disease categories, 48 (27%) showed critical or high-severity research gaps despite substantial global burden. Only one biobank (UK Biobank; 1.4%) achieved High equity alignment; 56 (80%) were rated Low. Diseases with critical gaps included malaria (55.2 million DALYs, 17 publications), tuberculosis (43.1 million DALYs, 42 publications), diarrheal diseases (46.8 million DALYs, 46 publications), and neonatal disorders (35.2 million DALYs, 156 publications).</w:t>
      </w:r>
    </w:p>
    <w:p w14:paraId="5FB6B253" w14:textId="77777777" w:rsidR="00C64004" w:rsidRDefault="00000000">
      <w:pPr>
        <w:pStyle w:val="BodyText"/>
      </w:pPr>
      <w:r>
        <w:rPr>
          <w:b/>
          <w:bCs/>
        </w:rPr>
        <w:t>Interpretation</w:t>
      </w:r>
      <w:r>
        <w:t xml:space="preserve"> The HEIM framework reveals profound disparities in how biobank research capacity aligns with global disease burden. Infectious diseases and conditions disproportionately affecting the Global South remain severely underrepresented in population cohort research. These findings establish baseline measurements for tracking progress and identify actionable priorities for equity-focused investment. An interactive </w:t>
      </w:r>
      <w:r>
        <w:lastRenderedPageBreak/>
        <w:t>dashboard (https://manuelcorpas.github.io/17-EHR/) operationalises these metrics for funders, researchers, and policymakers.</w:t>
      </w:r>
    </w:p>
    <w:p w14:paraId="0E1C1A85" w14:textId="1B3AA512" w:rsidR="00C64004" w:rsidRDefault="00000000" w:rsidP="003C2B78">
      <w:pPr>
        <w:pStyle w:val="BodyText"/>
      </w:pPr>
      <w:r>
        <w:rPr>
          <w:b/>
          <w:bCs/>
        </w:rPr>
        <w:t>Funding</w:t>
      </w:r>
      <w:r>
        <w:t xml:space="preserve"> None.</w:t>
      </w:r>
    </w:p>
    <w:p w14:paraId="67322420" w14:textId="77777777" w:rsidR="00C64004" w:rsidRDefault="00000000">
      <w:pPr>
        <w:pStyle w:val="Heading2"/>
      </w:pPr>
      <w:bookmarkStart w:id="2" w:name="introduction"/>
      <w:bookmarkEnd w:id="1"/>
      <w:r>
        <w:t>Introduction</w:t>
      </w:r>
    </w:p>
    <w:p w14:paraId="09A0C83B" w14:textId="2997839A" w:rsidR="00C64004" w:rsidRDefault="00000000">
      <w:pPr>
        <w:pStyle w:val="FirstParagraph"/>
      </w:pPr>
      <w:r>
        <w:t>The promise of precision medicine and evidence-based public health rests on research findings that apply across human populations. Yet the infrastructure generating these findings</w:t>
      </w:r>
      <w:r w:rsidR="003C2B78">
        <w:t xml:space="preserve"> (</w:t>
      </w:r>
      <w:r>
        <w:t>principally biobanks and population cohorts linking biological samples with longitudinal health records</w:t>
      </w:r>
      <w:r w:rsidR="003C2B78">
        <w:t xml:space="preserve">) </w:t>
      </w:r>
      <w:r>
        <w:t>is profoundly unequal in its global distribution. Low- and middle-income countries (LMICs), home to approximately 85% of the world’s population, contribute less than 10% of participants to genome-wide association studies, epidemiological cohorts, and clinical trials.</w:t>
      </w:r>
      <w:r>
        <w:rPr>
          <w:vertAlign w:val="superscript"/>
        </w:rPr>
        <w:t>1</w:t>
      </w:r>
      <w:r w:rsidR="003C2B78">
        <w:rPr>
          <w:vertAlign w:val="superscript"/>
        </w:rPr>
        <w:t>-</w:t>
      </w:r>
      <w:r>
        <w:rPr>
          <w:vertAlign w:val="superscript"/>
        </w:rPr>
        <w:t>4</w:t>
      </w:r>
    </w:p>
    <w:p w14:paraId="782E226C" w14:textId="77777777" w:rsidR="00C64004" w:rsidRDefault="00000000">
      <w:pPr>
        <w:pStyle w:val="BodyText"/>
      </w:pPr>
      <w:r>
        <w:t>The consequences are increasingly well-documented. Risk prediction models developed in high-income populations show reduced accuracy when applied elsewhere.</w:t>
      </w:r>
      <w:r>
        <w:rPr>
          <w:vertAlign w:val="superscript"/>
        </w:rPr>
        <w:t>5,6</w:t>
      </w:r>
      <w:r>
        <w:t xml:space="preserve"> Clinical databases exhibit systematic biases toward well-studied populations.</w:t>
      </w:r>
      <w:r>
        <w:rPr>
          <w:vertAlign w:val="superscript"/>
        </w:rPr>
        <w:t>7,8</w:t>
      </w:r>
      <w:r>
        <w:t xml:space="preserve"> These are not merely academic concerns; they represent barriers to equitable healthcare that will widen as data-driven medicine enters clinical practice globally.</w:t>
      </w:r>
    </w:p>
    <w:p w14:paraId="1CEB82C5" w14:textId="77777777" w:rsidR="00C64004" w:rsidRDefault="00000000">
      <w:pPr>
        <w:pStyle w:val="BodyText"/>
      </w:pPr>
      <w:r>
        <w:t>The World Health Organization has called for measurable frameworks to track progress toward equitable health research implementation.</w:t>
      </w:r>
      <w:r>
        <w:rPr>
          <w:vertAlign w:val="superscript"/>
        </w:rPr>
        <w:t>9</w:t>
      </w:r>
      <w:r>
        <w:t xml:space="preserve"> A recent WHO report found that high-income countries account for 68% of clinical studies while low-income countries contribute less than 0.5%.</w:t>
      </w:r>
      <w:r>
        <w:rPr>
          <w:vertAlign w:val="superscript"/>
        </w:rPr>
        <w:t>10</w:t>
      </w:r>
      <w:r>
        <w:t xml:space="preserve"> However, this documentation of disparity has not translated into standardised metrics for benchmarking institutions, identifying priority gaps, or monitoring improvement.</w:t>
      </w:r>
    </w:p>
    <w:p w14:paraId="5350558B" w14:textId="700BDA0B" w:rsidR="00C64004" w:rsidRDefault="00000000" w:rsidP="00772194">
      <w:pPr>
        <w:pStyle w:val="BodyText"/>
      </w:pPr>
      <w:r>
        <w:t>We developed the Health Equity Informative Metrics (HEIM) framework to fill this gap. HEIM quantifies alignment between biobank research output and global disease burden, treating equity not as an abstract aspiration but as an engineering problem amenable to measurement, tracking, and targeted intervention. We present the first comprehensive HEIM analysis across the International Health Cohorts Consortium (IHCC) registry, a standardised catalogue of population health cohorts worldwide, examining 38,595 publications from 70 biobanks in 29 countries.</w:t>
      </w:r>
    </w:p>
    <w:p w14:paraId="4BEE88BE" w14:textId="77777777" w:rsidR="00C64004" w:rsidRDefault="00000000">
      <w:pPr>
        <w:pStyle w:val="Heading2"/>
      </w:pPr>
      <w:bookmarkStart w:id="3" w:name="methods"/>
      <w:bookmarkEnd w:id="2"/>
      <w:r>
        <w:t>Methods</w:t>
      </w:r>
    </w:p>
    <w:p w14:paraId="1900B34C" w14:textId="77777777" w:rsidR="00C64004" w:rsidRDefault="00000000">
      <w:pPr>
        <w:pStyle w:val="Heading3"/>
      </w:pPr>
      <w:bookmarkStart w:id="4" w:name="study-design-and-data-sources"/>
      <w:r>
        <w:t>Study design and data sources</w:t>
      </w:r>
    </w:p>
    <w:p w14:paraId="4AEB2F05" w14:textId="77777777" w:rsidR="00C64004" w:rsidRDefault="00000000">
      <w:pPr>
        <w:pStyle w:val="FirstParagraph"/>
      </w:pPr>
      <w:r>
        <w:t>We conducted a cross-sectional analysis of biobank research output relative to global disease burden. The study population comprised all biobanks registered with the IHCC Global Cohort Atlas as of December 2025 with at least one PubMed-indexed publication (70 of 79 registered cohorts).</w:t>
      </w:r>
      <w:r>
        <w:rPr>
          <w:vertAlign w:val="superscript"/>
        </w:rPr>
        <w:t>11</w:t>
      </w:r>
    </w:p>
    <w:p w14:paraId="3B77A670" w14:textId="77777777" w:rsidR="00C64004" w:rsidRDefault="00000000">
      <w:pPr>
        <w:pStyle w:val="BodyText"/>
      </w:pPr>
      <w:r>
        <w:t xml:space="preserve">Publication data were retrieved from PubMed using the NCBI Entrez API with biobank-specific queries constructed from institution names, acronyms, and known variants. The search period spanned January 2000 to December 2025. Medical Subject Headings (MeSH) </w:t>
      </w:r>
      <w:r>
        <w:lastRenderedPageBreak/>
        <w:t>terms were extracted and mapped to 179 disease categories from the Global Burden of Disease (GBD) Study 2021 using a manually curated dictionary. Manual validation of 200 randomly sampled publications showed 92% concordance with automated mapping.</w:t>
      </w:r>
    </w:p>
    <w:p w14:paraId="7838E56F" w14:textId="77777777" w:rsidR="00C64004" w:rsidRDefault="00000000">
      <w:pPr>
        <w:pStyle w:val="BodyText"/>
      </w:pPr>
      <w:r>
        <w:t>Disease burden data (disability-adjusted life years [DALYs], deaths, prevalence) were obtained from the Institute for Health Metrics and Evaluation GBD 2021 dataset, using global, all-age, both-sexes estimates.</w:t>
      </w:r>
      <w:r>
        <w:rPr>
          <w:vertAlign w:val="superscript"/>
        </w:rPr>
        <w:t>12</w:t>
      </w:r>
      <w:r>
        <w:t xml:space="preserve"> Biobanks were classified by World Bank 2024 income categories: 52 from high-income countries (HIC) and 18 from low- and middle-income countries (LMIC).</w:t>
      </w:r>
    </w:p>
    <w:p w14:paraId="39C6CFDB" w14:textId="77777777" w:rsidR="00C64004" w:rsidRDefault="00000000">
      <w:pPr>
        <w:pStyle w:val="Heading3"/>
      </w:pPr>
      <w:bookmarkStart w:id="5" w:name="heim-framework-metrics"/>
      <w:bookmarkEnd w:id="4"/>
      <w:r>
        <w:t>HEIM framework metrics</w:t>
      </w:r>
    </w:p>
    <w:p w14:paraId="1B20DA0E" w14:textId="77777777" w:rsidR="00C64004" w:rsidRDefault="00000000">
      <w:pPr>
        <w:pStyle w:val="FirstParagraph"/>
      </w:pPr>
      <w:r>
        <w:t>The HEIM framework comprises three integrated metrics (Figure 1).</w:t>
      </w:r>
    </w:p>
    <w:p w14:paraId="565A083A" w14:textId="77777777" w:rsidR="00C64004" w:rsidRDefault="00000000">
      <w:pPr>
        <w:pStyle w:val="BodyText"/>
      </w:pPr>
      <w:r>
        <w:rPr>
          <w:b/>
          <w:bCs/>
        </w:rPr>
        <w:t>Burden Score</w:t>
      </w:r>
      <w:r>
        <w:t xml:space="preserve"> quantifies global health importance of each disease:</w:t>
      </w:r>
    </w:p>
    <w:p w14:paraId="56FA7B4D" w14:textId="77777777" w:rsidR="00C64004" w:rsidRDefault="00000000">
      <w:pPr>
        <w:pStyle w:val="BlockText"/>
      </w:pPr>
      <w:r>
        <w:t>Burden Score = (0.5 × DALYs) + (50 × Deaths) + [10 × log₁₀(Prevalence)]</w:t>
      </w:r>
    </w:p>
    <w:p w14:paraId="625917D5" w14:textId="77777777" w:rsidR="00C64004" w:rsidRDefault="00000000">
      <w:pPr>
        <w:pStyle w:val="FirstParagraph"/>
      </w:pPr>
      <w:r>
        <w:t>Coefficients were calibrated against GBD priority rankings and validated through sensitivity analysis (±20% variation produced stable disease rankings).</w:t>
      </w:r>
    </w:p>
    <w:p w14:paraId="0EF41E93" w14:textId="77777777" w:rsidR="00C64004" w:rsidRDefault="00000000">
      <w:pPr>
        <w:pStyle w:val="BodyText"/>
      </w:pPr>
      <w:r>
        <w:rPr>
          <w:b/>
          <w:bCs/>
        </w:rPr>
        <w:t>Gap Score</w:t>
      </w:r>
      <w:r>
        <w:t xml:space="preserve"> (range 0–100) measures mismatch between burden and research attention. Diseases with zero publications received a score of 95; remaining diseases were scored based on publication density relative to burden using decile thresholds. Gap severity was classified as: Critical (&gt;70), High (50–70), Moderate (30–50), or Low (&lt;30).</w:t>
      </w:r>
    </w:p>
    <w:p w14:paraId="464598DC" w14:textId="77777777" w:rsidR="00C64004" w:rsidRDefault="00000000">
      <w:pPr>
        <w:pStyle w:val="BodyText"/>
      </w:pPr>
      <w:r>
        <w:rPr>
          <w:b/>
          <w:bCs/>
        </w:rPr>
        <w:t>Equity Alignment Score (EAS)</w:t>
      </w:r>
      <w:r>
        <w:t xml:space="preserve"> provides biobank-level assessment:</w:t>
      </w:r>
    </w:p>
    <w:p w14:paraId="7706173F" w14:textId="77777777" w:rsidR="00C64004" w:rsidRDefault="00000000">
      <w:pPr>
        <w:pStyle w:val="BlockText"/>
      </w:pPr>
      <w:r>
        <w:t>EAS = 100 − (0.4 × Gap_Severity + 0.3 × Burden_Miss + 0.3 × Capacity_Penalty)</w:t>
      </w:r>
    </w:p>
    <w:p w14:paraId="3FB6B83C" w14:textId="77777777" w:rsidR="00C64004" w:rsidRDefault="00000000">
      <w:pPr>
        <w:pStyle w:val="FirstParagraph"/>
      </w:pPr>
      <w:r>
        <w:t>where Gap_Severity is the weighted average gap across diseases covered, Burden_Miss captures proportion of high-burden diseases with inadequate coverage, and Capacity_Penalty reflects underutilisation in underrepresented settings. Scores are categorised as High (≥70), Moderate (40–69), or Low (&lt;40).</w:t>
      </w:r>
    </w:p>
    <w:p w14:paraId="5FC6A24C" w14:textId="77777777" w:rsidR="00C64004" w:rsidRDefault="00000000">
      <w:pPr>
        <w:pStyle w:val="BodyText"/>
      </w:pPr>
      <w:r>
        <w:rPr>
          <w:b/>
          <w:bCs/>
        </w:rPr>
        <w:t>Equity Ratio</w:t>
      </w:r>
      <w:r>
        <w:t xml:space="preserve"> compares research intensity (publications per DALY) between HIC and LMIC biobanks.</w:t>
      </w:r>
    </w:p>
    <w:p w14:paraId="624D28E8" w14:textId="77777777" w:rsidR="00C64004" w:rsidRDefault="00000000">
      <w:pPr>
        <w:pStyle w:val="Heading3"/>
      </w:pPr>
      <w:bookmarkStart w:id="6" w:name="statistical-analysis"/>
      <w:bookmarkEnd w:id="5"/>
      <w:r>
        <w:t>Statistical analysis</w:t>
      </w:r>
    </w:p>
    <w:p w14:paraId="45272A51" w14:textId="77777777" w:rsidR="00C64004" w:rsidRDefault="00000000">
      <w:pPr>
        <w:pStyle w:val="FirstParagraph"/>
      </w:pPr>
      <w:r>
        <w:t>We report descriptive statistics for publication counts, disease coverage, and equity metrics. Confidence intervals for EAS were calculated using bootstrap resampling (1,000 iterations). Analyses were conducted in Python 3.11.</w:t>
      </w:r>
    </w:p>
    <w:p w14:paraId="0A8F3DB2" w14:textId="77777777" w:rsidR="00C64004" w:rsidRDefault="00000000">
      <w:pPr>
        <w:pStyle w:val="Heading3"/>
      </w:pPr>
      <w:bookmarkStart w:id="7" w:name="role-of-the-funding-source"/>
      <w:bookmarkEnd w:id="6"/>
      <w:r>
        <w:t>Role of the funding source</w:t>
      </w:r>
    </w:p>
    <w:p w14:paraId="343E8818" w14:textId="77777777" w:rsidR="00C64004" w:rsidRDefault="00000000">
      <w:pPr>
        <w:pStyle w:val="FirstParagraph"/>
      </w:pPr>
      <w:r>
        <w:t>No funding was received for this study. The authors had full access to all data and final responsibility for the decision to submit.</w:t>
      </w:r>
    </w:p>
    <w:p w14:paraId="5DF7BD8F" w14:textId="77777777" w:rsidR="00C64004" w:rsidRDefault="0067048F">
      <w:r>
        <w:rPr>
          <w:noProof/>
        </w:rPr>
        <w:pict w14:anchorId="1AF06A11">
          <v:rect id="_x0000_i1032" alt="" style="width:451.3pt;height:.05pt;mso-width-percent:0;mso-height-percent:0;mso-width-percent:0;mso-height-percent:0" o:hralign="center" o:hrstd="t" o:hr="t"/>
        </w:pict>
      </w:r>
    </w:p>
    <w:p w14:paraId="043003AD" w14:textId="77777777" w:rsidR="00C64004" w:rsidRDefault="00000000">
      <w:pPr>
        <w:pStyle w:val="Heading2"/>
      </w:pPr>
      <w:bookmarkStart w:id="8" w:name="results"/>
      <w:bookmarkEnd w:id="3"/>
      <w:bookmarkEnd w:id="7"/>
      <w:r>
        <w:lastRenderedPageBreak/>
        <w:t>Results</w:t>
      </w:r>
    </w:p>
    <w:p w14:paraId="4109A677" w14:textId="77777777" w:rsidR="00C64004" w:rsidRDefault="00000000">
      <w:pPr>
        <w:pStyle w:val="Heading3"/>
      </w:pPr>
      <w:bookmarkStart w:id="9" w:name="dataset-overview"/>
      <w:r>
        <w:t>Dataset overview</w:t>
      </w:r>
    </w:p>
    <w:p w14:paraId="2A43F9ED" w14:textId="77777777" w:rsidR="00C64004" w:rsidRDefault="00000000">
      <w:pPr>
        <w:pStyle w:val="FirstParagraph"/>
      </w:pPr>
      <w:r>
        <w:t>We analysed 38,595 PubMed-indexed publications from 70 IHCC-registered biobanks across 29 countries (Table 1). The 52 HIC biobanks contributed 36,096 publications (93.5%); the 18 LMIC biobanks contributed 2,499 (6.5%).</w:t>
      </w:r>
    </w:p>
    <w:p w14:paraId="0CD7B2A5" w14:textId="77777777" w:rsidR="00C64004" w:rsidRDefault="00000000">
      <w:pPr>
        <w:pStyle w:val="Heading3"/>
      </w:pPr>
      <w:bookmarkStart w:id="10" w:name="regional-concentration"/>
      <w:bookmarkEnd w:id="9"/>
      <w:r>
        <w:t>Regional concentration</w:t>
      </w:r>
    </w:p>
    <w:p w14:paraId="49ED2A99" w14:textId="77777777" w:rsidR="00C64004" w:rsidRDefault="00000000">
      <w:pPr>
        <w:pStyle w:val="FirstParagraph"/>
      </w:pPr>
      <w:r>
        <w:t>Research output was concentrated in two regions (Figure 2). Europe contributed 21,482 publications (55.7%) from 25 biobanks, with UK Biobank alone accounting for 13,785 (35.7% of total output). The Americas contributed 12,433 publications (32.2%) from 20 biobanks. The Western Pacific region contributed 3,819 (9.9%) from 13 biobanks.</w:t>
      </w:r>
    </w:p>
    <w:p w14:paraId="2A881470" w14:textId="77777777" w:rsidR="00C64004" w:rsidRDefault="00000000">
      <w:pPr>
        <w:pStyle w:val="BodyText"/>
      </w:pPr>
      <w:r>
        <w:t>Africa (277 publications, 0.7%), Eastern Mediterranean (574, 1.5%), and South-East Asia (10, &lt;0.1%) together contributed just 2.2% of global output despite hosting substantial disease burden and 12 of 70 biobanks.</w:t>
      </w:r>
    </w:p>
    <w:p w14:paraId="4184D2E5" w14:textId="77777777" w:rsidR="00C64004" w:rsidRDefault="00000000">
      <w:pPr>
        <w:pStyle w:val="Heading3"/>
      </w:pPr>
      <w:bookmarkStart w:id="11" w:name="equity-ratio"/>
      <w:bookmarkEnd w:id="10"/>
      <w:r>
        <w:t>Equity ratio</w:t>
      </w:r>
    </w:p>
    <w:p w14:paraId="1F9B7C9A" w14:textId="77777777" w:rsidR="00C64004" w:rsidRDefault="00000000">
      <w:pPr>
        <w:pStyle w:val="FirstParagraph"/>
      </w:pPr>
      <w:r>
        <w:t>HIC biobanks produced substantially higher research output per unit of disease burden than LMIC biobanks (Figure 3). The equity ratio was 57.8:1, indicating that for equivalent disease burden, HIC biobanks generate nearly 58 times more research.</w:t>
      </w:r>
    </w:p>
    <w:p w14:paraId="2B07D885" w14:textId="77777777" w:rsidR="00C64004" w:rsidRDefault="00000000">
      <w:pPr>
        <w:pStyle w:val="Heading3"/>
      </w:pPr>
      <w:bookmarkStart w:id="12" w:name="disease-level-gaps"/>
      <w:bookmarkEnd w:id="11"/>
      <w:r>
        <w:t>Disease-level gaps</w:t>
      </w:r>
    </w:p>
    <w:p w14:paraId="670A1F1C" w14:textId="77777777" w:rsidR="00C64004" w:rsidRDefault="00000000">
      <w:pPr>
        <w:pStyle w:val="FirstParagraph"/>
      </w:pPr>
      <w:r>
        <w:t>Of 179 disease categories, 22 (12%) showed critical gaps (Gap Score &gt;70), 26 (15%) high gaps, 47 (26%) moderate gaps, and 84 (47%) low gaps indicating adequate coverage (Figure 4). The 48 diseases with critical or high gaps represent priority targets for intervention.</w:t>
      </w:r>
    </w:p>
    <w:p w14:paraId="0A58693D" w14:textId="77777777" w:rsidR="00C64004" w:rsidRDefault="00000000">
      <w:pPr>
        <w:pStyle w:val="BodyText"/>
      </w:pPr>
      <w:r>
        <w:t>The pattern of gaps reveals systematic neglect of conditions disproportionately affecting the Global South (Table 2). Among infectious diseases, malaria (55.2 million DALYs) generated only 17 publications, tuberculosis (43.1 million DALYs) had 42 publications, diarrheal diseases (46.8 million DALYs) had 46 publications, and lower respiratory infections (63.4 million DALYs) had 89 publications. Neglected tropical diseases were almost entirely absent: dengue (2.1 million DALYs, 3 publications), schistosomiasis (1.8 million DALYs, 1 publication), leishmaniasis (0.9 million DALYs, 2 publications), and lymphatic filariasis (1.3 million DALYs, 1 publication).</w:t>
      </w:r>
    </w:p>
    <w:p w14:paraId="7CCA0A7F" w14:textId="77777777" w:rsidR="00C64004" w:rsidRDefault="00000000">
      <w:pPr>
        <w:pStyle w:val="BodyText"/>
      </w:pPr>
      <w:r>
        <w:t>Neonatal and maternal conditions also showed substantial gaps despite high burden. Neonatal disorders (35.2 million DALYs) had 156 publications and maternal disorders (18.7 million DALYs) had 89 publications—research volumes that remain modest relative to burden.</w:t>
      </w:r>
    </w:p>
    <w:p w14:paraId="6E0192F5" w14:textId="77777777" w:rsidR="00C64004" w:rsidRDefault="00000000">
      <w:pPr>
        <w:pStyle w:val="BodyText"/>
      </w:pPr>
      <w:r>
        <w:t>These gaps contrast sharply with well-covered conditions. Ischaemic heart disease, diabetes, and Alzheimer’s disease each had thousands of publications, reflecting the research priorities of populations served by HIC biobanks.</w:t>
      </w:r>
    </w:p>
    <w:p w14:paraId="4D6FC5B4" w14:textId="77777777" w:rsidR="00C64004" w:rsidRDefault="00000000">
      <w:pPr>
        <w:pStyle w:val="Heading3"/>
      </w:pPr>
      <w:bookmarkStart w:id="13" w:name="biobank-level-equity-alignment"/>
      <w:bookmarkEnd w:id="12"/>
      <w:r>
        <w:lastRenderedPageBreak/>
        <w:t>Biobank-level equity alignment</w:t>
      </w:r>
    </w:p>
    <w:p w14:paraId="5400583D" w14:textId="77777777" w:rsidR="00C64004" w:rsidRDefault="00000000">
      <w:pPr>
        <w:pStyle w:val="FirstParagraph"/>
      </w:pPr>
      <w:r>
        <w:t>EAS ranged from 1.7 to 84.6 (Figure 5). The distribution was heavily skewed:</w:t>
      </w:r>
    </w:p>
    <w:p w14:paraId="2C4611CD" w14:textId="77777777" w:rsidR="00C64004" w:rsidRDefault="00000000">
      <w:pPr>
        <w:pStyle w:val="Compact"/>
        <w:numPr>
          <w:ilvl w:val="0"/>
          <w:numId w:val="2"/>
        </w:numPr>
      </w:pPr>
      <w:r>
        <w:t>High (≥70): 1 biobank (1.4%)</w:t>
      </w:r>
    </w:p>
    <w:p w14:paraId="17259FB2" w14:textId="77777777" w:rsidR="00C64004" w:rsidRDefault="00000000">
      <w:pPr>
        <w:pStyle w:val="Compact"/>
        <w:numPr>
          <w:ilvl w:val="0"/>
          <w:numId w:val="2"/>
        </w:numPr>
      </w:pPr>
      <w:r>
        <w:t>Moderate (40–69): 13 biobanks (18.6%)</w:t>
      </w:r>
    </w:p>
    <w:p w14:paraId="196C2850" w14:textId="77777777" w:rsidR="00C64004" w:rsidRDefault="00000000">
      <w:pPr>
        <w:pStyle w:val="Compact"/>
        <w:numPr>
          <w:ilvl w:val="0"/>
          <w:numId w:val="2"/>
        </w:numPr>
      </w:pPr>
      <w:r>
        <w:t>Low (&lt;40): 56 biobanks (80.0%)</w:t>
      </w:r>
    </w:p>
    <w:p w14:paraId="655344D3" w14:textId="77777777" w:rsidR="00C64004" w:rsidRDefault="00000000">
      <w:pPr>
        <w:pStyle w:val="FirstParagraph"/>
      </w:pPr>
      <w:r>
        <w:t>UK Biobank was the sole institution achieving High alignment (EAS 84.6, 95% CI 82.1–87.1), contributing 35.7% of all publications across 163 disease categories (Figure 6). The 29-point gap between UK Biobank and second-ranked Nurses’ Health Study (EAS 55.2) reflects UK Biobank’s exceptional scale, open-access data model, and global research network.</w:t>
      </w:r>
    </w:p>
    <w:p w14:paraId="46844298" w14:textId="77777777" w:rsidR="00C64004" w:rsidRDefault="00000000">
      <w:pPr>
        <w:pStyle w:val="BodyText"/>
      </w:pPr>
      <w:r>
        <w:t>Among LMIC biobanks, China Kadoorie Biobank achieved the highest score (EAS 41.6, 583 publications), followed by ELSA-Brasil (38.0), Qatar Biobank (21.2), and AWI-Gen (10.8). These institutions provide critical representation for underserved populations but face systematic resource constraints.</w:t>
      </w:r>
    </w:p>
    <w:p w14:paraId="5AFBA94B" w14:textId="77777777" w:rsidR="00C64004" w:rsidRDefault="00000000">
      <w:pPr>
        <w:pStyle w:val="Heading3"/>
      </w:pPr>
      <w:bookmarkStart w:id="14" w:name="temporal-trends"/>
      <w:bookmarkEnd w:id="13"/>
      <w:r>
        <w:t>Temporal trends</w:t>
      </w:r>
    </w:p>
    <w:p w14:paraId="039A878E" w14:textId="77777777" w:rsidR="00C64004" w:rsidRDefault="00000000">
      <w:pPr>
        <w:pStyle w:val="FirstParagraph"/>
      </w:pPr>
      <w:r>
        <w:t>Publication output grew approximately 604% between 2015 and 2024, reaching 6,200 publications annually by 2024 (Supplementary Figure 1). This acceleration reflects expanded data access and growing recognition of biobanks as essential research infrastructure.</w:t>
      </w:r>
    </w:p>
    <w:p w14:paraId="5A4EF5E0" w14:textId="77777777" w:rsidR="00C64004" w:rsidRDefault="0067048F">
      <w:r>
        <w:rPr>
          <w:noProof/>
        </w:rPr>
        <w:pict w14:anchorId="12C60BB8">
          <v:rect id="_x0000_i1031" alt="" style="width:451.3pt;height:.05pt;mso-width-percent:0;mso-height-percent:0;mso-width-percent:0;mso-height-percent:0" o:hralign="center" o:hrstd="t" o:hr="t"/>
        </w:pict>
      </w:r>
    </w:p>
    <w:p w14:paraId="223B816C" w14:textId="77777777" w:rsidR="00C64004" w:rsidRDefault="00000000">
      <w:pPr>
        <w:pStyle w:val="Heading2"/>
      </w:pPr>
      <w:bookmarkStart w:id="15" w:name="discussion"/>
      <w:bookmarkEnd w:id="8"/>
      <w:bookmarkEnd w:id="14"/>
      <w:r>
        <w:t>Discussion</w:t>
      </w:r>
    </w:p>
    <w:p w14:paraId="5FE0C70D" w14:textId="77777777" w:rsidR="00C64004" w:rsidRDefault="00000000">
      <w:pPr>
        <w:pStyle w:val="FirstParagraph"/>
      </w:pPr>
      <w:r>
        <w:t>This study presents the first standardised equity analysis across the IHCC biobank registry, revealing three principal findings that demand attention from the global health research community.</w:t>
      </w:r>
    </w:p>
    <w:p w14:paraId="4D412E1D" w14:textId="77777777" w:rsidR="00C64004" w:rsidRDefault="00000000">
      <w:pPr>
        <w:pStyle w:val="BodyText"/>
      </w:pPr>
      <w:r>
        <w:t>First, the 57.8:1 equity ratio quantifies profound disparity in research capacity. For every unit of disease burden, HIC biobanks generate nearly 58 times more research than LMIC counterparts. This is not simply differential investment; it represents systematic exclusion of populations bearing the greatest disease burden from the research enterprise intended to benefit them.</w:t>
      </w:r>
    </w:p>
    <w:p w14:paraId="5892FA0E" w14:textId="77777777" w:rsidR="00C64004" w:rsidRDefault="00000000">
      <w:pPr>
        <w:pStyle w:val="BodyText"/>
      </w:pPr>
      <w:r>
        <w:t>Second, 48 diseases (27%) show critical or high research gaps despite substantial global burden. Infectious diseases including malaria, tuberculosis, diarrheal diseases, and lower respiratory infections—together responsible for over 200 million DALYs—have generated fewer than 200 publications across all 70 IHCC biobanks. Neglected tropical diseases are almost entirely absent from population cohort research. These gaps reflect research agendas shaped by the populations that biobanks serve rather than the populations that most need evidence for intervention.</w:t>
      </w:r>
    </w:p>
    <w:p w14:paraId="198FDE07" w14:textId="77777777" w:rsidR="00C64004" w:rsidRDefault="00000000">
      <w:pPr>
        <w:pStyle w:val="BodyText"/>
      </w:pPr>
      <w:r>
        <w:lastRenderedPageBreak/>
        <w:t>Third, 80% of biobanks achieve only Low equity alignment. This is a systemic finding, not a judgment on individual institutions. Most biobanks appropriately prioritise conditions prevalent in their source populations. The problem is structural: biobank infrastructure is concentrated in settings where infectious disease burden is lowest, while settings with highest burden lack resources to build equivalent capacity.</w:t>
      </w:r>
    </w:p>
    <w:p w14:paraId="3F457E72" w14:textId="77777777" w:rsidR="00C64004" w:rsidRDefault="00000000">
      <w:pPr>
        <w:pStyle w:val="BodyText"/>
      </w:pPr>
      <w:r>
        <w:t>UK Biobank’s exceptional performance (EAS 84.6) demonstrates what sustained investment, open data policies, and global collaboration can achieve. However, the 29-point gap to second place suggests that UK Biobank represents an outlier enabled by unique circumstances rather than a universally achievable benchmark. For policy purposes, the Moderate threshold (40–69) represents a more realistic target that would signal meaningful engagement with global health priorities.</w:t>
      </w:r>
    </w:p>
    <w:p w14:paraId="6810B553" w14:textId="77777777" w:rsidR="00C64004" w:rsidRDefault="00000000">
      <w:pPr>
        <w:pStyle w:val="Heading3"/>
      </w:pPr>
      <w:bookmarkStart w:id="16" w:name="comparison-with-prior-evidence"/>
      <w:r>
        <w:t>Comparison with prior evidence</w:t>
      </w:r>
    </w:p>
    <w:p w14:paraId="64093027" w14:textId="77777777" w:rsidR="00C64004" w:rsidRDefault="00000000">
      <w:pPr>
        <w:pStyle w:val="FirstParagraph"/>
      </w:pPr>
      <w:r>
        <w:t>Our findings are consistent with documented biases in health research. Popejoy and Fullerton reported that Europeans comprised 79% of GWAS participants despite representing 16% of global population.</w:t>
      </w:r>
      <w:r>
        <w:rPr>
          <w:vertAlign w:val="superscript"/>
        </w:rPr>
        <w:t>2</w:t>
      </w:r>
      <w:r>
        <w:t xml:space="preserve"> The WHO report found that 68% of clinical studies occur in high-income countries.</w:t>
      </w:r>
      <w:r>
        <w:rPr>
          <w:vertAlign w:val="superscript"/>
        </w:rPr>
        <w:t>10</w:t>
      </w:r>
      <w:r>
        <w:t xml:space="preserve"> Research on neglected tropical diseases receives a fraction of funding devoted to conditions prevalent in wealthy nations.</w:t>
      </w:r>
      <w:r>
        <w:rPr>
          <w:vertAlign w:val="superscript"/>
        </w:rPr>
        <w:t>13</w:t>
      </w:r>
    </w:p>
    <w:p w14:paraId="4F8943CD" w14:textId="77777777" w:rsidR="00C64004" w:rsidRDefault="00000000">
      <w:pPr>
        <w:pStyle w:val="BodyText"/>
      </w:pPr>
      <w:r>
        <w:t>HEIM extends this literature by providing disease-resolved, burden-normalised metrics at the biobank level using a standardised registry, enabling reproducible benchmarking and progress tracking.</w:t>
      </w:r>
    </w:p>
    <w:p w14:paraId="5FFADE12" w14:textId="77777777" w:rsidR="00C64004" w:rsidRDefault="00000000">
      <w:pPr>
        <w:pStyle w:val="Heading3"/>
      </w:pPr>
      <w:bookmarkStart w:id="17" w:name="limitations"/>
      <w:bookmarkEnd w:id="16"/>
      <w:r>
        <w:t>Limitations</w:t>
      </w:r>
    </w:p>
    <w:p w14:paraId="36264722" w14:textId="77777777" w:rsidR="00C64004" w:rsidRDefault="00000000">
      <w:pPr>
        <w:pStyle w:val="FirstParagraph"/>
      </w:pPr>
      <w:r>
        <w:t>Several limitations warrant consideration. First, our analysis captures only PubMed-indexed publications, potentially undercounting research in regional journals or non-English languages. Second, MeSH mapping achieved 92% accuracy; some disease misclassification is expected, particularly for multi-morbid conditions. Third, publication counts do not capture research quality, clinical impact, or translation to practice.</w:t>
      </w:r>
    </w:p>
    <w:p w14:paraId="7583C115" w14:textId="77777777" w:rsidR="00C64004" w:rsidRDefault="00000000">
      <w:pPr>
        <w:pStyle w:val="BodyText"/>
      </w:pPr>
      <w:r>
        <w:t>Fourth, using global DALYs as denominator is a normative choice reflecting the position that population cohort research should ultimately inform global health priorities. An alternative framing would assess whether biobanks appropriately address burden in their source populations—a biobank in Finland focusing on cardiovascular disease is serving its population appropriately even if not addressing malaria. Our equity ratio should be interpreted with this caveat.</w:t>
      </w:r>
    </w:p>
    <w:p w14:paraId="5A934BBF" w14:textId="77777777" w:rsidR="00C64004" w:rsidRDefault="00000000">
      <w:pPr>
        <w:pStyle w:val="BodyText"/>
      </w:pPr>
      <w:r>
        <w:t>Fifth, the 70 IHCC-registered biobanks represent a defined sample of the global landscape. Many regional cohorts, particularly in LMICs, are not registered with IHCC and thus not captured in our analysis. This likely underestimates both the total research output and the equity gap.</w:t>
      </w:r>
    </w:p>
    <w:p w14:paraId="5FCDC7A9" w14:textId="77777777" w:rsidR="00C64004" w:rsidRDefault="00000000">
      <w:pPr>
        <w:pStyle w:val="Heading3"/>
      </w:pPr>
      <w:bookmarkStart w:id="18" w:name="policy-implications"/>
      <w:bookmarkEnd w:id="17"/>
      <w:r>
        <w:t>Policy implications</w:t>
      </w:r>
    </w:p>
    <w:p w14:paraId="74718019" w14:textId="77777777" w:rsidR="00C64004" w:rsidRDefault="00000000">
      <w:pPr>
        <w:pStyle w:val="FirstParagraph"/>
      </w:pPr>
      <w:r>
        <w:t>The HEIM framework has immediate applications for research governance (Panel).</w:t>
      </w:r>
    </w:p>
    <w:p w14:paraId="414C39E4" w14:textId="77777777" w:rsidR="00C64004" w:rsidRDefault="00000000">
      <w:pPr>
        <w:pStyle w:val="BodyText"/>
      </w:pPr>
      <w:r>
        <w:lastRenderedPageBreak/>
        <w:t xml:space="preserve">For </w:t>
      </w:r>
      <w:r>
        <w:rPr>
          <w:b/>
          <w:bCs/>
        </w:rPr>
        <w:t>funders</w:t>
      </w:r>
      <w:r>
        <w:t>, equity metrics can inform grant evaluation and portfolio analysis. Funding bodies could set targets for supporting research on high-gap diseases, particularly infectious diseases and conditions prevalent in the Global South.</w:t>
      </w:r>
    </w:p>
    <w:p w14:paraId="2455AE94" w14:textId="77777777" w:rsidR="00C64004" w:rsidRDefault="00000000">
      <w:pPr>
        <w:pStyle w:val="BodyText"/>
      </w:pPr>
      <w:r>
        <w:t xml:space="preserve">For </w:t>
      </w:r>
      <w:r>
        <w:rPr>
          <w:b/>
          <w:bCs/>
        </w:rPr>
        <w:t>biobanks</w:t>
      </w:r>
      <w:r>
        <w:t>, HEIM enables strategic planning. Institutions in endemic regions can identify opportunities to leverage their unique population access for high-burden diseases underserved by HIC biobanks.</w:t>
      </w:r>
    </w:p>
    <w:p w14:paraId="061739F0" w14:textId="77777777" w:rsidR="00C64004" w:rsidRDefault="00000000">
      <w:pPr>
        <w:pStyle w:val="BodyText"/>
      </w:pPr>
      <w:r>
        <w:t xml:space="preserve">For </w:t>
      </w:r>
      <w:r>
        <w:rPr>
          <w:b/>
          <w:bCs/>
        </w:rPr>
        <w:t>policymakers</w:t>
      </w:r>
      <w:r>
        <w:t>, equity metrics provide evidence for infrastructure investment. The concentration of 87.9% of output in Europe and the Americas, while three WHO regions contribute just 2.2%, indicates where capacity building is most needed.</w:t>
      </w:r>
    </w:p>
    <w:p w14:paraId="44165B51" w14:textId="77777777" w:rsidR="00C64004" w:rsidRDefault="00000000">
      <w:pPr>
        <w:pStyle w:val="BodyText"/>
      </w:pPr>
      <w:r>
        <w:t>The interactive dashboard (https://manuelcorpas.github.io/17-EHR/) operationalises these metrics, enabling stakeholders to explore biobank rankings, disease gaps, and regional comparisons in real time.</w:t>
      </w:r>
    </w:p>
    <w:p w14:paraId="28BA15EF" w14:textId="77777777" w:rsidR="00C64004" w:rsidRDefault="00000000">
      <w:pPr>
        <w:pStyle w:val="Heading3"/>
      </w:pPr>
      <w:bookmarkStart w:id="19" w:name="conclusions"/>
      <w:bookmarkEnd w:id="18"/>
      <w:r>
        <w:t>Conclusions</w:t>
      </w:r>
    </w:p>
    <w:p w14:paraId="05E82DB2" w14:textId="77777777" w:rsidR="00C64004" w:rsidRDefault="00000000">
      <w:pPr>
        <w:pStyle w:val="FirstParagraph"/>
      </w:pPr>
      <w:r>
        <w:t>The HEIM framework reveals that global biobank research remains profoundly misaligned with global disease burden. HIC biobanks produce 58 times more research per DALY than LMIC counterparts. Eighty percent of biobanks achieve only Low equity alignment. Infectious diseases causing over 200 million DALYs receive minimal population cohort research attention.</w:t>
      </w:r>
    </w:p>
    <w:p w14:paraId="372DBE29" w14:textId="77777777" w:rsidR="00C64004" w:rsidRDefault="00000000">
      <w:pPr>
        <w:pStyle w:val="BodyText"/>
      </w:pPr>
      <w:r>
        <w:t>These findings are not cause for despair but for action. The metrics established here provide a baseline against which progress can be measured. The diseases with critical gaps—particularly malaria, tuberculosis, diarrheal diseases, lower respiratory infections, and neglected tropical diseases—represent immediate priorities for targeted investment. Closing the equity gap requires sustained funding for LMIC biobanks, capacity-building in underrepresented regions, equitable collaboration frameworks, and research incentives that reward alignment with global health priorities.</w:t>
      </w:r>
    </w:p>
    <w:p w14:paraId="70E50315" w14:textId="77777777" w:rsidR="00C64004" w:rsidRDefault="0067048F">
      <w:r>
        <w:rPr>
          <w:noProof/>
        </w:rPr>
        <w:pict w14:anchorId="52F7FA0A">
          <v:rect id="_x0000_i1030" alt="" style="width:451.3pt;height:.05pt;mso-width-percent:0;mso-height-percent:0;mso-width-percent:0;mso-height-percent:0" o:hralign="center" o:hrstd="t" o:hr="t"/>
        </w:pict>
      </w:r>
    </w:p>
    <w:p w14:paraId="1CB434D1" w14:textId="77777777" w:rsidR="00C64004" w:rsidRDefault="00000000">
      <w:pPr>
        <w:pStyle w:val="Heading2"/>
      </w:pPr>
      <w:bookmarkStart w:id="20" w:name="X9f21ea8bd2e25699d844541fc363e5e6ac5e7eb"/>
      <w:bookmarkEnd w:id="15"/>
      <w:bookmarkEnd w:id="19"/>
      <w:r>
        <w:t>Panel: Policy recommendations for advancing biobank research equity</w:t>
      </w:r>
    </w:p>
    <w:p w14:paraId="485AF6E3" w14:textId="77777777" w:rsidR="00C64004" w:rsidRDefault="00000000">
      <w:pPr>
        <w:pStyle w:val="FirstParagraph"/>
      </w:pPr>
      <w:r>
        <w:rPr>
          <w:b/>
          <w:bCs/>
        </w:rPr>
        <w:t>For research funders</w:t>
      </w:r>
      <w:r>
        <w:t xml:space="preserve"> - Incorporate HEIM metrics into grant evaluation criteria, weighting proposals addressing high-gap diseases - Establish dedicated funding streams for LMIC biobank infrastructure - Set portfolio-level targets for research on critical-gap diseases: malaria, tuberculosis, diarrheal diseases, neglected tropical diseases, neonatal and maternal conditions - Require equity impact statements for biobank access applications</w:t>
      </w:r>
    </w:p>
    <w:p w14:paraId="64BE4ECF" w14:textId="77777777" w:rsidR="00C64004" w:rsidRDefault="00000000">
      <w:pPr>
        <w:pStyle w:val="BodyText"/>
      </w:pPr>
      <w:r>
        <w:rPr>
          <w:b/>
          <w:bCs/>
        </w:rPr>
        <w:t>For biobanks and research institutions</w:t>
      </w:r>
      <w:r>
        <w:t xml:space="preserve"> - Use HEIM dashboard for strategic planning to identify underserved disease areas - Develop targeted research programmes for conditions with critical gaps relevant to cohort populations - Establish equitable collaboration frameworks ensuring LMIC partners have authorship, data access, and capacity-building benefits - Report annual equity metrics alongside scientific output</w:t>
      </w:r>
    </w:p>
    <w:p w14:paraId="73E24E10" w14:textId="77777777" w:rsidR="00C64004" w:rsidRDefault="00000000">
      <w:pPr>
        <w:pStyle w:val="BodyText"/>
      </w:pPr>
      <w:r>
        <w:rPr>
          <w:b/>
          <w:bCs/>
        </w:rPr>
        <w:lastRenderedPageBreak/>
        <w:t>For policymakers and international organisations</w:t>
      </w:r>
      <w:r>
        <w:t xml:space="preserve"> - Prioritise infrastructure investment in WHO regions contributing &lt;3% of global output (Africa, Eastern Mediterranean, South-East Asia) - Integrate HEIM metrics into health research equity monitoring frameworks - Support regional biobank networks (H3Africa, PERSIAN Cohort, Latin American initiatives) as counterweights to Euro-American concentration</w:t>
      </w:r>
    </w:p>
    <w:p w14:paraId="4BD9A71C" w14:textId="77777777" w:rsidR="00C64004" w:rsidRDefault="00000000">
      <w:pPr>
        <w:pStyle w:val="BodyText"/>
      </w:pPr>
      <w:r>
        <w:rPr>
          <w:b/>
          <w:bCs/>
        </w:rPr>
        <w:t>For journal editors and peer reviewers</w:t>
      </w:r>
      <w:r>
        <w:t xml:space="preserve"> - Consider equity implications when evaluating biobank research - Encourage reporting of how findings may or may not generalise to underrepresented populations - Support publication of research from LMIC biobanks addressing local disease priorities</w:t>
      </w:r>
    </w:p>
    <w:p w14:paraId="77ECBB34" w14:textId="77777777" w:rsidR="00C64004" w:rsidRDefault="0067048F">
      <w:r>
        <w:rPr>
          <w:noProof/>
        </w:rPr>
        <w:pict w14:anchorId="237F7D0F">
          <v:rect id="_x0000_i1029" alt="" style="width:451.3pt;height:.05pt;mso-width-percent:0;mso-height-percent:0;mso-width-percent:0;mso-height-percent:0" o:hralign="center" o:hrstd="t" o:hr="t"/>
        </w:pict>
      </w:r>
    </w:p>
    <w:p w14:paraId="4FD6B885" w14:textId="77777777" w:rsidR="00C64004" w:rsidRDefault="00000000">
      <w:pPr>
        <w:pStyle w:val="Heading2"/>
      </w:pPr>
      <w:bookmarkStart w:id="21" w:name="contributors"/>
      <w:bookmarkEnd w:id="20"/>
      <w:r>
        <w:t>Contributors</w:t>
      </w:r>
    </w:p>
    <w:p w14:paraId="7B719F1A" w14:textId="77777777" w:rsidR="00C64004" w:rsidRDefault="00000000">
      <w:pPr>
        <w:pStyle w:val="FirstParagraph"/>
      </w:pPr>
      <w:r>
        <w:t>MC and HG conceived the study. MC developed the methodology, conducted the analyses, developed the interactive dashboard, and wrote the first draft. HG contributed to study design, provided critical review focusing on Latin American and Global South perspectives, and revised the manuscript. Both authors approved the final manuscript.</w:t>
      </w:r>
    </w:p>
    <w:p w14:paraId="50F1B203" w14:textId="77777777" w:rsidR="00C64004" w:rsidRDefault="00000000">
      <w:pPr>
        <w:pStyle w:val="Heading2"/>
      </w:pPr>
      <w:bookmarkStart w:id="22" w:name="declaration-of-interests"/>
      <w:bookmarkEnd w:id="21"/>
      <w:r>
        <w:t>Declaration of interests</w:t>
      </w:r>
    </w:p>
    <w:p w14:paraId="634709CF" w14:textId="77777777" w:rsidR="00C64004" w:rsidRDefault="00000000">
      <w:pPr>
        <w:pStyle w:val="FirstParagraph"/>
      </w:pPr>
      <w:r>
        <w:t>We declare no competing interests.</w:t>
      </w:r>
    </w:p>
    <w:p w14:paraId="3750398B" w14:textId="77777777" w:rsidR="00C64004" w:rsidRDefault="00000000">
      <w:pPr>
        <w:pStyle w:val="Heading2"/>
      </w:pPr>
      <w:bookmarkStart w:id="23" w:name="data-sharing"/>
      <w:bookmarkEnd w:id="22"/>
      <w:r>
        <w:t>Data sharing</w:t>
      </w:r>
    </w:p>
    <w:p w14:paraId="1BBC6031" w14:textId="77777777" w:rsidR="00C64004" w:rsidRDefault="00000000">
      <w:pPr>
        <w:pStyle w:val="FirstParagraph"/>
      </w:pPr>
      <w:r>
        <w:t>All aggregated data, analysis code, and mapping dictionaries are available at https://manuelcorpas.github.io/17-EHR/ and https://github.com/manuelcorpas/17-EHR. Publication metadata are derived from PubMed (NLM terms apply). Disease burden data are available from IHME Global Health Data Exchange.</w:t>
      </w:r>
    </w:p>
    <w:p w14:paraId="24C2F159" w14:textId="77777777" w:rsidR="00C64004" w:rsidRDefault="00000000">
      <w:pPr>
        <w:pStyle w:val="Heading2"/>
      </w:pPr>
      <w:bookmarkStart w:id="24" w:name="acknowledgments"/>
      <w:bookmarkEnd w:id="23"/>
      <w:r>
        <w:t>Acknowledgments</w:t>
      </w:r>
    </w:p>
    <w:p w14:paraId="65B1A9FD" w14:textId="77777777" w:rsidR="00C64004" w:rsidRDefault="00000000">
      <w:pPr>
        <w:pStyle w:val="FirstParagraph"/>
      </w:pPr>
      <w:r>
        <w:t>We acknowledge the International Health Cohorts Consortium for maintaining the Global Cohort Atlas and the Institute for Health Metrics and Evaluation for making disease burden data publicly available.</w:t>
      </w:r>
    </w:p>
    <w:p w14:paraId="6BD333C3" w14:textId="77777777" w:rsidR="00C64004" w:rsidRDefault="0067048F">
      <w:r>
        <w:rPr>
          <w:noProof/>
        </w:rPr>
        <w:pict w14:anchorId="6FB25EDA">
          <v:rect id="_x0000_i1028" alt="" style="width:451.3pt;height:.05pt;mso-width-percent:0;mso-height-percent:0;mso-width-percent:0;mso-height-percent:0" o:hralign="center" o:hrstd="t" o:hr="t"/>
        </w:pict>
      </w:r>
    </w:p>
    <w:p w14:paraId="2075AC6A" w14:textId="77777777" w:rsidR="00C64004" w:rsidRDefault="00000000">
      <w:pPr>
        <w:pStyle w:val="Heading2"/>
      </w:pPr>
      <w:bookmarkStart w:id="25" w:name="references"/>
      <w:bookmarkEnd w:id="24"/>
      <w:r>
        <w:t>References</w:t>
      </w:r>
    </w:p>
    <w:p w14:paraId="5D6419A0" w14:textId="77777777" w:rsidR="00C64004" w:rsidRDefault="00000000">
      <w:pPr>
        <w:numPr>
          <w:ilvl w:val="0"/>
          <w:numId w:val="3"/>
        </w:numPr>
      </w:pPr>
      <w:r>
        <w:t>Sirugo G, Williams SM, Tishkoff SA. The missing diversity in human genetic studies. Cell 2019; 177: 26–31.</w:t>
      </w:r>
    </w:p>
    <w:p w14:paraId="6437F507" w14:textId="77777777" w:rsidR="00C64004" w:rsidRDefault="00000000">
      <w:pPr>
        <w:numPr>
          <w:ilvl w:val="0"/>
          <w:numId w:val="3"/>
        </w:numPr>
      </w:pPr>
      <w:r>
        <w:t>Popejoy AB, Fullerton SM. Genomics is failing on diversity. Nature 2016; 538: 161–64.</w:t>
      </w:r>
    </w:p>
    <w:p w14:paraId="51BFE895" w14:textId="77777777" w:rsidR="00C64004" w:rsidRDefault="00000000">
      <w:pPr>
        <w:numPr>
          <w:ilvl w:val="0"/>
          <w:numId w:val="3"/>
        </w:numPr>
      </w:pPr>
      <w:r>
        <w:t>Martin AR, Kanai M, Kamatani Y, Okada Y, Neale BM, Daly MJ. Clinical use of current polygenic risk scores may exacerbate health disparities. Nat Genet 2019; 51: 584–91.</w:t>
      </w:r>
    </w:p>
    <w:p w14:paraId="4A4A6A34" w14:textId="77777777" w:rsidR="00C64004" w:rsidRDefault="00000000">
      <w:pPr>
        <w:numPr>
          <w:ilvl w:val="0"/>
          <w:numId w:val="3"/>
        </w:numPr>
      </w:pPr>
      <w:r>
        <w:lastRenderedPageBreak/>
        <w:t>Fatumo S, Chikowore T, Choudhury A, Ayub M, Martin AR, Kuchenbaecker K. A roadmap to increase diversity in genomic studies. Nat Med 2022; 28: 243–50.</w:t>
      </w:r>
    </w:p>
    <w:p w14:paraId="23D93112" w14:textId="77777777" w:rsidR="00C64004" w:rsidRDefault="00000000">
      <w:pPr>
        <w:numPr>
          <w:ilvl w:val="0"/>
          <w:numId w:val="3"/>
        </w:numPr>
      </w:pPr>
      <w:r>
        <w:t>Duncan L, Shen H, Gelaye B, et al. Analysis of polygenic risk score usage and performance in diverse human populations. Nat Commun 2019; 10: 3328.</w:t>
      </w:r>
    </w:p>
    <w:p w14:paraId="5E3C53C2" w14:textId="77777777" w:rsidR="00C64004" w:rsidRDefault="00000000">
      <w:pPr>
        <w:numPr>
          <w:ilvl w:val="0"/>
          <w:numId w:val="3"/>
        </w:numPr>
      </w:pPr>
      <w:r>
        <w:t>Wang Y, Guo J, Ni G, Yang J, Visscher PM, Yengo L. Theoretical and empirical quantification of the accuracy of polygenic scores in ancestry divergent populations. Nat Commun 2020; 11: 3865.</w:t>
      </w:r>
    </w:p>
    <w:p w14:paraId="4B66199C" w14:textId="77777777" w:rsidR="00C64004" w:rsidRDefault="00000000">
      <w:pPr>
        <w:numPr>
          <w:ilvl w:val="0"/>
          <w:numId w:val="3"/>
        </w:numPr>
      </w:pPr>
      <w:r>
        <w:t>Manrai AK, Funke BH, Rehm HL, et al. Genetic misdiagnoses and the potential for health disparities. N Engl J Med 2016; 375: 655–65.</w:t>
      </w:r>
    </w:p>
    <w:p w14:paraId="26F1513C" w14:textId="77777777" w:rsidR="00C64004" w:rsidRDefault="00000000">
      <w:pPr>
        <w:numPr>
          <w:ilvl w:val="0"/>
          <w:numId w:val="3"/>
        </w:numPr>
      </w:pPr>
      <w:r>
        <w:t>Landrum MJ, Lee JM, Benson M, et al. ClinVar: improving access to variant interpretations and supporting evidence. Nucleic Acids Res 2018; 46: D1062–67.</w:t>
      </w:r>
    </w:p>
    <w:p w14:paraId="12C6434A" w14:textId="77777777" w:rsidR="00C64004" w:rsidRDefault="00000000">
      <w:pPr>
        <w:numPr>
          <w:ilvl w:val="0"/>
          <w:numId w:val="3"/>
        </w:numPr>
      </w:pPr>
      <w:r>
        <w:t>World Health Organization. Accelerating access to genomics for global health: promotion, implementation, collaboration, and ethical, legal, and social issues. Geneva: WHO, 2024.</w:t>
      </w:r>
    </w:p>
    <w:p w14:paraId="5B103537" w14:textId="77777777" w:rsidR="00C64004" w:rsidRDefault="00000000">
      <w:pPr>
        <w:numPr>
          <w:ilvl w:val="0"/>
          <w:numId w:val="3"/>
        </w:numPr>
      </w:pPr>
      <w:r>
        <w:t>World Health Organization. Human genomics technologies in clinical studies: the research landscape 1990–2024. Geneva: WHO, 2025.</w:t>
      </w:r>
    </w:p>
    <w:p w14:paraId="17D655D3" w14:textId="77777777" w:rsidR="00C64004" w:rsidRDefault="00000000">
      <w:pPr>
        <w:numPr>
          <w:ilvl w:val="0"/>
          <w:numId w:val="3"/>
        </w:numPr>
      </w:pPr>
      <w:r>
        <w:t>International Health Cohorts Consortium. Global Cohort Atlas. https://ihccglobal.org/ (accessed Jan 7, 2026).</w:t>
      </w:r>
    </w:p>
    <w:p w14:paraId="14A74723" w14:textId="77777777" w:rsidR="00C64004" w:rsidRDefault="00000000">
      <w:pPr>
        <w:numPr>
          <w:ilvl w:val="0"/>
          <w:numId w:val="3"/>
        </w:numPr>
      </w:pPr>
      <w:r>
        <w:t>GBD 2021 Diseases and Injuries Collaborators. 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 Lancet 2024; 403: 2133–61.</w:t>
      </w:r>
    </w:p>
    <w:p w14:paraId="7060C821" w14:textId="77777777" w:rsidR="00C64004" w:rsidRDefault="00000000">
      <w:pPr>
        <w:numPr>
          <w:ilvl w:val="0"/>
          <w:numId w:val="3"/>
        </w:numPr>
      </w:pPr>
      <w:r>
        <w:t>Moran M, Guzman J, Ropars AL, et al. Neglected disease research and development: how much are we really spending? PLoS Med 2009; 6: e1000030.</w:t>
      </w:r>
    </w:p>
    <w:p w14:paraId="4BEA7F97" w14:textId="77777777" w:rsidR="00C64004" w:rsidRDefault="00000000">
      <w:pPr>
        <w:numPr>
          <w:ilvl w:val="0"/>
          <w:numId w:val="3"/>
        </w:numPr>
      </w:pPr>
      <w:r>
        <w:t>Sudlow C, Gallacher J, Allen N, et al. UK Biobank: an open access resource for identifying the causes of a wide range of complex diseases of middle and old age. PLoS Med 2015; 12: e1001779.</w:t>
      </w:r>
    </w:p>
    <w:p w14:paraId="7E2DA961" w14:textId="77777777" w:rsidR="00C64004" w:rsidRDefault="00000000">
      <w:pPr>
        <w:numPr>
          <w:ilvl w:val="0"/>
          <w:numId w:val="3"/>
        </w:numPr>
      </w:pPr>
      <w:r>
        <w:t>Bycroft C, Freeman C, Petkova D, et al. The UK Biobank resource with deep phenotyping and genomic data. Nature 2018; 562: 203–09.</w:t>
      </w:r>
    </w:p>
    <w:p w14:paraId="38C7F329" w14:textId="77777777" w:rsidR="00C64004" w:rsidRDefault="0067048F">
      <w:r>
        <w:rPr>
          <w:noProof/>
        </w:rPr>
        <w:pict w14:anchorId="6FC332C7">
          <v:rect id="_x0000_i1027" alt="" style="width:451.3pt;height:.05pt;mso-width-percent:0;mso-height-percent:0;mso-width-percent:0;mso-height-percent:0" o:hralign="center" o:hrstd="t" o:hr="t"/>
        </w:pict>
      </w:r>
    </w:p>
    <w:p w14:paraId="69C84E93" w14:textId="77777777" w:rsidR="00C64004" w:rsidRDefault="00000000">
      <w:pPr>
        <w:pStyle w:val="Heading2"/>
      </w:pPr>
      <w:bookmarkStart w:id="26" w:name="tables"/>
      <w:bookmarkEnd w:id="25"/>
      <w:r>
        <w:t>Tables</w:t>
      </w:r>
    </w:p>
    <w:p w14:paraId="447B3FB5" w14:textId="77777777" w:rsidR="00C64004" w:rsidRDefault="00000000">
      <w:pPr>
        <w:pStyle w:val="FirstParagraph"/>
      </w:pPr>
      <w:r>
        <w:rPr>
          <w:b/>
          <w:bCs/>
        </w:rPr>
        <w:t>Table 1: Characteristics of 70 IHCC-registered biobanks</w:t>
      </w:r>
    </w:p>
    <w:tbl>
      <w:tblPr>
        <w:tblStyle w:val="Table"/>
        <w:tblW w:w="0" w:type="auto"/>
        <w:tblLook w:val="0020" w:firstRow="1" w:lastRow="0" w:firstColumn="0" w:lastColumn="0" w:noHBand="0" w:noVBand="0"/>
      </w:tblPr>
      <w:tblGrid>
        <w:gridCol w:w="4617"/>
        <w:gridCol w:w="1916"/>
      </w:tblGrid>
      <w:tr w:rsidR="00C64004" w14:paraId="548726B9" w14:textId="77777777" w:rsidTr="00C64004">
        <w:trPr>
          <w:cnfStyle w:val="100000000000" w:firstRow="1" w:lastRow="0" w:firstColumn="0" w:lastColumn="0" w:oddVBand="0" w:evenVBand="0" w:oddHBand="0" w:evenHBand="0" w:firstRowFirstColumn="0" w:firstRowLastColumn="0" w:lastRowFirstColumn="0" w:lastRowLastColumn="0"/>
          <w:tblHeader/>
        </w:trPr>
        <w:tc>
          <w:tcPr>
            <w:tcW w:w="0" w:type="auto"/>
          </w:tcPr>
          <w:p w14:paraId="4747E895" w14:textId="77777777" w:rsidR="00C64004" w:rsidRDefault="00000000">
            <w:pPr>
              <w:pStyle w:val="Compact"/>
            </w:pPr>
            <w:r>
              <w:t>Characteristic</w:t>
            </w:r>
          </w:p>
        </w:tc>
        <w:tc>
          <w:tcPr>
            <w:tcW w:w="0" w:type="auto"/>
          </w:tcPr>
          <w:p w14:paraId="2CB27033" w14:textId="77777777" w:rsidR="00C64004" w:rsidRDefault="00000000">
            <w:pPr>
              <w:pStyle w:val="Compact"/>
            </w:pPr>
            <w:r>
              <w:t>Value</w:t>
            </w:r>
          </w:p>
        </w:tc>
      </w:tr>
      <w:tr w:rsidR="00C64004" w14:paraId="681C9EC0" w14:textId="77777777">
        <w:tc>
          <w:tcPr>
            <w:tcW w:w="0" w:type="auto"/>
          </w:tcPr>
          <w:p w14:paraId="5FE56B03" w14:textId="77777777" w:rsidR="00C64004" w:rsidRDefault="00000000">
            <w:pPr>
              <w:pStyle w:val="Compact"/>
            </w:pPr>
            <w:r>
              <w:lastRenderedPageBreak/>
              <w:t>Total biobanks</w:t>
            </w:r>
          </w:p>
        </w:tc>
        <w:tc>
          <w:tcPr>
            <w:tcW w:w="0" w:type="auto"/>
          </w:tcPr>
          <w:p w14:paraId="7F4729D4" w14:textId="77777777" w:rsidR="00C64004" w:rsidRDefault="00000000">
            <w:pPr>
              <w:pStyle w:val="Compact"/>
            </w:pPr>
            <w:r>
              <w:t>70</w:t>
            </w:r>
          </w:p>
        </w:tc>
      </w:tr>
      <w:tr w:rsidR="00C64004" w14:paraId="37445FAC" w14:textId="77777777">
        <w:tc>
          <w:tcPr>
            <w:tcW w:w="0" w:type="auto"/>
          </w:tcPr>
          <w:p w14:paraId="2D032BCE" w14:textId="77777777" w:rsidR="00C64004" w:rsidRDefault="00000000">
            <w:pPr>
              <w:pStyle w:val="Compact"/>
            </w:pPr>
            <w:r>
              <w:t>Countries represented</w:t>
            </w:r>
          </w:p>
        </w:tc>
        <w:tc>
          <w:tcPr>
            <w:tcW w:w="0" w:type="auto"/>
          </w:tcPr>
          <w:p w14:paraId="6DB44192" w14:textId="77777777" w:rsidR="00C64004" w:rsidRDefault="00000000">
            <w:pPr>
              <w:pStyle w:val="Compact"/>
            </w:pPr>
            <w:r>
              <w:t>29</w:t>
            </w:r>
          </w:p>
        </w:tc>
      </w:tr>
      <w:tr w:rsidR="00C64004" w14:paraId="0EE4B9FA" w14:textId="77777777">
        <w:tc>
          <w:tcPr>
            <w:tcW w:w="0" w:type="auto"/>
          </w:tcPr>
          <w:p w14:paraId="55171709" w14:textId="77777777" w:rsidR="00C64004" w:rsidRDefault="00000000">
            <w:pPr>
              <w:pStyle w:val="Compact"/>
            </w:pPr>
            <w:r>
              <w:t>WHO regions</w:t>
            </w:r>
          </w:p>
        </w:tc>
        <w:tc>
          <w:tcPr>
            <w:tcW w:w="0" w:type="auto"/>
          </w:tcPr>
          <w:p w14:paraId="71DB8E08" w14:textId="77777777" w:rsidR="00C64004" w:rsidRDefault="00000000">
            <w:pPr>
              <w:pStyle w:val="Compact"/>
            </w:pPr>
            <w:r>
              <w:t>6</w:t>
            </w:r>
          </w:p>
        </w:tc>
      </w:tr>
      <w:tr w:rsidR="00C64004" w14:paraId="43E62A14" w14:textId="77777777">
        <w:tc>
          <w:tcPr>
            <w:tcW w:w="0" w:type="auto"/>
          </w:tcPr>
          <w:p w14:paraId="77BF630A" w14:textId="77777777" w:rsidR="00C64004" w:rsidRDefault="00000000">
            <w:pPr>
              <w:pStyle w:val="Compact"/>
            </w:pPr>
            <w:r>
              <w:t>High-income country biobanks</w:t>
            </w:r>
          </w:p>
        </w:tc>
        <w:tc>
          <w:tcPr>
            <w:tcW w:w="0" w:type="auto"/>
          </w:tcPr>
          <w:p w14:paraId="044771D2" w14:textId="77777777" w:rsidR="00C64004" w:rsidRDefault="00000000">
            <w:pPr>
              <w:pStyle w:val="Compact"/>
            </w:pPr>
            <w:r>
              <w:t>52 (74.3%)</w:t>
            </w:r>
          </w:p>
        </w:tc>
      </w:tr>
      <w:tr w:rsidR="00C64004" w14:paraId="79240FC2" w14:textId="77777777">
        <w:tc>
          <w:tcPr>
            <w:tcW w:w="0" w:type="auto"/>
          </w:tcPr>
          <w:p w14:paraId="6FE92238" w14:textId="77777777" w:rsidR="00C64004" w:rsidRDefault="00000000">
            <w:pPr>
              <w:pStyle w:val="Compact"/>
            </w:pPr>
            <w:r>
              <w:t>Low- and middle-income country biobanks</w:t>
            </w:r>
          </w:p>
        </w:tc>
        <w:tc>
          <w:tcPr>
            <w:tcW w:w="0" w:type="auto"/>
          </w:tcPr>
          <w:p w14:paraId="5DD2C031" w14:textId="77777777" w:rsidR="00C64004" w:rsidRDefault="00000000">
            <w:pPr>
              <w:pStyle w:val="Compact"/>
            </w:pPr>
            <w:r>
              <w:t>18 (25.7%)</w:t>
            </w:r>
          </w:p>
        </w:tc>
      </w:tr>
      <w:tr w:rsidR="00C64004" w14:paraId="50AB0564" w14:textId="77777777">
        <w:tc>
          <w:tcPr>
            <w:tcW w:w="0" w:type="auto"/>
          </w:tcPr>
          <w:p w14:paraId="777D7E42" w14:textId="77777777" w:rsidR="00C64004" w:rsidRDefault="00000000">
            <w:pPr>
              <w:pStyle w:val="Compact"/>
            </w:pPr>
            <w:r>
              <w:t>Total publications (2000–2025)</w:t>
            </w:r>
          </w:p>
        </w:tc>
        <w:tc>
          <w:tcPr>
            <w:tcW w:w="0" w:type="auto"/>
          </w:tcPr>
          <w:p w14:paraId="2461A2B0" w14:textId="77777777" w:rsidR="00C64004" w:rsidRDefault="00000000">
            <w:pPr>
              <w:pStyle w:val="Compact"/>
            </w:pPr>
            <w:r>
              <w:t>38,595</w:t>
            </w:r>
          </w:p>
        </w:tc>
      </w:tr>
      <w:tr w:rsidR="00C64004" w14:paraId="38C0EF8E" w14:textId="77777777">
        <w:tc>
          <w:tcPr>
            <w:tcW w:w="0" w:type="auto"/>
          </w:tcPr>
          <w:p w14:paraId="4BFAA3CC" w14:textId="77777777" w:rsidR="00C64004" w:rsidRDefault="00000000">
            <w:pPr>
              <w:pStyle w:val="Compact"/>
            </w:pPr>
            <w:r>
              <w:t>Publications from HIC biobanks</w:t>
            </w:r>
          </w:p>
        </w:tc>
        <w:tc>
          <w:tcPr>
            <w:tcW w:w="0" w:type="auto"/>
          </w:tcPr>
          <w:p w14:paraId="696A941C" w14:textId="77777777" w:rsidR="00C64004" w:rsidRDefault="00000000">
            <w:pPr>
              <w:pStyle w:val="Compact"/>
            </w:pPr>
            <w:r>
              <w:t>36,096 (93.5%)</w:t>
            </w:r>
          </w:p>
        </w:tc>
      </w:tr>
      <w:tr w:rsidR="00C64004" w14:paraId="176C8907" w14:textId="77777777">
        <w:tc>
          <w:tcPr>
            <w:tcW w:w="0" w:type="auto"/>
          </w:tcPr>
          <w:p w14:paraId="5CB2FE50" w14:textId="77777777" w:rsidR="00C64004" w:rsidRDefault="00000000">
            <w:pPr>
              <w:pStyle w:val="Compact"/>
            </w:pPr>
            <w:r>
              <w:t>Publications from LMIC biobanks</w:t>
            </w:r>
          </w:p>
        </w:tc>
        <w:tc>
          <w:tcPr>
            <w:tcW w:w="0" w:type="auto"/>
          </w:tcPr>
          <w:p w14:paraId="59D33A32" w14:textId="77777777" w:rsidR="00C64004" w:rsidRDefault="00000000">
            <w:pPr>
              <w:pStyle w:val="Compact"/>
            </w:pPr>
            <w:r>
              <w:t>2,499 (6.5%)</w:t>
            </w:r>
          </w:p>
        </w:tc>
      </w:tr>
      <w:tr w:rsidR="00C64004" w14:paraId="3E58C991" w14:textId="77777777">
        <w:tc>
          <w:tcPr>
            <w:tcW w:w="0" w:type="auto"/>
          </w:tcPr>
          <w:p w14:paraId="39D1847F" w14:textId="77777777" w:rsidR="00C64004" w:rsidRDefault="00000000">
            <w:pPr>
              <w:pStyle w:val="Compact"/>
            </w:pPr>
            <w:r>
              <w:t>Disease categories mapped</w:t>
            </w:r>
          </w:p>
        </w:tc>
        <w:tc>
          <w:tcPr>
            <w:tcW w:w="0" w:type="auto"/>
          </w:tcPr>
          <w:p w14:paraId="35D4C365" w14:textId="77777777" w:rsidR="00C64004" w:rsidRDefault="00000000">
            <w:pPr>
              <w:pStyle w:val="Compact"/>
            </w:pPr>
            <w:r>
              <w:t>179</w:t>
            </w:r>
          </w:p>
        </w:tc>
      </w:tr>
      <w:tr w:rsidR="00C64004" w14:paraId="759DF249" w14:textId="77777777">
        <w:tc>
          <w:tcPr>
            <w:tcW w:w="0" w:type="auto"/>
          </w:tcPr>
          <w:p w14:paraId="6F398B47" w14:textId="77777777" w:rsidR="00C64004" w:rsidRDefault="00000000">
            <w:pPr>
              <w:pStyle w:val="Compact"/>
            </w:pPr>
            <w:r>
              <w:t>Median EAS (IQR)</w:t>
            </w:r>
          </w:p>
        </w:tc>
        <w:tc>
          <w:tcPr>
            <w:tcW w:w="0" w:type="auto"/>
          </w:tcPr>
          <w:p w14:paraId="0DA10733" w14:textId="77777777" w:rsidR="00C64004" w:rsidRDefault="00000000">
            <w:pPr>
              <w:pStyle w:val="Compact"/>
            </w:pPr>
            <w:r>
              <w:t>24.3 (12.1–41.2)</w:t>
            </w:r>
          </w:p>
        </w:tc>
      </w:tr>
    </w:tbl>
    <w:p w14:paraId="4764D4A7" w14:textId="77777777" w:rsidR="00C64004" w:rsidRDefault="00000000">
      <w:pPr>
        <w:pStyle w:val="BodyText"/>
      </w:pPr>
      <w:r>
        <w:rPr>
          <w:b/>
          <w:bCs/>
        </w:rPr>
        <w:t>Table 2: Diseases with critical research gaps (Gap Score &gt;70)</w:t>
      </w:r>
    </w:p>
    <w:tbl>
      <w:tblPr>
        <w:tblStyle w:val="Table"/>
        <w:tblW w:w="0" w:type="auto"/>
        <w:tblLook w:val="0020" w:firstRow="1" w:lastRow="0" w:firstColumn="0" w:lastColumn="0" w:noHBand="0" w:noVBand="0"/>
      </w:tblPr>
      <w:tblGrid>
        <w:gridCol w:w="3211"/>
        <w:gridCol w:w="1958"/>
        <w:gridCol w:w="1484"/>
        <w:gridCol w:w="1235"/>
      </w:tblGrid>
      <w:tr w:rsidR="00C64004" w14:paraId="442F9B39" w14:textId="77777777" w:rsidTr="00C64004">
        <w:trPr>
          <w:cnfStyle w:val="100000000000" w:firstRow="1" w:lastRow="0" w:firstColumn="0" w:lastColumn="0" w:oddVBand="0" w:evenVBand="0" w:oddHBand="0" w:evenHBand="0" w:firstRowFirstColumn="0" w:firstRowLastColumn="0" w:lastRowFirstColumn="0" w:lastRowLastColumn="0"/>
          <w:tblHeader/>
        </w:trPr>
        <w:tc>
          <w:tcPr>
            <w:tcW w:w="0" w:type="auto"/>
          </w:tcPr>
          <w:p w14:paraId="023EE75C" w14:textId="77777777" w:rsidR="00C64004" w:rsidRDefault="00000000">
            <w:pPr>
              <w:pStyle w:val="Compact"/>
            </w:pPr>
            <w:r>
              <w:t>Disease Category</w:t>
            </w:r>
          </w:p>
        </w:tc>
        <w:tc>
          <w:tcPr>
            <w:tcW w:w="0" w:type="auto"/>
          </w:tcPr>
          <w:p w14:paraId="423E5BFC" w14:textId="77777777" w:rsidR="00C64004" w:rsidRDefault="00000000">
            <w:pPr>
              <w:pStyle w:val="Compact"/>
            </w:pPr>
            <w:r>
              <w:t>DALYs (millions)</w:t>
            </w:r>
          </w:p>
        </w:tc>
        <w:tc>
          <w:tcPr>
            <w:tcW w:w="0" w:type="auto"/>
          </w:tcPr>
          <w:p w14:paraId="6D5BA8CA" w14:textId="77777777" w:rsidR="00C64004" w:rsidRDefault="00000000">
            <w:pPr>
              <w:pStyle w:val="Compact"/>
            </w:pPr>
            <w:r>
              <w:t>Publications</w:t>
            </w:r>
          </w:p>
        </w:tc>
        <w:tc>
          <w:tcPr>
            <w:tcW w:w="0" w:type="auto"/>
          </w:tcPr>
          <w:p w14:paraId="706740D8" w14:textId="77777777" w:rsidR="00C64004" w:rsidRDefault="00000000">
            <w:pPr>
              <w:pStyle w:val="Compact"/>
            </w:pPr>
            <w:r>
              <w:t>Gap Score</w:t>
            </w:r>
          </w:p>
        </w:tc>
      </w:tr>
      <w:tr w:rsidR="00C64004" w14:paraId="7F23DBC7" w14:textId="77777777">
        <w:tc>
          <w:tcPr>
            <w:tcW w:w="0" w:type="auto"/>
          </w:tcPr>
          <w:p w14:paraId="7162C42D" w14:textId="77777777" w:rsidR="00C64004" w:rsidRDefault="00000000">
            <w:pPr>
              <w:pStyle w:val="Compact"/>
            </w:pPr>
            <w:r>
              <w:rPr>
                <w:b/>
                <w:bCs/>
              </w:rPr>
              <w:t>Infectious diseases</w:t>
            </w:r>
          </w:p>
        </w:tc>
        <w:tc>
          <w:tcPr>
            <w:tcW w:w="0" w:type="auto"/>
          </w:tcPr>
          <w:p w14:paraId="750CF6D1" w14:textId="77777777" w:rsidR="00C64004" w:rsidRDefault="00C64004">
            <w:pPr>
              <w:pStyle w:val="Compact"/>
            </w:pPr>
          </w:p>
        </w:tc>
        <w:tc>
          <w:tcPr>
            <w:tcW w:w="0" w:type="auto"/>
          </w:tcPr>
          <w:p w14:paraId="0D65B587" w14:textId="77777777" w:rsidR="00C64004" w:rsidRDefault="00C64004">
            <w:pPr>
              <w:pStyle w:val="Compact"/>
            </w:pPr>
          </w:p>
        </w:tc>
        <w:tc>
          <w:tcPr>
            <w:tcW w:w="0" w:type="auto"/>
          </w:tcPr>
          <w:p w14:paraId="11F1AA6D" w14:textId="77777777" w:rsidR="00C64004" w:rsidRDefault="00C64004">
            <w:pPr>
              <w:pStyle w:val="Compact"/>
            </w:pPr>
          </w:p>
        </w:tc>
      </w:tr>
      <w:tr w:rsidR="00C64004" w14:paraId="48EB8202" w14:textId="77777777">
        <w:tc>
          <w:tcPr>
            <w:tcW w:w="0" w:type="auto"/>
          </w:tcPr>
          <w:p w14:paraId="1DB36CBD" w14:textId="77777777" w:rsidR="00C64004" w:rsidRDefault="00000000">
            <w:pPr>
              <w:pStyle w:val="Compact"/>
            </w:pPr>
            <w:r>
              <w:t>Lower respiratory infections</w:t>
            </w:r>
          </w:p>
        </w:tc>
        <w:tc>
          <w:tcPr>
            <w:tcW w:w="0" w:type="auto"/>
          </w:tcPr>
          <w:p w14:paraId="075F437D" w14:textId="77777777" w:rsidR="00C64004" w:rsidRDefault="00000000">
            <w:pPr>
              <w:pStyle w:val="Compact"/>
            </w:pPr>
            <w:r>
              <w:t>63.4</w:t>
            </w:r>
          </w:p>
        </w:tc>
        <w:tc>
          <w:tcPr>
            <w:tcW w:w="0" w:type="auto"/>
          </w:tcPr>
          <w:p w14:paraId="6CACC80E" w14:textId="77777777" w:rsidR="00C64004" w:rsidRDefault="00000000">
            <w:pPr>
              <w:pStyle w:val="Compact"/>
            </w:pPr>
            <w:r>
              <w:t>89</w:t>
            </w:r>
          </w:p>
        </w:tc>
        <w:tc>
          <w:tcPr>
            <w:tcW w:w="0" w:type="auto"/>
          </w:tcPr>
          <w:p w14:paraId="3B83C363" w14:textId="77777777" w:rsidR="00C64004" w:rsidRDefault="00000000">
            <w:pPr>
              <w:pStyle w:val="Compact"/>
            </w:pPr>
            <w:r>
              <w:t>78</w:t>
            </w:r>
          </w:p>
        </w:tc>
      </w:tr>
      <w:tr w:rsidR="00C64004" w14:paraId="2ADA5B35" w14:textId="77777777">
        <w:tc>
          <w:tcPr>
            <w:tcW w:w="0" w:type="auto"/>
          </w:tcPr>
          <w:p w14:paraId="0DE766CA" w14:textId="77777777" w:rsidR="00C64004" w:rsidRDefault="00000000">
            <w:pPr>
              <w:pStyle w:val="Compact"/>
            </w:pPr>
            <w:r>
              <w:t>Malaria</w:t>
            </w:r>
          </w:p>
        </w:tc>
        <w:tc>
          <w:tcPr>
            <w:tcW w:w="0" w:type="auto"/>
          </w:tcPr>
          <w:p w14:paraId="015F019E" w14:textId="77777777" w:rsidR="00C64004" w:rsidRDefault="00000000">
            <w:pPr>
              <w:pStyle w:val="Compact"/>
            </w:pPr>
            <w:r>
              <w:t>55.2</w:t>
            </w:r>
          </w:p>
        </w:tc>
        <w:tc>
          <w:tcPr>
            <w:tcW w:w="0" w:type="auto"/>
          </w:tcPr>
          <w:p w14:paraId="34CDC0A6" w14:textId="77777777" w:rsidR="00C64004" w:rsidRDefault="00000000">
            <w:pPr>
              <w:pStyle w:val="Compact"/>
            </w:pPr>
            <w:r>
              <w:t>17</w:t>
            </w:r>
          </w:p>
        </w:tc>
        <w:tc>
          <w:tcPr>
            <w:tcW w:w="0" w:type="auto"/>
          </w:tcPr>
          <w:p w14:paraId="54646743" w14:textId="77777777" w:rsidR="00C64004" w:rsidRDefault="00000000">
            <w:pPr>
              <w:pStyle w:val="Compact"/>
            </w:pPr>
            <w:r>
              <w:t>88</w:t>
            </w:r>
          </w:p>
        </w:tc>
      </w:tr>
      <w:tr w:rsidR="00C64004" w14:paraId="424E68C2" w14:textId="77777777">
        <w:tc>
          <w:tcPr>
            <w:tcW w:w="0" w:type="auto"/>
          </w:tcPr>
          <w:p w14:paraId="15E9C4AB" w14:textId="77777777" w:rsidR="00C64004" w:rsidRDefault="00000000">
            <w:pPr>
              <w:pStyle w:val="Compact"/>
            </w:pPr>
            <w:r>
              <w:t>Diarrheal diseases</w:t>
            </w:r>
          </w:p>
        </w:tc>
        <w:tc>
          <w:tcPr>
            <w:tcW w:w="0" w:type="auto"/>
          </w:tcPr>
          <w:p w14:paraId="442A8161" w14:textId="77777777" w:rsidR="00C64004" w:rsidRDefault="00000000">
            <w:pPr>
              <w:pStyle w:val="Compact"/>
            </w:pPr>
            <w:r>
              <w:t>46.8</w:t>
            </w:r>
          </w:p>
        </w:tc>
        <w:tc>
          <w:tcPr>
            <w:tcW w:w="0" w:type="auto"/>
          </w:tcPr>
          <w:p w14:paraId="2DB234FD" w14:textId="77777777" w:rsidR="00C64004" w:rsidRDefault="00000000">
            <w:pPr>
              <w:pStyle w:val="Compact"/>
            </w:pPr>
            <w:r>
              <w:t>46</w:t>
            </w:r>
          </w:p>
        </w:tc>
        <w:tc>
          <w:tcPr>
            <w:tcW w:w="0" w:type="auto"/>
          </w:tcPr>
          <w:p w14:paraId="28A7A414" w14:textId="77777777" w:rsidR="00C64004" w:rsidRDefault="00000000">
            <w:pPr>
              <w:pStyle w:val="Compact"/>
            </w:pPr>
            <w:r>
              <w:t>85</w:t>
            </w:r>
          </w:p>
        </w:tc>
      </w:tr>
      <w:tr w:rsidR="00C64004" w14:paraId="7445A26D" w14:textId="77777777">
        <w:tc>
          <w:tcPr>
            <w:tcW w:w="0" w:type="auto"/>
          </w:tcPr>
          <w:p w14:paraId="5515BDFB" w14:textId="77777777" w:rsidR="00C64004" w:rsidRDefault="00000000">
            <w:pPr>
              <w:pStyle w:val="Compact"/>
            </w:pPr>
            <w:r>
              <w:t>Tuberculosis</w:t>
            </w:r>
          </w:p>
        </w:tc>
        <w:tc>
          <w:tcPr>
            <w:tcW w:w="0" w:type="auto"/>
          </w:tcPr>
          <w:p w14:paraId="3E26286A" w14:textId="77777777" w:rsidR="00C64004" w:rsidRDefault="00000000">
            <w:pPr>
              <w:pStyle w:val="Compact"/>
            </w:pPr>
            <w:r>
              <w:t>43.1</w:t>
            </w:r>
          </w:p>
        </w:tc>
        <w:tc>
          <w:tcPr>
            <w:tcW w:w="0" w:type="auto"/>
          </w:tcPr>
          <w:p w14:paraId="58E9495E" w14:textId="77777777" w:rsidR="00C64004" w:rsidRDefault="00000000">
            <w:pPr>
              <w:pStyle w:val="Compact"/>
            </w:pPr>
            <w:r>
              <w:t>42</w:t>
            </w:r>
          </w:p>
        </w:tc>
        <w:tc>
          <w:tcPr>
            <w:tcW w:w="0" w:type="auto"/>
          </w:tcPr>
          <w:p w14:paraId="08B07358" w14:textId="77777777" w:rsidR="00C64004" w:rsidRDefault="00000000">
            <w:pPr>
              <w:pStyle w:val="Compact"/>
            </w:pPr>
            <w:r>
              <w:t>83</w:t>
            </w:r>
          </w:p>
        </w:tc>
      </w:tr>
      <w:tr w:rsidR="00C64004" w14:paraId="3710D1D5" w14:textId="77777777">
        <w:tc>
          <w:tcPr>
            <w:tcW w:w="0" w:type="auto"/>
          </w:tcPr>
          <w:p w14:paraId="2E7516ED" w14:textId="77777777" w:rsidR="00C64004" w:rsidRDefault="00000000">
            <w:pPr>
              <w:pStyle w:val="Compact"/>
            </w:pPr>
            <w:r>
              <w:t>Typhoid and paratyphoid</w:t>
            </w:r>
          </w:p>
        </w:tc>
        <w:tc>
          <w:tcPr>
            <w:tcW w:w="0" w:type="auto"/>
          </w:tcPr>
          <w:p w14:paraId="5CFD4827" w14:textId="77777777" w:rsidR="00C64004" w:rsidRDefault="00000000">
            <w:pPr>
              <w:pStyle w:val="Compact"/>
            </w:pPr>
            <w:r>
              <w:t>7.2</w:t>
            </w:r>
          </w:p>
        </w:tc>
        <w:tc>
          <w:tcPr>
            <w:tcW w:w="0" w:type="auto"/>
          </w:tcPr>
          <w:p w14:paraId="7BC5F9FF" w14:textId="77777777" w:rsidR="00C64004" w:rsidRDefault="00000000">
            <w:pPr>
              <w:pStyle w:val="Compact"/>
            </w:pPr>
            <w:r>
              <w:t>21</w:t>
            </w:r>
          </w:p>
        </w:tc>
        <w:tc>
          <w:tcPr>
            <w:tcW w:w="0" w:type="auto"/>
          </w:tcPr>
          <w:p w14:paraId="7514B92C" w14:textId="77777777" w:rsidR="00C64004" w:rsidRDefault="00000000">
            <w:pPr>
              <w:pStyle w:val="Compact"/>
            </w:pPr>
            <w:r>
              <w:t>85</w:t>
            </w:r>
          </w:p>
        </w:tc>
      </w:tr>
      <w:tr w:rsidR="00C64004" w14:paraId="649E3602" w14:textId="77777777">
        <w:tc>
          <w:tcPr>
            <w:tcW w:w="0" w:type="auto"/>
          </w:tcPr>
          <w:p w14:paraId="1B4EB42B" w14:textId="77777777" w:rsidR="00C64004" w:rsidRDefault="00000000">
            <w:pPr>
              <w:pStyle w:val="Compact"/>
            </w:pPr>
            <w:r>
              <w:t>Encephalitis</w:t>
            </w:r>
          </w:p>
        </w:tc>
        <w:tc>
          <w:tcPr>
            <w:tcW w:w="0" w:type="auto"/>
          </w:tcPr>
          <w:p w14:paraId="35629CA7" w14:textId="77777777" w:rsidR="00C64004" w:rsidRDefault="00000000">
            <w:pPr>
              <w:pStyle w:val="Compact"/>
            </w:pPr>
            <w:r>
              <w:t>3.8</w:t>
            </w:r>
          </w:p>
        </w:tc>
        <w:tc>
          <w:tcPr>
            <w:tcW w:w="0" w:type="auto"/>
          </w:tcPr>
          <w:p w14:paraId="23209400" w14:textId="77777777" w:rsidR="00C64004" w:rsidRDefault="00000000">
            <w:pPr>
              <w:pStyle w:val="Compact"/>
            </w:pPr>
            <w:r>
              <w:t>4</w:t>
            </w:r>
          </w:p>
        </w:tc>
        <w:tc>
          <w:tcPr>
            <w:tcW w:w="0" w:type="auto"/>
          </w:tcPr>
          <w:p w14:paraId="33DA9BF8" w14:textId="77777777" w:rsidR="00C64004" w:rsidRDefault="00000000">
            <w:pPr>
              <w:pStyle w:val="Compact"/>
            </w:pPr>
            <w:r>
              <w:t>89</w:t>
            </w:r>
          </w:p>
        </w:tc>
      </w:tr>
      <w:tr w:rsidR="00C64004" w14:paraId="2C175E62" w14:textId="77777777">
        <w:tc>
          <w:tcPr>
            <w:tcW w:w="0" w:type="auto"/>
          </w:tcPr>
          <w:p w14:paraId="248ADE6B" w14:textId="77777777" w:rsidR="00C64004" w:rsidRDefault="00000000">
            <w:pPr>
              <w:pStyle w:val="Compact"/>
            </w:pPr>
            <w:r>
              <w:rPr>
                <w:b/>
                <w:bCs/>
              </w:rPr>
              <w:t>Neglected tropical diseases</w:t>
            </w:r>
          </w:p>
        </w:tc>
        <w:tc>
          <w:tcPr>
            <w:tcW w:w="0" w:type="auto"/>
          </w:tcPr>
          <w:p w14:paraId="7E8373BA" w14:textId="77777777" w:rsidR="00C64004" w:rsidRDefault="00C64004">
            <w:pPr>
              <w:pStyle w:val="Compact"/>
            </w:pPr>
          </w:p>
        </w:tc>
        <w:tc>
          <w:tcPr>
            <w:tcW w:w="0" w:type="auto"/>
          </w:tcPr>
          <w:p w14:paraId="13FBA401" w14:textId="77777777" w:rsidR="00C64004" w:rsidRDefault="00C64004">
            <w:pPr>
              <w:pStyle w:val="Compact"/>
            </w:pPr>
          </w:p>
        </w:tc>
        <w:tc>
          <w:tcPr>
            <w:tcW w:w="0" w:type="auto"/>
          </w:tcPr>
          <w:p w14:paraId="37CF7063" w14:textId="77777777" w:rsidR="00C64004" w:rsidRDefault="00C64004">
            <w:pPr>
              <w:pStyle w:val="Compact"/>
            </w:pPr>
          </w:p>
        </w:tc>
      </w:tr>
      <w:tr w:rsidR="00C64004" w14:paraId="65C7F77E" w14:textId="77777777">
        <w:tc>
          <w:tcPr>
            <w:tcW w:w="0" w:type="auto"/>
          </w:tcPr>
          <w:p w14:paraId="178C95F8" w14:textId="77777777" w:rsidR="00C64004" w:rsidRDefault="00000000">
            <w:pPr>
              <w:pStyle w:val="Compact"/>
            </w:pPr>
            <w:r>
              <w:t>Dengue</w:t>
            </w:r>
          </w:p>
        </w:tc>
        <w:tc>
          <w:tcPr>
            <w:tcW w:w="0" w:type="auto"/>
          </w:tcPr>
          <w:p w14:paraId="0761FFB2" w14:textId="77777777" w:rsidR="00C64004" w:rsidRDefault="00000000">
            <w:pPr>
              <w:pStyle w:val="Compact"/>
            </w:pPr>
            <w:r>
              <w:t>2.1</w:t>
            </w:r>
          </w:p>
        </w:tc>
        <w:tc>
          <w:tcPr>
            <w:tcW w:w="0" w:type="auto"/>
          </w:tcPr>
          <w:p w14:paraId="559B16C5" w14:textId="77777777" w:rsidR="00C64004" w:rsidRDefault="00000000">
            <w:pPr>
              <w:pStyle w:val="Compact"/>
            </w:pPr>
            <w:r>
              <w:t>3</w:t>
            </w:r>
          </w:p>
        </w:tc>
        <w:tc>
          <w:tcPr>
            <w:tcW w:w="0" w:type="auto"/>
          </w:tcPr>
          <w:p w14:paraId="39C56BDE" w14:textId="77777777" w:rsidR="00C64004" w:rsidRDefault="00000000">
            <w:pPr>
              <w:pStyle w:val="Compact"/>
            </w:pPr>
            <w:r>
              <w:t>91</w:t>
            </w:r>
          </w:p>
        </w:tc>
      </w:tr>
      <w:tr w:rsidR="00C64004" w14:paraId="5DAA90AD" w14:textId="77777777">
        <w:tc>
          <w:tcPr>
            <w:tcW w:w="0" w:type="auto"/>
          </w:tcPr>
          <w:p w14:paraId="436E806E" w14:textId="77777777" w:rsidR="00C64004" w:rsidRDefault="00000000">
            <w:pPr>
              <w:pStyle w:val="Compact"/>
            </w:pPr>
            <w:r>
              <w:t>Schistosomiasis</w:t>
            </w:r>
          </w:p>
        </w:tc>
        <w:tc>
          <w:tcPr>
            <w:tcW w:w="0" w:type="auto"/>
          </w:tcPr>
          <w:p w14:paraId="0141C5C5" w14:textId="77777777" w:rsidR="00C64004" w:rsidRDefault="00000000">
            <w:pPr>
              <w:pStyle w:val="Compact"/>
            </w:pPr>
            <w:r>
              <w:t>1.8</w:t>
            </w:r>
          </w:p>
        </w:tc>
        <w:tc>
          <w:tcPr>
            <w:tcW w:w="0" w:type="auto"/>
          </w:tcPr>
          <w:p w14:paraId="534CC6D2" w14:textId="77777777" w:rsidR="00C64004" w:rsidRDefault="00000000">
            <w:pPr>
              <w:pStyle w:val="Compact"/>
            </w:pPr>
            <w:r>
              <w:t>1</w:t>
            </w:r>
          </w:p>
        </w:tc>
        <w:tc>
          <w:tcPr>
            <w:tcW w:w="0" w:type="auto"/>
          </w:tcPr>
          <w:p w14:paraId="43743F3B" w14:textId="77777777" w:rsidR="00C64004" w:rsidRDefault="00000000">
            <w:pPr>
              <w:pStyle w:val="Compact"/>
            </w:pPr>
            <w:r>
              <w:t>94</w:t>
            </w:r>
          </w:p>
        </w:tc>
      </w:tr>
      <w:tr w:rsidR="00C64004" w14:paraId="41D88031" w14:textId="77777777">
        <w:tc>
          <w:tcPr>
            <w:tcW w:w="0" w:type="auto"/>
          </w:tcPr>
          <w:p w14:paraId="737D194E" w14:textId="77777777" w:rsidR="00C64004" w:rsidRDefault="00000000">
            <w:pPr>
              <w:pStyle w:val="Compact"/>
            </w:pPr>
            <w:r>
              <w:t>Lymphatic filariasis</w:t>
            </w:r>
          </w:p>
        </w:tc>
        <w:tc>
          <w:tcPr>
            <w:tcW w:w="0" w:type="auto"/>
          </w:tcPr>
          <w:p w14:paraId="2140CB16" w14:textId="77777777" w:rsidR="00C64004" w:rsidRDefault="00000000">
            <w:pPr>
              <w:pStyle w:val="Compact"/>
            </w:pPr>
            <w:r>
              <w:t>1.3</w:t>
            </w:r>
          </w:p>
        </w:tc>
        <w:tc>
          <w:tcPr>
            <w:tcW w:w="0" w:type="auto"/>
          </w:tcPr>
          <w:p w14:paraId="4DBBC74F" w14:textId="77777777" w:rsidR="00C64004" w:rsidRDefault="00000000">
            <w:pPr>
              <w:pStyle w:val="Compact"/>
            </w:pPr>
            <w:r>
              <w:t>1</w:t>
            </w:r>
          </w:p>
        </w:tc>
        <w:tc>
          <w:tcPr>
            <w:tcW w:w="0" w:type="auto"/>
          </w:tcPr>
          <w:p w14:paraId="37DA0402" w14:textId="77777777" w:rsidR="00C64004" w:rsidRDefault="00000000">
            <w:pPr>
              <w:pStyle w:val="Compact"/>
            </w:pPr>
            <w:r>
              <w:t>94</w:t>
            </w:r>
          </w:p>
        </w:tc>
      </w:tr>
      <w:tr w:rsidR="00C64004" w14:paraId="37578A2E" w14:textId="77777777">
        <w:tc>
          <w:tcPr>
            <w:tcW w:w="0" w:type="auto"/>
          </w:tcPr>
          <w:p w14:paraId="29BAABDF" w14:textId="77777777" w:rsidR="00C64004" w:rsidRDefault="00000000">
            <w:pPr>
              <w:pStyle w:val="Compact"/>
            </w:pPr>
            <w:r>
              <w:t>Leishmaniasis</w:t>
            </w:r>
          </w:p>
        </w:tc>
        <w:tc>
          <w:tcPr>
            <w:tcW w:w="0" w:type="auto"/>
          </w:tcPr>
          <w:p w14:paraId="79605C34" w14:textId="77777777" w:rsidR="00C64004" w:rsidRDefault="00000000">
            <w:pPr>
              <w:pStyle w:val="Compact"/>
            </w:pPr>
            <w:r>
              <w:t>0.9</w:t>
            </w:r>
          </w:p>
        </w:tc>
        <w:tc>
          <w:tcPr>
            <w:tcW w:w="0" w:type="auto"/>
          </w:tcPr>
          <w:p w14:paraId="00BE4110" w14:textId="77777777" w:rsidR="00C64004" w:rsidRDefault="00000000">
            <w:pPr>
              <w:pStyle w:val="Compact"/>
            </w:pPr>
            <w:r>
              <w:t>2</w:t>
            </w:r>
          </w:p>
        </w:tc>
        <w:tc>
          <w:tcPr>
            <w:tcW w:w="0" w:type="auto"/>
          </w:tcPr>
          <w:p w14:paraId="1DD2B431" w14:textId="77777777" w:rsidR="00C64004" w:rsidRDefault="00000000">
            <w:pPr>
              <w:pStyle w:val="Compact"/>
            </w:pPr>
            <w:r>
              <w:t>92</w:t>
            </w:r>
          </w:p>
        </w:tc>
      </w:tr>
      <w:tr w:rsidR="00C64004" w14:paraId="3AC73C64" w14:textId="77777777">
        <w:tc>
          <w:tcPr>
            <w:tcW w:w="0" w:type="auto"/>
          </w:tcPr>
          <w:p w14:paraId="345CC58A" w14:textId="77777777" w:rsidR="00C64004" w:rsidRDefault="00000000">
            <w:pPr>
              <w:pStyle w:val="Compact"/>
            </w:pPr>
            <w:r>
              <w:t>Cysticercosis</w:t>
            </w:r>
          </w:p>
        </w:tc>
        <w:tc>
          <w:tcPr>
            <w:tcW w:w="0" w:type="auto"/>
          </w:tcPr>
          <w:p w14:paraId="6613118D" w14:textId="77777777" w:rsidR="00C64004" w:rsidRDefault="00000000">
            <w:pPr>
              <w:pStyle w:val="Compact"/>
            </w:pPr>
            <w:r>
              <w:t>1.2</w:t>
            </w:r>
          </w:p>
        </w:tc>
        <w:tc>
          <w:tcPr>
            <w:tcW w:w="0" w:type="auto"/>
          </w:tcPr>
          <w:p w14:paraId="049546F0" w14:textId="77777777" w:rsidR="00C64004" w:rsidRDefault="00000000">
            <w:pPr>
              <w:pStyle w:val="Compact"/>
            </w:pPr>
            <w:r>
              <w:t>2</w:t>
            </w:r>
          </w:p>
        </w:tc>
        <w:tc>
          <w:tcPr>
            <w:tcW w:w="0" w:type="auto"/>
          </w:tcPr>
          <w:p w14:paraId="6DCF0A33" w14:textId="77777777" w:rsidR="00C64004" w:rsidRDefault="00000000">
            <w:pPr>
              <w:pStyle w:val="Compact"/>
            </w:pPr>
            <w:r>
              <w:t>92</w:t>
            </w:r>
          </w:p>
        </w:tc>
      </w:tr>
      <w:tr w:rsidR="00C64004" w14:paraId="2D648A68" w14:textId="77777777">
        <w:tc>
          <w:tcPr>
            <w:tcW w:w="0" w:type="auto"/>
          </w:tcPr>
          <w:p w14:paraId="08649788" w14:textId="77777777" w:rsidR="00C64004" w:rsidRDefault="00000000">
            <w:pPr>
              <w:pStyle w:val="Compact"/>
            </w:pPr>
            <w:r>
              <w:rPr>
                <w:b/>
                <w:bCs/>
              </w:rPr>
              <w:t>Neonatal and maternal</w:t>
            </w:r>
          </w:p>
        </w:tc>
        <w:tc>
          <w:tcPr>
            <w:tcW w:w="0" w:type="auto"/>
          </w:tcPr>
          <w:p w14:paraId="1615EFA9" w14:textId="77777777" w:rsidR="00C64004" w:rsidRDefault="00C64004">
            <w:pPr>
              <w:pStyle w:val="Compact"/>
            </w:pPr>
          </w:p>
        </w:tc>
        <w:tc>
          <w:tcPr>
            <w:tcW w:w="0" w:type="auto"/>
          </w:tcPr>
          <w:p w14:paraId="6297E329" w14:textId="77777777" w:rsidR="00C64004" w:rsidRDefault="00C64004">
            <w:pPr>
              <w:pStyle w:val="Compact"/>
            </w:pPr>
          </w:p>
        </w:tc>
        <w:tc>
          <w:tcPr>
            <w:tcW w:w="0" w:type="auto"/>
          </w:tcPr>
          <w:p w14:paraId="77F281A5" w14:textId="77777777" w:rsidR="00C64004" w:rsidRDefault="00C64004">
            <w:pPr>
              <w:pStyle w:val="Compact"/>
            </w:pPr>
          </w:p>
        </w:tc>
      </w:tr>
      <w:tr w:rsidR="00C64004" w14:paraId="555985EB" w14:textId="77777777">
        <w:tc>
          <w:tcPr>
            <w:tcW w:w="0" w:type="auto"/>
          </w:tcPr>
          <w:p w14:paraId="051E8E2D" w14:textId="77777777" w:rsidR="00C64004" w:rsidRDefault="00000000">
            <w:pPr>
              <w:pStyle w:val="Compact"/>
            </w:pPr>
            <w:r>
              <w:t>Neonatal disorders</w:t>
            </w:r>
          </w:p>
        </w:tc>
        <w:tc>
          <w:tcPr>
            <w:tcW w:w="0" w:type="auto"/>
          </w:tcPr>
          <w:p w14:paraId="00411863" w14:textId="77777777" w:rsidR="00C64004" w:rsidRDefault="00000000">
            <w:pPr>
              <w:pStyle w:val="Compact"/>
            </w:pPr>
            <w:r>
              <w:t>35.2</w:t>
            </w:r>
          </w:p>
        </w:tc>
        <w:tc>
          <w:tcPr>
            <w:tcW w:w="0" w:type="auto"/>
          </w:tcPr>
          <w:p w14:paraId="5C513EBE" w14:textId="77777777" w:rsidR="00C64004" w:rsidRDefault="00000000">
            <w:pPr>
              <w:pStyle w:val="Compact"/>
            </w:pPr>
            <w:r>
              <w:t>156</w:t>
            </w:r>
          </w:p>
        </w:tc>
        <w:tc>
          <w:tcPr>
            <w:tcW w:w="0" w:type="auto"/>
          </w:tcPr>
          <w:p w14:paraId="33E0E262" w14:textId="77777777" w:rsidR="00C64004" w:rsidRDefault="00000000">
            <w:pPr>
              <w:pStyle w:val="Compact"/>
            </w:pPr>
            <w:r>
              <w:t>72</w:t>
            </w:r>
          </w:p>
        </w:tc>
      </w:tr>
      <w:tr w:rsidR="00C64004" w14:paraId="0FCA478F" w14:textId="77777777">
        <w:tc>
          <w:tcPr>
            <w:tcW w:w="0" w:type="auto"/>
          </w:tcPr>
          <w:p w14:paraId="66736AAD" w14:textId="77777777" w:rsidR="00C64004" w:rsidRDefault="00000000">
            <w:pPr>
              <w:pStyle w:val="Compact"/>
            </w:pPr>
            <w:r>
              <w:t>Maternal disorders</w:t>
            </w:r>
          </w:p>
        </w:tc>
        <w:tc>
          <w:tcPr>
            <w:tcW w:w="0" w:type="auto"/>
          </w:tcPr>
          <w:p w14:paraId="74D054AC" w14:textId="77777777" w:rsidR="00C64004" w:rsidRDefault="00000000">
            <w:pPr>
              <w:pStyle w:val="Compact"/>
            </w:pPr>
            <w:r>
              <w:t>18.7</w:t>
            </w:r>
          </w:p>
        </w:tc>
        <w:tc>
          <w:tcPr>
            <w:tcW w:w="0" w:type="auto"/>
          </w:tcPr>
          <w:p w14:paraId="774D44EA" w14:textId="77777777" w:rsidR="00C64004" w:rsidRDefault="00000000">
            <w:pPr>
              <w:pStyle w:val="Compact"/>
            </w:pPr>
            <w:r>
              <w:t>89</w:t>
            </w:r>
          </w:p>
        </w:tc>
        <w:tc>
          <w:tcPr>
            <w:tcW w:w="0" w:type="auto"/>
          </w:tcPr>
          <w:p w14:paraId="6A59BD91" w14:textId="77777777" w:rsidR="00C64004" w:rsidRDefault="00000000">
            <w:pPr>
              <w:pStyle w:val="Compact"/>
            </w:pPr>
            <w:r>
              <w:t>75</w:t>
            </w:r>
          </w:p>
        </w:tc>
      </w:tr>
      <w:tr w:rsidR="00C64004" w14:paraId="3A02DDAC" w14:textId="77777777">
        <w:tc>
          <w:tcPr>
            <w:tcW w:w="0" w:type="auto"/>
          </w:tcPr>
          <w:p w14:paraId="5E27F14B" w14:textId="77777777" w:rsidR="00C64004" w:rsidRDefault="00000000">
            <w:pPr>
              <w:pStyle w:val="Compact"/>
            </w:pPr>
            <w:r>
              <w:rPr>
                <w:b/>
                <w:bCs/>
              </w:rPr>
              <w:t>Nutritional deficiencies</w:t>
            </w:r>
          </w:p>
        </w:tc>
        <w:tc>
          <w:tcPr>
            <w:tcW w:w="0" w:type="auto"/>
          </w:tcPr>
          <w:p w14:paraId="3D60BADD" w14:textId="77777777" w:rsidR="00C64004" w:rsidRDefault="00C64004">
            <w:pPr>
              <w:pStyle w:val="Compact"/>
            </w:pPr>
          </w:p>
        </w:tc>
        <w:tc>
          <w:tcPr>
            <w:tcW w:w="0" w:type="auto"/>
          </w:tcPr>
          <w:p w14:paraId="42ED8A59" w14:textId="77777777" w:rsidR="00C64004" w:rsidRDefault="00C64004">
            <w:pPr>
              <w:pStyle w:val="Compact"/>
            </w:pPr>
          </w:p>
        </w:tc>
        <w:tc>
          <w:tcPr>
            <w:tcW w:w="0" w:type="auto"/>
          </w:tcPr>
          <w:p w14:paraId="2DE15EE9" w14:textId="77777777" w:rsidR="00C64004" w:rsidRDefault="00C64004">
            <w:pPr>
              <w:pStyle w:val="Compact"/>
            </w:pPr>
          </w:p>
        </w:tc>
      </w:tr>
      <w:tr w:rsidR="00C64004" w14:paraId="363B68CD" w14:textId="77777777">
        <w:tc>
          <w:tcPr>
            <w:tcW w:w="0" w:type="auto"/>
          </w:tcPr>
          <w:p w14:paraId="1AFEDED6" w14:textId="77777777" w:rsidR="00C64004" w:rsidRDefault="00000000">
            <w:pPr>
              <w:pStyle w:val="Compact"/>
            </w:pPr>
            <w:r>
              <w:t>Protein-energy malnutrition</w:t>
            </w:r>
          </w:p>
        </w:tc>
        <w:tc>
          <w:tcPr>
            <w:tcW w:w="0" w:type="auto"/>
          </w:tcPr>
          <w:p w14:paraId="3EB778EE" w14:textId="77777777" w:rsidR="00C64004" w:rsidRDefault="00000000">
            <w:pPr>
              <w:pStyle w:val="Compact"/>
            </w:pPr>
            <w:r>
              <w:t>12.4</w:t>
            </w:r>
          </w:p>
        </w:tc>
        <w:tc>
          <w:tcPr>
            <w:tcW w:w="0" w:type="auto"/>
          </w:tcPr>
          <w:p w14:paraId="1FA71D5A" w14:textId="77777777" w:rsidR="00C64004" w:rsidRDefault="00000000">
            <w:pPr>
              <w:pStyle w:val="Compact"/>
            </w:pPr>
            <w:r>
              <w:t>34</w:t>
            </w:r>
          </w:p>
        </w:tc>
        <w:tc>
          <w:tcPr>
            <w:tcW w:w="0" w:type="auto"/>
          </w:tcPr>
          <w:p w14:paraId="691DC5D5" w14:textId="77777777" w:rsidR="00C64004" w:rsidRDefault="00000000">
            <w:pPr>
              <w:pStyle w:val="Compact"/>
            </w:pPr>
            <w:r>
              <w:t>80</w:t>
            </w:r>
          </w:p>
        </w:tc>
      </w:tr>
      <w:tr w:rsidR="00C64004" w14:paraId="1ABCB7A6" w14:textId="77777777">
        <w:tc>
          <w:tcPr>
            <w:tcW w:w="0" w:type="auto"/>
          </w:tcPr>
          <w:p w14:paraId="203053F2" w14:textId="77777777" w:rsidR="00C64004" w:rsidRDefault="00000000">
            <w:pPr>
              <w:pStyle w:val="Compact"/>
            </w:pPr>
            <w:r>
              <w:t>Iodine deficiency</w:t>
            </w:r>
          </w:p>
        </w:tc>
        <w:tc>
          <w:tcPr>
            <w:tcW w:w="0" w:type="auto"/>
          </w:tcPr>
          <w:p w14:paraId="79112BB9" w14:textId="77777777" w:rsidR="00C64004" w:rsidRDefault="00000000">
            <w:pPr>
              <w:pStyle w:val="Compact"/>
            </w:pPr>
            <w:r>
              <w:t>2.3</w:t>
            </w:r>
          </w:p>
        </w:tc>
        <w:tc>
          <w:tcPr>
            <w:tcW w:w="0" w:type="auto"/>
          </w:tcPr>
          <w:p w14:paraId="22C75CFB" w14:textId="77777777" w:rsidR="00C64004" w:rsidRDefault="00000000">
            <w:pPr>
              <w:pStyle w:val="Compact"/>
            </w:pPr>
            <w:r>
              <w:t>10</w:t>
            </w:r>
          </w:p>
        </w:tc>
        <w:tc>
          <w:tcPr>
            <w:tcW w:w="0" w:type="auto"/>
          </w:tcPr>
          <w:p w14:paraId="5546DDED" w14:textId="77777777" w:rsidR="00C64004" w:rsidRDefault="00000000">
            <w:pPr>
              <w:pStyle w:val="Compact"/>
            </w:pPr>
            <w:r>
              <w:t>85</w:t>
            </w:r>
          </w:p>
        </w:tc>
      </w:tr>
    </w:tbl>
    <w:p w14:paraId="54DE1A05" w14:textId="77777777" w:rsidR="00C64004" w:rsidRDefault="00000000">
      <w:pPr>
        <w:pStyle w:val="BodyText"/>
      </w:pPr>
      <w:r>
        <w:rPr>
          <w:i/>
          <w:iCs/>
        </w:rPr>
        <w:t>Full disease list with gap scores available at https://manuelcorpas.github.io/17-EHR/</w:t>
      </w:r>
    </w:p>
    <w:p w14:paraId="67990CED" w14:textId="77777777" w:rsidR="00C64004" w:rsidRDefault="00000000">
      <w:pPr>
        <w:pStyle w:val="BodyText"/>
      </w:pPr>
      <w:r>
        <w:rPr>
          <w:b/>
          <w:bCs/>
        </w:rPr>
        <w:t>Table 3: Top 15 biobanks by Equity Alignment Score</w:t>
      </w:r>
    </w:p>
    <w:tbl>
      <w:tblPr>
        <w:tblStyle w:val="Table"/>
        <w:tblW w:w="5000" w:type="pct"/>
        <w:tblLook w:val="0020" w:firstRow="1" w:lastRow="0" w:firstColumn="0" w:lastColumn="0" w:noHBand="0" w:noVBand="0"/>
      </w:tblPr>
      <w:tblGrid>
        <w:gridCol w:w="743"/>
        <w:gridCol w:w="2821"/>
        <w:gridCol w:w="1828"/>
        <w:gridCol w:w="978"/>
        <w:gridCol w:w="1484"/>
        <w:gridCol w:w="1722"/>
      </w:tblGrid>
      <w:tr w:rsidR="00C64004" w14:paraId="4F6DC615" w14:textId="77777777" w:rsidTr="00C64004">
        <w:trPr>
          <w:cnfStyle w:val="100000000000" w:firstRow="1" w:lastRow="0" w:firstColumn="0" w:lastColumn="0" w:oddVBand="0" w:evenVBand="0" w:oddHBand="0" w:evenHBand="0" w:firstRowFirstColumn="0" w:firstRowLastColumn="0" w:lastRowFirstColumn="0" w:lastRowLastColumn="0"/>
          <w:tblHeader/>
        </w:trPr>
        <w:tc>
          <w:tcPr>
            <w:tcW w:w="0" w:type="auto"/>
          </w:tcPr>
          <w:p w14:paraId="7591DB80" w14:textId="77777777" w:rsidR="00C64004" w:rsidRDefault="00000000">
            <w:pPr>
              <w:pStyle w:val="Compact"/>
            </w:pPr>
            <w:r>
              <w:lastRenderedPageBreak/>
              <w:t>Rank</w:t>
            </w:r>
          </w:p>
        </w:tc>
        <w:tc>
          <w:tcPr>
            <w:tcW w:w="0" w:type="auto"/>
          </w:tcPr>
          <w:p w14:paraId="779EC3EB" w14:textId="77777777" w:rsidR="00C64004" w:rsidRDefault="00000000">
            <w:pPr>
              <w:pStyle w:val="Compact"/>
            </w:pPr>
            <w:r>
              <w:t>Biobank</w:t>
            </w:r>
          </w:p>
        </w:tc>
        <w:tc>
          <w:tcPr>
            <w:tcW w:w="0" w:type="auto"/>
          </w:tcPr>
          <w:p w14:paraId="20CF0955" w14:textId="77777777" w:rsidR="00C64004" w:rsidRDefault="00000000">
            <w:pPr>
              <w:pStyle w:val="Compact"/>
            </w:pPr>
            <w:r>
              <w:t>Country</w:t>
            </w:r>
          </w:p>
        </w:tc>
        <w:tc>
          <w:tcPr>
            <w:tcW w:w="0" w:type="auto"/>
          </w:tcPr>
          <w:p w14:paraId="41A5B834" w14:textId="77777777" w:rsidR="00C64004" w:rsidRDefault="00000000">
            <w:pPr>
              <w:pStyle w:val="Compact"/>
            </w:pPr>
            <w:r>
              <w:t>Income</w:t>
            </w:r>
          </w:p>
        </w:tc>
        <w:tc>
          <w:tcPr>
            <w:tcW w:w="0" w:type="auto"/>
          </w:tcPr>
          <w:p w14:paraId="0D9870D2" w14:textId="77777777" w:rsidR="00C64004" w:rsidRDefault="00000000">
            <w:pPr>
              <w:pStyle w:val="Compact"/>
            </w:pPr>
            <w:r>
              <w:t>Publications</w:t>
            </w:r>
          </w:p>
        </w:tc>
        <w:tc>
          <w:tcPr>
            <w:tcW w:w="0" w:type="auto"/>
          </w:tcPr>
          <w:p w14:paraId="2C2CD82B" w14:textId="77777777" w:rsidR="00C64004" w:rsidRDefault="00000000">
            <w:pPr>
              <w:pStyle w:val="Compact"/>
            </w:pPr>
            <w:r>
              <w:t>EAS (95% CI)</w:t>
            </w:r>
          </w:p>
        </w:tc>
      </w:tr>
      <w:tr w:rsidR="00C64004" w14:paraId="24B39499" w14:textId="77777777">
        <w:tc>
          <w:tcPr>
            <w:tcW w:w="0" w:type="auto"/>
          </w:tcPr>
          <w:p w14:paraId="4154F303" w14:textId="77777777" w:rsidR="00C64004" w:rsidRDefault="00000000">
            <w:pPr>
              <w:pStyle w:val="Compact"/>
            </w:pPr>
            <w:r>
              <w:t>1</w:t>
            </w:r>
          </w:p>
        </w:tc>
        <w:tc>
          <w:tcPr>
            <w:tcW w:w="0" w:type="auto"/>
          </w:tcPr>
          <w:p w14:paraId="72FB9CB1" w14:textId="77777777" w:rsidR="00C64004" w:rsidRDefault="00000000">
            <w:pPr>
              <w:pStyle w:val="Compact"/>
            </w:pPr>
            <w:r>
              <w:t>UK Biobank</w:t>
            </w:r>
          </w:p>
        </w:tc>
        <w:tc>
          <w:tcPr>
            <w:tcW w:w="0" w:type="auto"/>
          </w:tcPr>
          <w:p w14:paraId="39B73401" w14:textId="77777777" w:rsidR="00C64004" w:rsidRDefault="00000000">
            <w:pPr>
              <w:pStyle w:val="Compact"/>
            </w:pPr>
            <w:r>
              <w:t>United Kingdom</w:t>
            </w:r>
          </w:p>
        </w:tc>
        <w:tc>
          <w:tcPr>
            <w:tcW w:w="0" w:type="auto"/>
          </w:tcPr>
          <w:p w14:paraId="4452CE06" w14:textId="77777777" w:rsidR="00C64004" w:rsidRDefault="00000000">
            <w:pPr>
              <w:pStyle w:val="Compact"/>
            </w:pPr>
            <w:r>
              <w:t>HIC</w:t>
            </w:r>
          </w:p>
        </w:tc>
        <w:tc>
          <w:tcPr>
            <w:tcW w:w="0" w:type="auto"/>
          </w:tcPr>
          <w:p w14:paraId="37B696D8" w14:textId="77777777" w:rsidR="00C64004" w:rsidRDefault="00000000">
            <w:pPr>
              <w:pStyle w:val="Compact"/>
            </w:pPr>
            <w:r>
              <w:t>13,785</w:t>
            </w:r>
          </w:p>
        </w:tc>
        <w:tc>
          <w:tcPr>
            <w:tcW w:w="0" w:type="auto"/>
          </w:tcPr>
          <w:p w14:paraId="72C5AE10" w14:textId="77777777" w:rsidR="00C64004" w:rsidRDefault="00000000">
            <w:pPr>
              <w:pStyle w:val="Compact"/>
            </w:pPr>
            <w:r>
              <w:t>84.6 (82.1–87.1)</w:t>
            </w:r>
          </w:p>
        </w:tc>
      </w:tr>
      <w:tr w:rsidR="00C64004" w14:paraId="68C15658" w14:textId="77777777">
        <w:tc>
          <w:tcPr>
            <w:tcW w:w="0" w:type="auto"/>
          </w:tcPr>
          <w:p w14:paraId="185883EE" w14:textId="77777777" w:rsidR="00C64004" w:rsidRDefault="00000000">
            <w:pPr>
              <w:pStyle w:val="Compact"/>
            </w:pPr>
            <w:r>
              <w:t>2</w:t>
            </w:r>
          </w:p>
        </w:tc>
        <w:tc>
          <w:tcPr>
            <w:tcW w:w="0" w:type="auto"/>
          </w:tcPr>
          <w:p w14:paraId="16CA0CD7" w14:textId="77777777" w:rsidR="00C64004" w:rsidRDefault="00000000">
            <w:pPr>
              <w:pStyle w:val="Compact"/>
            </w:pPr>
            <w:r>
              <w:t>Nurses’ Health Study</w:t>
            </w:r>
          </w:p>
        </w:tc>
        <w:tc>
          <w:tcPr>
            <w:tcW w:w="0" w:type="auto"/>
          </w:tcPr>
          <w:p w14:paraId="605B639A" w14:textId="77777777" w:rsidR="00C64004" w:rsidRDefault="00000000">
            <w:pPr>
              <w:pStyle w:val="Compact"/>
            </w:pPr>
            <w:r>
              <w:t>United States</w:t>
            </w:r>
          </w:p>
        </w:tc>
        <w:tc>
          <w:tcPr>
            <w:tcW w:w="0" w:type="auto"/>
          </w:tcPr>
          <w:p w14:paraId="2D09006F" w14:textId="77777777" w:rsidR="00C64004" w:rsidRDefault="00000000">
            <w:pPr>
              <w:pStyle w:val="Compact"/>
            </w:pPr>
            <w:r>
              <w:t>HIC</w:t>
            </w:r>
          </w:p>
        </w:tc>
        <w:tc>
          <w:tcPr>
            <w:tcW w:w="0" w:type="auto"/>
          </w:tcPr>
          <w:p w14:paraId="4D6274F8" w14:textId="77777777" w:rsidR="00C64004" w:rsidRDefault="00000000">
            <w:pPr>
              <w:pStyle w:val="Compact"/>
            </w:pPr>
            <w:r>
              <w:t>3,197</w:t>
            </w:r>
          </w:p>
        </w:tc>
        <w:tc>
          <w:tcPr>
            <w:tcW w:w="0" w:type="auto"/>
          </w:tcPr>
          <w:p w14:paraId="552E3558" w14:textId="77777777" w:rsidR="00C64004" w:rsidRDefault="00000000">
            <w:pPr>
              <w:pStyle w:val="Compact"/>
            </w:pPr>
            <w:r>
              <w:t>55.2 (53.0–57.4)</w:t>
            </w:r>
          </w:p>
        </w:tc>
      </w:tr>
      <w:tr w:rsidR="00C64004" w14:paraId="4DCF378B" w14:textId="77777777">
        <w:tc>
          <w:tcPr>
            <w:tcW w:w="0" w:type="auto"/>
          </w:tcPr>
          <w:p w14:paraId="5C1A64F4" w14:textId="77777777" w:rsidR="00C64004" w:rsidRDefault="00000000">
            <w:pPr>
              <w:pStyle w:val="Compact"/>
            </w:pPr>
            <w:r>
              <w:t>3</w:t>
            </w:r>
          </w:p>
        </w:tc>
        <w:tc>
          <w:tcPr>
            <w:tcW w:w="0" w:type="auto"/>
          </w:tcPr>
          <w:p w14:paraId="7B9FCF8F" w14:textId="77777777" w:rsidR="00C64004" w:rsidRDefault="00000000">
            <w:pPr>
              <w:pStyle w:val="Compact"/>
            </w:pPr>
            <w:r>
              <w:t>Women’s Health Initiative</w:t>
            </w:r>
          </w:p>
        </w:tc>
        <w:tc>
          <w:tcPr>
            <w:tcW w:w="0" w:type="auto"/>
          </w:tcPr>
          <w:p w14:paraId="3CEAA8DF" w14:textId="77777777" w:rsidR="00C64004" w:rsidRDefault="00000000">
            <w:pPr>
              <w:pStyle w:val="Compact"/>
            </w:pPr>
            <w:r>
              <w:t>United States</w:t>
            </w:r>
          </w:p>
        </w:tc>
        <w:tc>
          <w:tcPr>
            <w:tcW w:w="0" w:type="auto"/>
          </w:tcPr>
          <w:p w14:paraId="115D3986" w14:textId="77777777" w:rsidR="00C64004" w:rsidRDefault="00000000">
            <w:pPr>
              <w:pStyle w:val="Compact"/>
            </w:pPr>
            <w:r>
              <w:t>HIC</w:t>
            </w:r>
          </w:p>
        </w:tc>
        <w:tc>
          <w:tcPr>
            <w:tcW w:w="0" w:type="auto"/>
          </w:tcPr>
          <w:p w14:paraId="40747A3C" w14:textId="77777777" w:rsidR="00C64004" w:rsidRDefault="00000000">
            <w:pPr>
              <w:pStyle w:val="Compact"/>
            </w:pPr>
            <w:r>
              <w:t>3,433</w:t>
            </w:r>
          </w:p>
        </w:tc>
        <w:tc>
          <w:tcPr>
            <w:tcW w:w="0" w:type="auto"/>
          </w:tcPr>
          <w:p w14:paraId="4F821E3F" w14:textId="77777777" w:rsidR="00C64004" w:rsidRDefault="00000000">
            <w:pPr>
              <w:pStyle w:val="Compact"/>
            </w:pPr>
            <w:r>
              <w:t>53.4 (51.3–55.5)</w:t>
            </w:r>
          </w:p>
        </w:tc>
      </w:tr>
      <w:tr w:rsidR="00C64004" w14:paraId="018B0AAC" w14:textId="77777777">
        <w:tc>
          <w:tcPr>
            <w:tcW w:w="0" w:type="auto"/>
          </w:tcPr>
          <w:p w14:paraId="2192B57A" w14:textId="77777777" w:rsidR="00C64004" w:rsidRDefault="00000000">
            <w:pPr>
              <w:pStyle w:val="Compact"/>
            </w:pPr>
            <w:r>
              <w:t>4</w:t>
            </w:r>
          </w:p>
        </w:tc>
        <w:tc>
          <w:tcPr>
            <w:tcW w:w="0" w:type="auto"/>
          </w:tcPr>
          <w:p w14:paraId="1448C4F7" w14:textId="77777777" w:rsidR="00C64004" w:rsidRDefault="00000000">
            <w:pPr>
              <w:pStyle w:val="Compact"/>
            </w:pPr>
            <w:r>
              <w:t>Estonian Biobank</w:t>
            </w:r>
          </w:p>
        </w:tc>
        <w:tc>
          <w:tcPr>
            <w:tcW w:w="0" w:type="auto"/>
          </w:tcPr>
          <w:p w14:paraId="46B901AF" w14:textId="77777777" w:rsidR="00C64004" w:rsidRDefault="00000000">
            <w:pPr>
              <w:pStyle w:val="Compact"/>
            </w:pPr>
            <w:r>
              <w:t>Estonia</w:t>
            </w:r>
          </w:p>
        </w:tc>
        <w:tc>
          <w:tcPr>
            <w:tcW w:w="0" w:type="auto"/>
          </w:tcPr>
          <w:p w14:paraId="42827B21" w14:textId="77777777" w:rsidR="00C64004" w:rsidRDefault="00000000">
            <w:pPr>
              <w:pStyle w:val="Compact"/>
            </w:pPr>
            <w:r>
              <w:t>HIC</w:t>
            </w:r>
          </w:p>
        </w:tc>
        <w:tc>
          <w:tcPr>
            <w:tcW w:w="0" w:type="auto"/>
          </w:tcPr>
          <w:p w14:paraId="22BA71B0" w14:textId="77777777" w:rsidR="00C64004" w:rsidRDefault="00000000">
            <w:pPr>
              <w:pStyle w:val="Compact"/>
            </w:pPr>
            <w:r>
              <w:t>675</w:t>
            </w:r>
          </w:p>
        </w:tc>
        <w:tc>
          <w:tcPr>
            <w:tcW w:w="0" w:type="auto"/>
          </w:tcPr>
          <w:p w14:paraId="65A83877" w14:textId="77777777" w:rsidR="00C64004" w:rsidRDefault="00000000">
            <w:pPr>
              <w:pStyle w:val="Compact"/>
            </w:pPr>
            <w:r>
              <w:t>49.2 (46.3–52.1)</w:t>
            </w:r>
          </w:p>
        </w:tc>
      </w:tr>
      <w:tr w:rsidR="00C64004" w14:paraId="58E3C3D9" w14:textId="77777777">
        <w:tc>
          <w:tcPr>
            <w:tcW w:w="0" w:type="auto"/>
          </w:tcPr>
          <w:p w14:paraId="4E250901" w14:textId="77777777" w:rsidR="00C64004" w:rsidRDefault="00000000">
            <w:pPr>
              <w:pStyle w:val="Compact"/>
            </w:pPr>
            <w:r>
              <w:t>5</w:t>
            </w:r>
          </w:p>
        </w:tc>
        <w:tc>
          <w:tcPr>
            <w:tcW w:w="0" w:type="auto"/>
          </w:tcPr>
          <w:p w14:paraId="7DD73EC2" w14:textId="77777777" w:rsidR="00C64004" w:rsidRDefault="00000000">
            <w:pPr>
              <w:pStyle w:val="Compact"/>
            </w:pPr>
            <w:r>
              <w:t>All of Us Research Program</w:t>
            </w:r>
          </w:p>
        </w:tc>
        <w:tc>
          <w:tcPr>
            <w:tcW w:w="0" w:type="auto"/>
          </w:tcPr>
          <w:p w14:paraId="458F8426" w14:textId="77777777" w:rsidR="00C64004" w:rsidRDefault="00000000">
            <w:pPr>
              <w:pStyle w:val="Compact"/>
            </w:pPr>
            <w:r>
              <w:t>United States</w:t>
            </w:r>
          </w:p>
        </w:tc>
        <w:tc>
          <w:tcPr>
            <w:tcW w:w="0" w:type="auto"/>
          </w:tcPr>
          <w:p w14:paraId="2DCD8065" w14:textId="77777777" w:rsidR="00C64004" w:rsidRDefault="00000000">
            <w:pPr>
              <w:pStyle w:val="Compact"/>
            </w:pPr>
            <w:r>
              <w:t>HIC</w:t>
            </w:r>
          </w:p>
        </w:tc>
        <w:tc>
          <w:tcPr>
            <w:tcW w:w="0" w:type="auto"/>
          </w:tcPr>
          <w:p w14:paraId="3FC36D52" w14:textId="77777777" w:rsidR="00C64004" w:rsidRDefault="00000000">
            <w:pPr>
              <w:pStyle w:val="Compact"/>
            </w:pPr>
            <w:r>
              <w:t>837</w:t>
            </w:r>
          </w:p>
        </w:tc>
        <w:tc>
          <w:tcPr>
            <w:tcW w:w="0" w:type="auto"/>
          </w:tcPr>
          <w:p w14:paraId="4745B955" w14:textId="77777777" w:rsidR="00C64004" w:rsidRDefault="00000000">
            <w:pPr>
              <w:pStyle w:val="Compact"/>
            </w:pPr>
            <w:r>
              <w:t>49.1 (46.3–51.9)</w:t>
            </w:r>
          </w:p>
        </w:tc>
      </w:tr>
      <w:tr w:rsidR="00C64004" w14:paraId="7B0FBE92" w14:textId="77777777">
        <w:tc>
          <w:tcPr>
            <w:tcW w:w="0" w:type="auto"/>
          </w:tcPr>
          <w:p w14:paraId="34DD5119" w14:textId="77777777" w:rsidR="00C64004" w:rsidRDefault="00000000">
            <w:pPr>
              <w:pStyle w:val="Compact"/>
            </w:pPr>
            <w:r>
              <w:t>6</w:t>
            </w:r>
          </w:p>
        </w:tc>
        <w:tc>
          <w:tcPr>
            <w:tcW w:w="0" w:type="auto"/>
          </w:tcPr>
          <w:p w14:paraId="297CE9D3" w14:textId="77777777" w:rsidR="00C64004" w:rsidRDefault="00000000">
            <w:pPr>
              <w:pStyle w:val="Compact"/>
            </w:pPr>
            <w:r>
              <w:t>HUNT Study</w:t>
            </w:r>
          </w:p>
        </w:tc>
        <w:tc>
          <w:tcPr>
            <w:tcW w:w="0" w:type="auto"/>
          </w:tcPr>
          <w:p w14:paraId="382310E7" w14:textId="77777777" w:rsidR="00C64004" w:rsidRDefault="00000000">
            <w:pPr>
              <w:pStyle w:val="Compact"/>
            </w:pPr>
            <w:r>
              <w:t>Norway</w:t>
            </w:r>
          </w:p>
        </w:tc>
        <w:tc>
          <w:tcPr>
            <w:tcW w:w="0" w:type="auto"/>
          </w:tcPr>
          <w:p w14:paraId="344C522C" w14:textId="77777777" w:rsidR="00C64004" w:rsidRDefault="00000000">
            <w:pPr>
              <w:pStyle w:val="Compact"/>
            </w:pPr>
            <w:r>
              <w:t>HIC</w:t>
            </w:r>
          </w:p>
        </w:tc>
        <w:tc>
          <w:tcPr>
            <w:tcW w:w="0" w:type="auto"/>
          </w:tcPr>
          <w:p w14:paraId="6EF93D2B" w14:textId="77777777" w:rsidR="00C64004" w:rsidRDefault="00000000">
            <w:pPr>
              <w:pStyle w:val="Compact"/>
            </w:pPr>
            <w:r>
              <w:t>1,218</w:t>
            </w:r>
          </w:p>
        </w:tc>
        <w:tc>
          <w:tcPr>
            <w:tcW w:w="0" w:type="auto"/>
          </w:tcPr>
          <w:p w14:paraId="6AAC9CFE" w14:textId="77777777" w:rsidR="00C64004" w:rsidRDefault="00000000">
            <w:pPr>
              <w:pStyle w:val="Compact"/>
            </w:pPr>
            <w:r>
              <w:t>48.1 (45.4–50.8)</w:t>
            </w:r>
          </w:p>
        </w:tc>
      </w:tr>
      <w:tr w:rsidR="00C64004" w14:paraId="38619D27" w14:textId="77777777">
        <w:tc>
          <w:tcPr>
            <w:tcW w:w="0" w:type="auto"/>
          </w:tcPr>
          <w:p w14:paraId="260EE25F" w14:textId="77777777" w:rsidR="00C64004" w:rsidRDefault="00000000">
            <w:pPr>
              <w:pStyle w:val="Compact"/>
            </w:pPr>
            <w:r>
              <w:t>7</w:t>
            </w:r>
          </w:p>
        </w:tc>
        <w:tc>
          <w:tcPr>
            <w:tcW w:w="0" w:type="auto"/>
          </w:tcPr>
          <w:p w14:paraId="240F2F9A" w14:textId="77777777" w:rsidR="00C64004" w:rsidRDefault="00000000">
            <w:pPr>
              <w:pStyle w:val="Compact"/>
            </w:pPr>
            <w:r>
              <w:t>EPIC</w:t>
            </w:r>
          </w:p>
        </w:tc>
        <w:tc>
          <w:tcPr>
            <w:tcW w:w="0" w:type="auto"/>
          </w:tcPr>
          <w:p w14:paraId="75A1FFA8" w14:textId="77777777" w:rsidR="00C64004" w:rsidRDefault="00000000">
            <w:pPr>
              <w:pStyle w:val="Compact"/>
            </w:pPr>
            <w:r>
              <w:t>International</w:t>
            </w:r>
          </w:p>
        </w:tc>
        <w:tc>
          <w:tcPr>
            <w:tcW w:w="0" w:type="auto"/>
          </w:tcPr>
          <w:p w14:paraId="62D9D2A1" w14:textId="77777777" w:rsidR="00C64004" w:rsidRDefault="00000000">
            <w:pPr>
              <w:pStyle w:val="Compact"/>
            </w:pPr>
            <w:r>
              <w:t>HIC</w:t>
            </w:r>
          </w:p>
        </w:tc>
        <w:tc>
          <w:tcPr>
            <w:tcW w:w="0" w:type="auto"/>
          </w:tcPr>
          <w:p w14:paraId="59725B67" w14:textId="77777777" w:rsidR="00C64004" w:rsidRDefault="00000000">
            <w:pPr>
              <w:pStyle w:val="Compact"/>
            </w:pPr>
            <w:r>
              <w:t>1,870</w:t>
            </w:r>
          </w:p>
        </w:tc>
        <w:tc>
          <w:tcPr>
            <w:tcW w:w="0" w:type="auto"/>
          </w:tcPr>
          <w:p w14:paraId="1329745C" w14:textId="77777777" w:rsidR="00C64004" w:rsidRDefault="00000000">
            <w:pPr>
              <w:pStyle w:val="Compact"/>
            </w:pPr>
            <w:r>
              <w:t>45.2 (42.8–47.6)</w:t>
            </w:r>
          </w:p>
        </w:tc>
      </w:tr>
      <w:tr w:rsidR="00C64004" w14:paraId="28CFFE03" w14:textId="77777777">
        <w:tc>
          <w:tcPr>
            <w:tcW w:w="0" w:type="auto"/>
          </w:tcPr>
          <w:p w14:paraId="13D6AFB2" w14:textId="77777777" w:rsidR="00C64004" w:rsidRDefault="00000000">
            <w:pPr>
              <w:pStyle w:val="Compact"/>
            </w:pPr>
            <w:r>
              <w:t>8</w:t>
            </w:r>
          </w:p>
        </w:tc>
        <w:tc>
          <w:tcPr>
            <w:tcW w:w="0" w:type="auto"/>
          </w:tcPr>
          <w:p w14:paraId="2E1F00EE" w14:textId="77777777" w:rsidR="00C64004" w:rsidRDefault="00000000">
            <w:pPr>
              <w:pStyle w:val="Compact"/>
            </w:pPr>
            <w:r>
              <w:t>Danish National Birth Cohort</w:t>
            </w:r>
          </w:p>
        </w:tc>
        <w:tc>
          <w:tcPr>
            <w:tcW w:w="0" w:type="auto"/>
          </w:tcPr>
          <w:p w14:paraId="767365F3" w14:textId="77777777" w:rsidR="00C64004" w:rsidRDefault="00000000">
            <w:pPr>
              <w:pStyle w:val="Compact"/>
            </w:pPr>
            <w:r>
              <w:t>Denmark</w:t>
            </w:r>
          </w:p>
        </w:tc>
        <w:tc>
          <w:tcPr>
            <w:tcW w:w="0" w:type="auto"/>
          </w:tcPr>
          <w:p w14:paraId="441B2406" w14:textId="77777777" w:rsidR="00C64004" w:rsidRDefault="00000000">
            <w:pPr>
              <w:pStyle w:val="Compact"/>
            </w:pPr>
            <w:r>
              <w:t>HIC</w:t>
            </w:r>
          </w:p>
        </w:tc>
        <w:tc>
          <w:tcPr>
            <w:tcW w:w="0" w:type="auto"/>
          </w:tcPr>
          <w:p w14:paraId="6041C0B0" w14:textId="77777777" w:rsidR="00C64004" w:rsidRDefault="00000000">
            <w:pPr>
              <w:pStyle w:val="Compact"/>
            </w:pPr>
            <w:r>
              <w:t>636</w:t>
            </w:r>
          </w:p>
        </w:tc>
        <w:tc>
          <w:tcPr>
            <w:tcW w:w="0" w:type="auto"/>
          </w:tcPr>
          <w:p w14:paraId="5589F6DA" w14:textId="77777777" w:rsidR="00C64004" w:rsidRDefault="00000000">
            <w:pPr>
              <w:pStyle w:val="Compact"/>
            </w:pPr>
            <w:r>
              <w:t>44.4 (41.5–47.3)</w:t>
            </w:r>
          </w:p>
        </w:tc>
      </w:tr>
      <w:tr w:rsidR="00C64004" w14:paraId="5D98C076" w14:textId="77777777">
        <w:tc>
          <w:tcPr>
            <w:tcW w:w="0" w:type="auto"/>
          </w:tcPr>
          <w:p w14:paraId="4E507362" w14:textId="77777777" w:rsidR="00C64004" w:rsidRDefault="00000000">
            <w:pPr>
              <w:pStyle w:val="Compact"/>
            </w:pPr>
            <w:r>
              <w:t>9</w:t>
            </w:r>
          </w:p>
        </w:tc>
        <w:tc>
          <w:tcPr>
            <w:tcW w:w="0" w:type="auto"/>
          </w:tcPr>
          <w:p w14:paraId="7F675C93" w14:textId="77777777" w:rsidR="00C64004" w:rsidRDefault="00000000">
            <w:pPr>
              <w:pStyle w:val="Compact"/>
            </w:pPr>
            <w:r>
              <w:t>Genomics England</w:t>
            </w:r>
          </w:p>
        </w:tc>
        <w:tc>
          <w:tcPr>
            <w:tcW w:w="0" w:type="auto"/>
          </w:tcPr>
          <w:p w14:paraId="3B577BC6" w14:textId="77777777" w:rsidR="00C64004" w:rsidRDefault="00000000">
            <w:pPr>
              <w:pStyle w:val="Compact"/>
            </w:pPr>
            <w:r>
              <w:t>United Kingdom</w:t>
            </w:r>
          </w:p>
        </w:tc>
        <w:tc>
          <w:tcPr>
            <w:tcW w:w="0" w:type="auto"/>
          </w:tcPr>
          <w:p w14:paraId="263424E3" w14:textId="77777777" w:rsidR="00C64004" w:rsidRDefault="00000000">
            <w:pPr>
              <w:pStyle w:val="Compact"/>
            </w:pPr>
            <w:r>
              <w:t>HIC</w:t>
            </w:r>
          </w:p>
        </w:tc>
        <w:tc>
          <w:tcPr>
            <w:tcW w:w="0" w:type="auto"/>
          </w:tcPr>
          <w:p w14:paraId="3977D6A8" w14:textId="77777777" w:rsidR="00C64004" w:rsidRDefault="00000000">
            <w:pPr>
              <w:pStyle w:val="Compact"/>
            </w:pPr>
            <w:r>
              <w:t>700</w:t>
            </w:r>
          </w:p>
        </w:tc>
        <w:tc>
          <w:tcPr>
            <w:tcW w:w="0" w:type="auto"/>
          </w:tcPr>
          <w:p w14:paraId="4572BBBB" w14:textId="77777777" w:rsidR="00C64004" w:rsidRDefault="00000000">
            <w:pPr>
              <w:pStyle w:val="Compact"/>
            </w:pPr>
            <w:r>
              <w:t>43.6 (40.8–46.4)</w:t>
            </w:r>
          </w:p>
        </w:tc>
      </w:tr>
      <w:tr w:rsidR="00C64004" w14:paraId="2FAB829C" w14:textId="77777777">
        <w:tc>
          <w:tcPr>
            <w:tcW w:w="0" w:type="auto"/>
          </w:tcPr>
          <w:p w14:paraId="481C4C4D" w14:textId="77777777" w:rsidR="00C64004" w:rsidRDefault="00000000">
            <w:pPr>
              <w:pStyle w:val="Compact"/>
            </w:pPr>
            <w:r>
              <w:t>10</w:t>
            </w:r>
          </w:p>
        </w:tc>
        <w:tc>
          <w:tcPr>
            <w:tcW w:w="0" w:type="auto"/>
          </w:tcPr>
          <w:p w14:paraId="00A81339" w14:textId="77777777" w:rsidR="00C64004" w:rsidRDefault="00000000">
            <w:pPr>
              <w:pStyle w:val="Compact"/>
            </w:pPr>
            <w:r>
              <w:t>MoBa</w:t>
            </w:r>
          </w:p>
        </w:tc>
        <w:tc>
          <w:tcPr>
            <w:tcW w:w="0" w:type="auto"/>
          </w:tcPr>
          <w:p w14:paraId="4AF61EBD" w14:textId="77777777" w:rsidR="00C64004" w:rsidRDefault="00000000">
            <w:pPr>
              <w:pStyle w:val="Compact"/>
            </w:pPr>
            <w:r>
              <w:t>Norway</w:t>
            </w:r>
          </w:p>
        </w:tc>
        <w:tc>
          <w:tcPr>
            <w:tcW w:w="0" w:type="auto"/>
          </w:tcPr>
          <w:p w14:paraId="5F0618DE" w14:textId="77777777" w:rsidR="00C64004" w:rsidRDefault="00000000">
            <w:pPr>
              <w:pStyle w:val="Compact"/>
            </w:pPr>
            <w:r>
              <w:t>HIC</w:t>
            </w:r>
          </w:p>
        </w:tc>
        <w:tc>
          <w:tcPr>
            <w:tcW w:w="0" w:type="auto"/>
          </w:tcPr>
          <w:p w14:paraId="07F4EAA6" w14:textId="77777777" w:rsidR="00C64004" w:rsidRDefault="00000000">
            <w:pPr>
              <w:pStyle w:val="Compact"/>
            </w:pPr>
            <w:r>
              <w:t>962</w:t>
            </w:r>
          </w:p>
        </w:tc>
        <w:tc>
          <w:tcPr>
            <w:tcW w:w="0" w:type="auto"/>
          </w:tcPr>
          <w:p w14:paraId="59DA884B" w14:textId="77777777" w:rsidR="00C64004" w:rsidRDefault="00000000">
            <w:pPr>
              <w:pStyle w:val="Compact"/>
            </w:pPr>
            <w:r>
              <w:t>43.1 (40.2–46.0)</w:t>
            </w:r>
          </w:p>
        </w:tc>
      </w:tr>
      <w:tr w:rsidR="00C64004" w14:paraId="081A239A" w14:textId="77777777">
        <w:tc>
          <w:tcPr>
            <w:tcW w:w="0" w:type="auto"/>
          </w:tcPr>
          <w:p w14:paraId="61BE5A95" w14:textId="77777777" w:rsidR="00C64004" w:rsidRDefault="00000000">
            <w:pPr>
              <w:pStyle w:val="Compact"/>
            </w:pPr>
            <w:r>
              <w:t>11</w:t>
            </w:r>
          </w:p>
        </w:tc>
        <w:tc>
          <w:tcPr>
            <w:tcW w:w="0" w:type="auto"/>
          </w:tcPr>
          <w:p w14:paraId="5EA60402" w14:textId="77777777" w:rsidR="00C64004" w:rsidRDefault="00000000">
            <w:pPr>
              <w:pStyle w:val="Compact"/>
            </w:pPr>
            <w:r>
              <w:t>Biobank Japan</w:t>
            </w:r>
          </w:p>
        </w:tc>
        <w:tc>
          <w:tcPr>
            <w:tcW w:w="0" w:type="auto"/>
          </w:tcPr>
          <w:p w14:paraId="21F4A090" w14:textId="77777777" w:rsidR="00C64004" w:rsidRDefault="00000000">
            <w:pPr>
              <w:pStyle w:val="Compact"/>
            </w:pPr>
            <w:r>
              <w:t>Japan</w:t>
            </w:r>
          </w:p>
        </w:tc>
        <w:tc>
          <w:tcPr>
            <w:tcW w:w="0" w:type="auto"/>
          </w:tcPr>
          <w:p w14:paraId="40C07400" w14:textId="77777777" w:rsidR="00C64004" w:rsidRDefault="00000000">
            <w:pPr>
              <w:pStyle w:val="Compact"/>
            </w:pPr>
            <w:r>
              <w:t>HIC</w:t>
            </w:r>
          </w:p>
        </w:tc>
        <w:tc>
          <w:tcPr>
            <w:tcW w:w="0" w:type="auto"/>
          </w:tcPr>
          <w:p w14:paraId="322F0CFA" w14:textId="77777777" w:rsidR="00C64004" w:rsidRDefault="00000000">
            <w:pPr>
              <w:pStyle w:val="Compact"/>
            </w:pPr>
            <w:r>
              <w:t>345</w:t>
            </w:r>
          </w:p>
        </w:tc>
        <w:tc>
          <w:tcPr>
            <w:tcW w:w="0" w:type="auto"/>
          </w:tcPr>
          <w:p w14:paraId="521198A7" w14:textId="77777777" w:rsidR="00C64004" w:rsidRDefault="00000000">
            <w:pPr>
              <w:pStyle w:val="Compact"/>
            </w:pPr>
            <w:r>
              <w:t>42.7 (39.3–46.1)</w:t>
            </w:r>
          </w:p>
        </w:tc>
      </w:tr>
      <w:tr w:rsidR="00C64004" w14:paraId="10551E10" w14:textId="77777777">
        <w:tc>
          <w:tcPr>
            <w:tcW w:w="0" w:type="auto"/>
          </w:tcPr>
          <w:p w14:paraId="6DD471C1" w14:textId="77777777" w:rsidR="00C64004" w:rsidRDefault="00000000">
            <w:pPr>
              <w:pStyle w:val="Compact"/>
            </w:pPr>
            <w:r>
              <w:t>12</w:t>
            </w:r>
          </w:p>
        </w:tc>
        <w:tc>
          <w:tcPr>
            <w:tcW w:w="0" w:type="auto"/>
          </w:tcPr>
          <w:p w14:paraId="0A1CFCC4" w14:textId="77777777" w:rsidR="00C64004" w:rsidRDefault="00000000">
            <w:pPr>
              <w:pStyle w:val="Compact"/>
            </w:pPr>
            <w:r>
              <w:t>Nurses’ Health Study II</w:t>
            </w:r>
          </w:p>
        </w:tc>
        <w:tc>
          <w:tcPr>
            <w:tcW w:w="0" w:type="auto"/>
          </w:tcPr>
          <w:p w14:paraId="1519A43A" w14:textId="77777777" w:rsidR="00C64004" w:rsidRDefault="00000000">
            <w:pPr>
              <w:pStyle w:val="Compact"/>
            </w:pPr>
            <w:r>
              <w:t>United States</w:t>
            </w:r>
          </w:p>
        </w:tc>
        <w:tc>
          <w:tcPr>
            <w:tcW w:w="0" w:type="auto"/>
          </w:tcPr>
          <w:p w14:paraId="13BE0151" w14:textId="77777777" w:rsidR="00C64004" w:rsidRDefault="00000000">
            <w:pPr>
              <w:pStyle w:val="Compact"/>
            </w:pPr>
            <w:r>
              <w:t>HIC</w:t>
            </w:r>
          </w:p>
        </w:tc>
        <w:tc>
          <w:tcPr>
            <w:tcW w:w="0" w:type="auto"/>
          </w:tcPr>
          <w:p w14:paraId="7B453566" w14:textId="77777777" w:rsidR="00C64004" w:rsidRDefault="00000000">
            <w:pPr>
              <w:pStyle w:val="Compact"/>
            </w:pPr>
            <w:r>
              <w:t>1,008</w:t>
            </w:r>
          </w:p>
        </w:tc>
        <w:tc>
          <w:tcPr>
            <w:tcW w:w="0" w:type="auto"/>
          </w:tcPr>
          <w:p w14:paraId="291E7401" w14:textId="77777777" w:rsidR="00C64004" w:rsidRDefault="00000000">
            <w:pPr>
              <w:pStyle w:val="Compact"/>
            </w:pPr>
            <w:r>
              <w:t>42.5 (39.8–45.2)</w:t>
            </w:r>
          </w:p>
        </w:tc>
      </w:tr>
      <w:tr w:rsidR="00C64004" w14:paraId="5A12CDFA" w14:textId="77777777">
        <w:tc>
          <w:tcPr>
            <w:tcW w:w="0" w:type="auto"/>
          </w:tcPr>
          <w:p w14:paraId="2C6EFB2B" w14:textId="77777777" w:rsidR="00C64004" w:rsidRDefault="00000000">
            <w:pPr>
              <w:pStyle w:val="Compact"/>
            </w:pPr>
            <w:r>
              <w:t>13</w:t>
            </w:r>
          </w:p>
        </w:tc>
        <w:tc>
          <w:tcPr>
            <w:tcW w:w="0" w:type="auto"/>
          </w:tcPr>
          <w:p w14:paraId="38A672AB" w14:textId="77777777" w:rsidR="00C64004" w:rsidRDefault="00000000">
            <w:pPr>
              <w:pStyle w:val="Compact"/>
            </w:pPr>
            <w:r>
              <w:t>China Kadoorie Biobank</w:t>
            </w:r>
          </w:p>
        </w:tc>
        <w:tc>
          <w:tcPr>
            <w:tcW w:w="0" w:type="auto"/>
          </w:tcPr>
          <w:p w14:paraId="6489DFFD" w14:textId="77777777" w:rsidR="00C64004" w:rsidRDefault="00000000">
            <w:pPr>
              <w:pStyle w:val="Compact"/>
            </w:pPr>
            <w:r>
              <w:t>China</w:t>
            </w:r>
          </w:p>
        </w:tc>
        <w:tc>
          <w:tcPr>
            <w:tcW w:w="0" w:type="auto"/>
          </w:tcPr>
          <w:p w14:paraId="1862CCE5" w14:textId="77777777" w:rsidR="00C64004" w:rsidRDefault="00000000">
            <w:pPr>
              <w:pStyle w:val="Compact"/>
            </w:pPr>
            <w:r>
              <w:t>LMIC</w:t>
            </w:r>
          </w:p>
        </w:tc>
        <w:tc>
          <w:tcPr>
            <w:tcW w:w="0" w:type="auto"/>
          </w:tcPr>
          <w:p w14:paraId="215B3AD2" w14:textId="77777777" w:rsidR="00C64004" w:rsidRDefault="00000000">
            <w:pPr>
              <w:pStyle w:val="Compact"/>
            </w:pPr>
            <w:r>
              <w:t>583</w:t>
            </w:r>
          </w:p>
        </w:tc>
        <w:tc>
          <w:tcPr>
            <w:tcW w:w="0" w:type="auto"/>
          </w:tcPr>
          <w:p w14:paraId="43EC44A9" w14:textId="77777777" w:rsidR="00C64004" w:rsidRDefault="00000000">
            <w:pPr>
              <w:pStyle w:val="Compact"/>
            </w:pPr>
            <w:r>
              <w:t>41.6 (38.6–44.6)</w:t>
            </w:r>
          </w:p>
        </w:tc>
      </w:tr>
      <w:tr w:rsidR="00C64004" w14:paraId="406C3305" w14:textId="77777777">
        <w:tc>
          <w:tcPr>
            <w:tcW w:w="0" w:type="auto"/>
          </w:tcPr>
          <w:p w14:paraId="1E74CDB5" w14:textId="77777777" w:rsidR="00C64004" w:rsidRDefault="00000000">
            <w:pPr>
              <w:pStyle w:val="Compact"/>
            </w:pPr>
            <w:r>
              <w:t>14</w:t>
            </w:r>
          </w:p>
        </w:tc>
        <w:tc>
          <w:tcPr>
            <w:tcW w:w="0" w:type="auto"/>
          </w:tcPr>
          <w:p w14:paraId="02046316" w14:textId="77777777" w:rsidR="00C64004" w:rsidRDefault="00000000">
            <w:pPr>
              <w:pStyle w:val="Compact"/>
            </w:pPr>
            <w:r>
              <w:t>Million Veteran Program</w:t>
            </w:r>
          </w:p>
        </w:tc>
        <w:tc>
          <w:tcPr>
            <w:tcW w:w="0" w:type="auto"/>
          </w:tcPr>
          <w:p w14:paraId="7D59FDA8" w14:textId="77777777" w:rsidR="00C64004" w:rsidRDefault="00000000">
            <w:pPr>
              <w:pStyle w:val="Compact"/>
            </w:pPr>
            <w:r>
              <w:t>United States</w:t>
            </w:r>
          </w:p>
        </w:tc>
        <w:tc>
          <w:tcPr>
            <w:tcW w:w="0" w:type="auto"/>
          </w:tcPr>
          <w:p w14:paraId="00651EDB" w14:textId="77777777" w:rsidR="00C64004" w:rsidRDefault="00000000">
            <w:pPr>
              <w:pStyle w:val="Compact"/>
            </w:pPr>
            <w:r>
              <w:t>HIC</w:t>
            </w:r>
          </w:p>
        </w:tc>
        <w:tc>
          <w:tcPr>
            <w:tcW w:w="0" w:type="auto"/>
          </w:tcPr>
          <w:p w14:paraId="425D7586" w14:textId="77777777" w:rsidR="00C64004" w:rsidRDefault="00000000">
            <w:pPr>
              <w:pStyle w:val="Compact"/>
            </w:pPr>
            <w:r>
              <w:t>445</w:t>
            </w:r>
          </w:p>
        </w:tc>
        <w:tc>
          <w:tcPr>
            <w:tcW w:w="0" w:type="auto"/>
          </w:tcPr>
          <w:p w14:paraId="167277D7" w14:textId="77777777" w:rsidR="00C64004" w:rsidRDefault="00000000">
            <w:pPr>
              <w:pStyle w:val="Compact"/>
            </w:pPr>
            <w:r>
              <w:t>40.1 (36.8–43.4)</w:t>
            </w:r>
          </w:p>
        </w:tc>
      </w:tr>
      <w:tr w:rsidR="00C64004" w14:paraId="59D3EC29" w14:textId="77777777">
        <w:tc>
          <w:tcPr>
            <w:tcW w:w="0" w:type="auto"/>
          </w:tcPr>
          <w:p w14:paraId="11EE1E56" w14:textId="77777777" w:rsidR="00C64004" w:rsidRDefault="00000000">
            <w:pPr>
              <w:pStyle w:val="Compact"/>
            </w:pPr>
            <w:r>
              <w:t>15</w:t>
            </w:r>
          </w:p>
        </w:tc>
        <w:tc>
          <w:tcPr>
            <w:tcW w:w="0" w:type="auto"/>
          </w:tcPr>
          <w:p w14:paraId="770E82B6" w14:textId="77777777" w:rsidR="00C64004" w:rsidRDefault="00000000">
            <w:pPr>
              <w:pStyle w:val="Compact"/>
            </w:pPr>
            <w:r>
              <w:t>23andMe</w:t>
            </w:r>
          </w:p>
        </w:tc>
        <w:tc>
          <w:tcPr>
            <w:tcW w:w="0" w:type="auto"/>
          </w:tcPr>
          <w:p w14:paraId="02B9662C" w14:textId="77777777" w:rsidR="00C64004" w:rsidRDefault="00000000">
            <w:pPr>
              <w:pStyle w:val="Compact"/>
            </w:pPr>
            <w:r>
              <w:t>United States</w:t>
            </w:r>
          </w:p>
        </w:tc>
        <w:tc>
          <w:tcPr>
            <w:tcW w:w="0" w:type="auto"/>
          </w:tcPr>
          <w:p w14:paraId="1D916899" w14:textId="77777777" w:rsidR="00C64004" w:rsidRDefault="00000000">
            <w:pPr>
              <w:pStyle w:val="Compact"/>
            </w:pPr>
            <w:r>
              <w:t>HIC</w:t>
            </w:r>
          </w:p>
        </w:tc>
        <w:tc>
          <w:tcPr>
            <w:tcW w:w="0" w:type="auto"/>
          </w:tcPr>
          <w:p w14:paraId="6E667B6A" w14:textId="77777777" w:rsidR="00C64004" w:rsidRDefault="00000000">
            <w:pPr>
              <w:pStyle w:val="Compact"/>
            </w:pPr>
            <w:r>
              <w:t>310</w:t>
            </w:r>
          </w:p>
        </w:tc>
        <w:tc>
          <w:tcPr>
            <w:tcW w:w="0" w:type="auto"/>
          </w:tcPr>
          <w:p w14:paraId="6C998D70" w14:textId="77777777" w:rsidR="00C64004" w:rsidRDefault="00000000">
            <w:pPr>
              <w:pStyle w:val="Compact"/>
            </w:pPr>
            <w:r>
              <w:t>39.8 (36.4–43.2)</w:t>
            </w:r>
          </w:p>
        </w:tc>
      </w:tr>
    </w:tbl>
    <w:p w14:paraId="3217BF15" w14:textId="77777777" w:rsidR="00C64004" w:rsidRDefault="00000000">
      <w:pPr>
        <w:pStyle w:val="BodyText"/>
      </w:pPr>
      <w:r>
        <w:rPr>
          <w:i/>
          <w:iCs/>
        </w:rPr>
        <w:t>Full rankings for all 70 biobanks available at https://manuelcorpas.github.io/17-EHR/</w:t>
      </w:r>
    </w:p>
    <w:p w14:paraId="540A4878" w14:textId="77777777" w:rsidR="00C64004" w:rsidRDefault="00000000">
      <w:pPr>
        <w:pStyle w:val="BodyText"/>
      </w:pPr>
      <w:r>
        <w:rPr>
          <w:b/>
          <w:bCs/>
        </w:rPr>
        <w:t>Table 4: Publication distribution by WHO region</w:t>
      </w:r>
    </w:p>
    <w:tbl>
      <w:tblPr>
        <w:tblStyle w:val="Table"/>
        <w:tblW w:w="0" w:type="auto"/>
        <w:tblLook w:val="0020" w:firstRow="1" w:lastRow="0" w:firstColumn="0" w:lastColumn="0" w:noHBand="0" w:noVBand="0"/>
      </w:tblPr>
      <w:tblGrid>
        <w:gridCol w:w="2588"/>
        <w:gridCol w:w="1169"/>
        <w:gridCol w:w="1484"/>
        <w:gridCol w:w="1251"/>
      </w:tblGrid>
      <w:tr w:rsidR="00C64004" w14:paraId="0E3C8D91" w14:textId="77777777" w:rsidTr="00C64004">
        <w:trPr>
          <w:cnfStyle w:val="100000000000" w:firstRow="1" w:lastRow="0" w:firstColumn="0" w:lastColumn="0" w:oddVBand="0" w:evenVBand="0" w:oddHBand="0" w:evenHBand="0" w:firstRowFirstColumn="0" w:firstRowLastColumn="0" w:lastRowFirstColumn="0" w:lastRowLastColumn="0"/>
          <w:tblHeader/>
        </w:trPr>
        <w:tc>
          <w:tcPr>
            <w:tcW w:w="0" w:type="auto"/>
          </w:tcPr>
          <w:p w14:paraId="298AF425" w14:textId="77777777" w:rsidR="00C64004" w:rsidRDefault="00000000">
            <w:pPr>
              <w:pStyle w:val="Compact"/>
            </w:pPr>
            <w:r>
              <w:t>WHO Region</w:t>
            </w:r>
          </w:p>
        </w:tc>
        <w:tc>
          <w:tcPr>
            <w:tcW w:w="0" w:type="auto"/>
          </w:tcPr>
          <w:p w14:paraId="52C4ED08" w14:textId="77777777" w:rsidR="00C64004" w:rsidRDefault="00000000">
            <w:pPr>
              <w:pStyle w:val="Compact"/>
            </w:pPr>
            <w:r>
              <w:t>Biobanks</w:t>
            </w:r>
          </w:p>
        </w:tc>
        <w:tc>
          <w:tcPr>
            <w:tcW w:w="0" w:type="auto"/>
          </w:tcPr>
          <w:p w14:paraId="67C63195" w14:textId="77777777" w:rsidR="00C64004" w:rsidRDefault="00000000">
            <w:pPr>
              <w:pStyle w:val="Compact"/>
            </w:pPr>
            <w:r>
              <w:t>Publications</w:t>
            </w:r>
          </w:p>
        </w:tc>
        <w:tc>
          <w:tcPr>
            <w:tcW w:w="0" w:type="auto"/>
          </w:tcPr>
          <w:p w14:paraId="39690DA0" w14:textId="77777777" w:rsidR="00C64004" w:rsidRDefault="00000000">
            <w:pPr>
              <w:pStyle w:val="Compact"/>
            </w:pPr>
            <w:r>
              <w:t>Share (%)</w:t>
            </w:r>
          </w:p>
        </w:tc>
      </w:tr>
      <w:tr w:rsidR="00C64004" w14:paraId="4D03F0EC" w14:textId="77777777">
        <w:tc>
          <w:tcPr>
            <w:tcW w:w="0" w:type="auto"/>
          </w:tcPr>
          <w:p w14:paraId="440FB05E" w14:textId="77777777" w:rsidR="00C64004" w:rsidRDefault="00000000">
            <w:pPr>
              <w:pStyle w:val="Compact"/>
            </w:pPr>
            <w:r>
              <w:t>Europe</w:t>
            </w:r>
          </w:p>
        </w:tc>
        <w:tc>
          <w:tcPr>
            <w:tcW w:w="0" w:type="auto"/>
          </w:tcPr>
          <w:p w14:paraId="28EDE4EF" w14:textId="77777777" w:rsidR="00C64004" w:rsidRDefault="00000000">
            <w:pPr>
              <w:pStyle w:val="Compact"/>
            </w:pPr>
            <w:r>
              <w:t>25</w:t>
            </w:r>
          </w:p>
        </w:tc>
        <w:tc>
          <w:tcPr>
            <w:tcW w:w="0" w:type="auto"/>
          </w:tcPr>
          <w:p w14:paraId="4974760C" w14:textId="77777777" w:rsidR="00C64004" w:rsidRDefault="00000000">
            <w:pPr>
              <w:pStyle w:val="Compact"/>
            </w:pPr>
            <w:r>
              <w:t>21,482</w:t>
            </w:r>
          </w:p>
        </w:tc>
        <w:tc>
          <w:tcPr>
            <w:tcW w:w="0" w:type="auto"/>
          </w:tcPr>
          <w:p w14:paraId="13E1804E" w14:textId="77777777" w:rsidR="00C64004" w:rsidRDefault="00000000">
            <w:pPr>
              <w:pStyle w:val="Compact"/>
            </w:pPr>
            <w:r>
              <w:t>55.7</w:t>
            </w:r>
          </w:p>
        </w:tc>
      </w:tr>
      <w:tr w:rsidR="00C64004" w14:paraId="2A8A5932" w14:textId="77777777">
        <w:tc>
          <w:tcPr>
            <w:tcW w:w="0" w:type="auto"/>
          </w:tcPr>
          <w:p w14:paraId="2B3E7D9B" w14:textId="77777777" w:rsidR="00C64004" w:rsidRDefault="00000000">
            <w:pPr>
              <w:pStyle w:val="Compact"/>
            </w:pPr>
            <w:r>
              <w:t>Americas</w:t>
            </w:r>
          </w:p>
        </w:tc>
        <w:tc>
          <w:tcPr>
            <w:tcW w:w="0" w:type="auto"/>
          </w:tcPr>
          <w:p w14:paraId="17655E0E" w14:textId="77777777" w:rsidR="00C64004" w:rsidRDefault="00000000">
            <w:pPr>
              <w:pStyle w:val="Compact"/>
            </w:pPr>
            <w:r>
              <w:t>20</w:t>
            </w:r>
          </w:p>
        </w:tc>
        <w:tc>
          <w:tcPr>
            <w:tcW w:w="0" w:type="auto"/>
          </w:tcPr>
          <w:p w14:paraId="26D60226" w14:textId="77777777" w:rsidR="00C64004" w:rsidRDefault="00000000">
            <w:pPr>
              <w:pStyle w:val="Compact"/>
            </w:pPr>
            <w:r>
              <w:t>12,433</w:t>
            </w:r>
          </w:p>
        </w:tc>
        <w:tc>
          <w:tcPr>
            <w:tcW w:w="0" w:type="auto"/>
          </w:tcPr>
          <w:p w14:paraId="7B1D3515" w14:textId="77777777" w:rsidR="00C64004" w:rsidRDefault="00000000">
            <w:pPr>
              <w:pStyle w:val="Compact"/>
            </w:pPr>
            <w:r>
              <w:t>32.2</w:t>
            </w:r>
          </w:p>
        </w:tc>
      </w:tr>
      <w:tr w:rsidR="00C64004" w14:paraId="6AB4DA97" w14:textId="77777777">
        <w:tc>
          <w:tcPr>
            <w:tcW w:w="0" w:type="auto"/>
          </w:tcPr>
          <w:p w14:paraId="188CA2AA" w14:textId="77777777" w:rsidR="00C64004" w:rsidRDefault="00000000">
            <w:pPr>
              <w:pStyle w:val="Compact"/>
            </w:pPr>
            <w:r>
              <w:t>Western Pacific</w:t>
            </w:r>
          </w:p>
        </w:tc>
        <w:tc>
          <w:tcPr>
            <w:tcW w:w="0" w:type="auto"/>
          </w:tcPr>
          <w:p w14:paraId="664922E1" w14:textId="77777777" w:rsidR="00C64004" w:rsidRDefault="00000000">
            <w:pPr>
              <w:pStyle w:val="Compact"/>
            </w:pPr>
            <w:r>
              <w:t>13</w:t>
            </w:r>
          </w:p>
        </w:tc>
        <w:tc>
          <w:tcPr>
            <w:tcW w:w="0" w:type="auto"/>
          </w:tcPr>
          <w:p w14:paraId="1ECC0AC0" w14:textId="77777777" w:rsidR="00C64004" w:rsidRDefault="00000000">
            <w:pPr>
              <w:pStyle w:val="Compact"/>
            </w:pPr>
            <w:r>
              <w:t>3,819</w:t>
            </w:r>
          </w:p>
        </w:tc>
        <w:tc>
          <w:tcPr>
            <w:tcW w:w="0" w:type="auto"/>
          </w:tcPr>
          <w:p w14:paraId="14C528A4" w14:textId="77777777" w:rsidR="00C64004" w:rsidRDefault="00000000">
            <w:pPr>
              <w:pStyle w:val="Compact"/>
            </w:pPr>
            <w:r>
              <w:t>9.9</w:t>
            </w:r>
          </w:p>
        </w:tc>
      </w:tr>
      <w:tr w:rsidR="00C64004" w14:paraId="45D62CA2" w14:textId="77777777">
        <w:tc>
          <w:tcPr>
            <w:tcW w:w="0" w:type="auto"/>
          </w:tcPr>
          <w:p w14:paraId="3732C9D8" w14:textId="77777777" w:rsidR="00C64004" w:rsidRDefault="00000000">
            <w:pPr>
              <w:pStyle w:val="Compact"/>
            </w:pPr>
            <w:r>
              <w:t>Eastern Mediterranean</w:t>
            </w:r>
          </w:p>
        </w:tc>
        <w:tc>
          <w:tcPr>
            <w:tcW w:w="0" w:type="auto"/>
          </w:tcPr>
          <w:p w14:paraId="32762807" w14:textId="77777777" w:rsidR="00C64004" w:rsidRDefault="00000000">
            <w:pPr>
              <w:pStyle w:val="Compact"/>
            </w:pPr>
            <w:r>
              <w:t>5</w:t>
            </w:r>
          </w:p>
        </w:tc>
        <w:tc>
          <w:tcPr>
            <w:tcW w:w="0" w:type="auto"/>
          </w:tcPr>
          <w:p w14:paraId="79EA7619" w14:textId="77777777" w:rsidR="00C64004" w:rsidRDefault="00000000">
            <w:pPr>
              <w:pStyle w:val="Compact"/>
            </w:pPr>
            <w:r>
              <w:t>574</w:t>
            </w:r>
          </w:p>
        </w:tc>
        <w:tc>
          <w:tcPr>
            <w:tcW w:w="0" w:type="auto"/>
          </w:tcPr>
          <w:p w14:paraId="32C189F4" w14:textId="77777777" w:rsidR="00C64004" w:rsidRDefault="00000000">
            <w:pPr>
              <w:pStyle w:val="Compact"/>
            </w:pPr>
            <w:r>
              <w:t>1.5</w:t>
            </w:r>
          </w:p>
        </w:tc>
      </w:tr>
      <w:tr w:rsidR="00C64004" w14:paraId="10F04F82" w14:textId="77777777">
        <w:tc>
          <w:tcPr>
            <w:tcW w:w="0" w:type="auto"/>
          </w:tcPr>
          <w:p w14:paraId="447B1845" w14:textId="77777777" w:rsidR="00C64004" w:rsidRDefault="00000000">
            <w:pPr>
              <w:pStyle w:val="Compact"/>
            </w:pPr>
            <w:r>
              <w:lastRenderedPageBreak/>
              <w:t>Africa</w:t>
            </w:r>
          </w:p>
        </w:tc>
        <w:tc>
          <w:tcPr>
            <w:tcW w:w="0" w:type="auto"/>
          </w:tcPr>
          <w:p w14:paraId="415EEB9A" w14:textId="77777777" w:rsidR="00C64004" w:rsidRDefault="00000000">
            <w:pPr>
              <w:pStyle w:val="Compact"/>
            </w:pPr>
            <w:r>
              <w:t>6</w:t>
            </w:r>
          </w:p>
        </w:tc>
        <w:tc>
          <w:tcPr>
            <w:tcW w:w="0" w:type="auto"/>
          </w:tcPr>
          <w:p w14:paraId="7181594B" w14:textId="77777777" w:rsidR="00C64004" w:rsidRDefault="00000000">
            <w:pPr>
              <w:pStyle w:val="Compact"/>
            </w:pPr>
            <w:r>
              <w:t>277</w:t>
            </w:r>
          </w:p>
        </w:tc>
        <w:tc>
          <w:tcPr>
            <w:tcW w:w="0" w:type="auto"/>
          </w:tcPr>
          <w:p w14:paraId="0A4B9719" w14:textId="77777777" w:rsidR="00C64004" w:rsidRDefault="00000000">
            <w:pPr>
              <w:pStyle w:val="Compact"/>
            </w:pPr>
            <w:r>
              <w:t>0.7</w:t>
            </w:r>
          </w:p>
        </w:tc>
      </w:tr>
      <w:tr w:rsidR="00C64004" w14:paraId="53A3FBD9" w14:textId="77777777">
        <w:tc>
          <w:tcPr>
            <w:tcW w:w="0" w:type="auto"/>
          </w:tcPr>
          <w:p w14:paraId="6E26F542" w14:textId="77777777" w:rsidR="00C64004" w:rsidRDefault="00000000">
            <w:pPr>
              <w:pStyle w:val="Compact"/>
            </w:pPr>
            <w:r>
              <w:t>South-East Asia</w:t>
            </w:r>
          </w:p>
        </w:tc>
        <w:tc>
          <w:tcPr>
            <w:tcW w:w="0" w:type="auto"/>
          </w:tcPr>
          <w:p w14:paraId="679BC64E" w14:textId="77777777" w:rsidR="00C64004" w:rsidRDefault="00000000">
            <w:pPr>
              <w:pStyle w:val="Compact"/>
            </w:pPr>
            <w:r>
              <w:t>1</w:t>
            </w:r>
          </w:p>
        </w:tc>
        <w:tc>
          <w:tcPr>
            <w:tcW w:w="0" w:type="auto"/>
          </w:tcPr>
          <w:p w14:paraId="5E139CBD" w14:textId="77777777" w:rsidR="00C64004" w:rsidRDefault="00000000">
            <w:pPr>
              <w:pStyle w:val="Compact"/>
            </w:pPr>
            <w:r>
              <w:t>10</w:t>
            </w:r>
          </w:p>
        </w:tc>
        <w:tc>
          <w:tcPr>
            <w:tcW w:w="0" w:type="auto"/>
          </w:tcPr>
          <w:p w14:paraId="3170E8E9" w14:textId="77777777" w:rsidR="00C64004" w:rsidRDefault="00000000">
            <w:pPr>
              <w:pStyle w:val="Compact"/>
            </w:pPr>
            <w:r>
              <w:t>&lt;0.1</w:t>
            </w:r>
          </w:p>
        </w:tc>
      </w:tr>
      <w:tr w:rsidR="00C64004" w14:paraId="75008E92" w14:textId="77777777">
        <w:tc>
          <w:tcPr>
            <w:tcW w:w="0" w:type="auto"/>
          </w:tcPr>
          <w:p w14:paraId="55019F6E" w14:textId="77777777" w:rsidR="00C64004" w:rsidRDefault="00000000">
            <w:pPr>
              <w:pStyle w:val="Compact"/>
            </w:pPr>
            <w:r>
              <w:rPr>
                <w:b/>
                <w:bCs/>
              </w:rPr>
              <w:t>Total</w:t>
            </w:r>
          </w:p>
        </w:tc>
        <w:tc>
          <w:tcPr>
            <w:tcW w:w="0" w:type="auto"/>
          </w:tcPr>
          <w:p w14:paraId="3A4E1282" w14:textId="77777777" w:rsidR="00C64004" w:rsidRDefault="00000000">
            <w:pPr>
              <w:pStyle w:val="Compact"/>
            </w:pPr>
            <w:r>
              <w:rPr>
                <w:b/>
                <w:bCs/>
              </w:rPr>
              <w:t>70</w:t>
            </w:r>
          </w:p>
        </w:tc>
        <w:tc>
          <w:tcPr>
            <w:tcW w:w="0" w:type="auto"/>
          </w:tcPr>
          <w:p w14:paraId="6028CD02" w14:textId="77777777" w:rsidR="00C64004" w:rsidRDefault="00000000">
            <w:pPr>
              <w:pStyle w:val="Compact"/>
            </w:pPr>
            <w:r>
              <w:rPr>
                <w:b/>
                <w:bCs/>
              </w:rPr>
              <w:t>38,595</w:t>
            </w:r>
          </w:p>
        </w:tc>
        <w:tc>
          <w:tcPr>
            <w:tcW w:w="0" w:type="auto"/>
          </w:tcPr>
          <w:p w14:paraId="184DA005" w14:textId="77777777" w:rsidR="00C64004" w:rsidRDefault="00000000">
            <w:pPr>
              <w:pStyle w:val="Compact"/>
            </w:pPr>
            <w:r>
              <w:rPr>
                <w:b/>
                <w:bCs/>
              </w:rPr>
              <w:t>100.0</w:t>
            </w:r>
          </w:p>
        </w:tc>
      </w:tr>
    </w:tbl>
    <w:p w14:paraId="316A5E11" w14:textId="77777777" w:rsidR="00C64004" w:rsidRDefault="0067048F">
      <w:r>
        <w:rPr>
          <w:noProof/>
        </w:rPr>
        <w:pict w14:anchorId="32561A30">
          <v:rect id="_x0000_i1026" alt="" style="width:451.3pt;height:.05pt;mso-width-percent:0;mso-height-percent:0;mso-width-percent:0;mso-height-percent:0" o:hralign="center" o:hrstd="t" o:hr="t"/>
        </w:pict>
      </w:r>
    </w:p>
    <w:p w14:paraId="58A782B9" w14:textId="77777777" w:rsidR="00C64004" w:rsidRDefault="00000000">
      <w:pPr>
        <w:pStyle w:val="Heading2"/>
      </w:pPr>
      <w:bookmarkStart w:id="27" w:name="figure-legends"/>
      <w:bookmarkEnd w:id="26"/>
      <w:r>
        <w:t>Figure legends</w:t>
      </w:r>
    </w:p>
    <w:p w14:paraId="2D4ED72A" w14:textId="77777777" w:rsidR="00C64004" w:rsidRDefault="00000000">
      <w:pPr>
        <w:pStyle w:val="FirstParagraph"/>
      </w:pPr>
      <w:r>
        <w:rPr>
          <w:b/>
          <w:bCs/>
        </w:rPr>
        <w:t>Figure 1: Health Equity Informative Metrics (HEIM) framework</w:t>
      </w:r>
      <w:r>
        <w:t xml:space="preserve"> Schematic representation of the Equity Alignment Score (EAS) calculation. EAS integrates three components: Gap Severity (mismatch between research output and disease burden, weight 0.4), Burden Miss (proportion of high-burden diseases with inadequate coverage, weight 0.3), and Capacity Penalty (underutilisation in underrepresented settings, weight 0.3). Scores range from 0–100 and are categorised as High (≥70), Moderate (40–69), or Low (&lt;40).</w:t>
      </w:r>
    </w:p>
    <w:p w14:paraId="44A12592" w14:textId="77777777" w:rsidR="00C64004" w:rsidRDefault="00000000">
      <w:pPr>
        <w:pStyle w:val="BodyText"/>
      </w:pPr>
      <w:r>
        <w:rPr>
          <w:b/>
          <w:bCs/>
        </w:rPr>
        <w:t>Figure 2: Geographic distribution of 70 IHCC-registered biobanks</w:t>
      </w:r>
      <w:r>
        <w:t xml:space="preserve"> World map showing locations and EAS categories of analysed biobanks. Circle size is proportional to publication volume. Colours indicate EAS category: green (High, ≥70), cyan (Moderate, 40–69), red (Low, &lt;40). Note concentration of high-volume biobanks in Europe and the Americas, with minimal representation in Africa, Eastern Mediterranean, and South-East Asia.</w:t>
      </w:r>
    </w:p>
    <w:p w14:paraId="752B3E88" w14:textId="77777777" w:rsidR="00C64004" w:rsidRDefault="00000000">
      <w:pPr>
        <w:pStyle w:val="BodyText"/>
      </w:pPr>
      <w:r>
        <w:rPr>
          <w:b/>
          <w:bCs/>
        </w:rPr>
        <w:t>Figure 3: Research intensity by income group</w:t>
      </w:r>
      <w:r>
        <w:t xml:space="preserve"> (A) Publication volume comparison showing 36,096 publications from 52 HIC biobanks versus 2,499 from 18 LMIC biobanks. (B) Equity ratio of 57.8:1, indicating HIC biobanks produce 57.8 times more research per unit of disease burden than LMIC biobanks.</w:t>
      </w:r>
    </w:p>
    <w:p w14:paraId="170AE836" w14:textId="77777777" w:rsidR="00C64004" w:rsidRDefault="00000000">
      <w:pPr>
        <w:pStyle w:val="BodyText"/>
      </w:pPr>
      <w:r>
        <w:rPr>
          <w:b/>
          <w:bCs/>
        </w:rPr>
        <w:t>Figure 4: Disease burden versus research attention</w:t>
      </w:r>
      <w:r>
        <w:t xml:space="preserve"> (A) Scatterplot of 179 disease categories showing disease burden (million DALYs, x-axis, log scale) versus publication count (y-axis, log scale). Diagonal line represents proportional alignment. Colours indicate gap severity: critical (red), high (orange), moderate (yellow), low (green). Labelled points indicate diseases with highest burden-to-research mismatch. (B) Pie chart showing gap severity distribution: 22 critical (12%), 26 high (15%), 47 moderate (26%), 84 low (47%).</w:t>
      </w:r>
    </w:p>
    <w:p w14:paraId="187B1C63" w14:textId="77777777" w:rsidR="00C64004" w:rsidRDefault="00000000">
      <w:pPr>
        <w:pStyle w:val="BodyText"/>
      </w:pPr>
      <w:r>
        <w:rPr>
          <w:b/>
          <w:bCs/>
        </w:rPr>
        <w:t>Figure 5: Equity Alignment Score distribution</w:t>
      </w:r>
      <w:r>
        <w:t xml:space="preserve"> (A) Histogram showing EAS distribution across 70 biobanks with category boundaries marked. (B) Bar chart showing category counts: 1 High (1.4%), 13 Moderate (18.6%), 56 Low (80.0%).</w:t>
      </w:r>
    </w:p>
    <w:p w14:paraId="45FCC15B" w14:textId="77777777" w:rsidR="00C64004" w:rsidRDefault="00000000">
      <w:pPr>
        <w:pStyle w:val="BodyText"/>
      </w:pPr>
      <w:r>
        <w:rPr>
          <w:b/>
          <w:bCs/>
        </w:rPr>
        <w:t>Figure 6: Top 15 biobanks by Equity Alignment Score</w:t>
      </w:r>
      <w:r>
        <w:t xml:space="preserve"> Horizontal bar chart showing EAS with 95% confidence intervals for the 15 highest-ranked biobanks. Colours indicate category: green (High), cyan (Moderate), red (Low). Numbers indicate publication counts. UK Biobank (EAS 84.6, 13,785 publications) is the sole High-rated institution, with a 29-point gap to second-ranked Nurses’ Health Study.</w:t>
      </w:r>
    </w:p>
    <w:p w14:paraId="0C928D2A" w14:textId="77777777" w:rsidR="00C64004" w:rsidRDefault="0067048F">
      <w:r>
        <w:rPr>
          <w:noProof/>
        </w:rPr>
        <w:pict w14:anchorId="4358BDBB">
          <v:rect id="_x0000_i1025" alt="" style="width:451.3pt;height:.05pt;mso-width-percent:0;mso-height-percent:0;mso-width-percent:0;mso-height-percent:0" o:hralign="center" o:hrstd="t" o:hr="t"/>
        </w:pict>
      </w:r>
    </w:p>
    <w:p w14:paraId="6D3E3436" w14:textId="77777777" w:rsidR="00C64004" w:rsidRDefault="00000000">
      <w:pPr>
        <w:pStyle w:val="Heading2"/>
      </w:pPr>
      <w:bookmarkStart w:id="28" w:name="supplementary-materials"/>
      <w:bookmarkEnd w:id="27"/>
      <w:r>
        <w:lastRenderedPageBreak/>
        <w:t>Supplementary materials</w:t>
      </w:r>
    </w:p>
    <w:p w14:paraId="0665DF0D" w14:textId="77777777" w:rsidR="00C64004" w:rsidRDefault="00000000">
      <w:pPr>
        <w:pStyle w:val="FirstParagraph"/>
      </w:pPr>
      <w:r>
        <w:rPr>
          <w:b/>
          <w:bCs/>
        </w:rPr>
        <w:t>Supplementary Figure 1: Temporal trends in biobank-linked publications</w:t>
      </w:r>
      <w:r>
        <w:t xml:space="preserve"> (A) Annual publication output (2000–2025) showing approximately 604% growth between 2015 and 2024. (B) Cumulative publication growth reaching 36,416 total.</w:t>
      </w:r>
    </w:p>
    <w:p w14:paraId="0D2AAAB3" w14:textId="77777777" w:rsidR="00C64004" w:rsidRDefault="00000000">
      <w:pPr>
        <w:pStyle w:val="BodyText"/>
      </w:pPr>
      <w:r>
        <w:rPr>
          <w:b/>
          <w:bCs/>
        </w:rPr>
        <w:t>Supplementary Figure 2: Critical gap diseases by burden</w:t>
      </w:r>
      <w:r>
        <w:t xml:space="preserve"> Bar chart showing critical gap diseases ranked by DALYs with publication counts annotated.</w:t>
      </w:r>
    </w:p>
    <w:p w14:paraId="38E3589D" w14:textId="77777777" w:rsidR="00C64004" w:rsidRDefault="00000000">
      <w:pPr>
        <w:pStyle w:val="BodyText"/>
      </w:pPr>
      <w:r>
        <w:rPr>
          <w:b/>
          <w:bCs/>
        </w:rPr>
        <w:t>Supplementary Figure 3: HIC versus LMIC comparison</w:t>
      </w:r>
      <w:r>
        <w:t xml:space="preserve"> (A) Biobank count by income group: 52 HIC, 18 LMIC. (B) Publication volume: 36,096 HIC, 2,499 LMIC. (C) EAS distribution by income group.</w:t>
      </w:r>
    </w:p>
    <w:p w14:paraId="04CB52BC" w14:textId="77777777" w:rsidR="00C64004" w:rsidRDefault="00000000">
      <w:pPr>
        <w:pStyle w:val="BodyText"/>
      </w:pPr>
      <w:r>
        <w:rPr>
          <w:b/>
          <w:bCs/>
        </w:rPr>
        <w:t>Supplementary Figure 4: Disease category coverage</w:t>
      </w:r>
      <w:r>
        <w:t xml:space="preserve"> (A) Publications by disease category. (B) Critical gap diseases by category.</w:t>
      </w:r>
    </w:p>
    <w:p w14:paraId="0731A5A8" w14:textId="77777777" w:rsidR="00C64004" w:rsidRDefault="00000000">
      <w:pPr>
        <w:pStyle w:val="BodyText"/>
      </w:pPr>
      <w:r>
        <w:rPr>
          <w:b/>
          <w:bCs/>
        </w:rPr>
        <w:t>Supplementary Table 1: Full biobank characteristics and EAS scores</w:t>
      </w:r>
      <w:r>
        <w:t xml:space="preserve"> Complete data for all 70 IHCC-registered biobanks. Available at https://manuelcorpas.github.io/17-EHR/</w:t>
      </w:r>
    </w:p>
    <w:p w14:paraId="16ACC9B8" w14:textId="77777777" w:rsidR="00C64004" w:rsidRDefault="00000000">
      <w:pPr>
        <w:pStyle w:val="BodyText"/>
      </w:pPr>
      <w:r>
        <w:rPr>
          <w:b/>
          <w:bCs/>
        </w:rPr>
        <w:t>Supplementary Table 2: MeSH-to-GBD mapping dictionary</w:t>
      </w:r>
      <w:r>
        <w:t xml:space="preserve"> Complete mapping of MeSH terms to 179 GBD disease categories. Available at https://github.com/manuelcorpas/17-EHR</w:t>
      </w:r>
      <w:bookmarkEnd w:id="0"/>
      <w:bookmarkEnd w:id="28"/>
    </w:p>
    <w:sectPr w:rsidR="00C6400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A12A" w14:textId="77777777" w:rsidR="0067048F" w:rsidRDefault="0067048F">
      <w:pPr>
        <w:spacing w:after="0"/>
      </w:pPr>
      <w:r>
        <w:separator/>
      </w:r>
    </w:p>
  </w:endnote>
  <w:endnote w:type="continuationSeparator" w:id="0">
    <w:p w14:paraId="314533EC" w14:textId="77777777" w:rsidR="0067048F" w:rsidRDefault="006704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06032" w14:textId="77777777" w:rsidR="0067048F" w:rsidRDefault="0067048F">
      <w:r>
        <w:separator/>
      </w:r>
    </w:p>
  </w:footnote>
  <w:footnote w:type="continuationSeparator" w:id="0">
    <w:p w14:paraId="783733EE" w14:textId="77777777" w:rsidR="0067048F" w:rsidRDefault="006704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1A24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2F8B7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1837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10933431">
    <w:abstractNumId w:val="0"/>
  </w:num>
  <w:num w:numId="2" w16cid:durableId="669068858">
    <w:abstractNumId w:val="1"/>
  </w:num>
  <w:num w:numId="3" w16cid:durableId="942805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4004"/>
    <w:rsid w:val="003C2B78"/>
    <w:rsid w:val="00656CCA"/>
    <w:rsid w:val="0067048F"/>
    <w:rsid w:val="00772194"/>
    <w:rsid w:val="00C64004"/>
    <w:rsid w:val="00FF27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8548"/>
  <w15:docId w15:val="{78A54EB8-BE77-0B41-AF22-078AD5CE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3882</Words>
  <Characters>24304</Characters>
  <Application>Microsoft Office Word</Application>
  <DocSecurity>0</DocSecurity>
  <Lines>639</Lines>
  <Paragraphs>396</Paragraphs>
  <ScaleCrop>false</ScaleCrop>
  <Company/>
  <LinksUpToDate>false</LinksUpToDate>
  <CharactersWithSpaces>27790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Manuel Corpas</cp:lastModifiedBy>
  <cp:revision>4</cp:revision>
  <dcterms:created xsi:type="dcterms:W3CDTF">2026-01-11T09:49:00Z</dcterms:created>
  <dcterms:modified xsi:type="dcterms:W3CDTF">2026-01-11T09:59:00Z</dcterms:modified>
</cp:coreProperties>
</file>