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1AC7" w14:textId="77777777" w:rsidR="000D174D" w:rsidRDefault="00000000">
      <w:pPr>
        <w:spacing w:after="240"/>
        <w:jc w:val="center"/>
      </w:pPr>
      <w:r>
        <w:rPr>
          <w:b/>
          <w:bCs/>
          <w:sz w:val="32"/>
          <w:szCs w:val="32"/>
        </w:rPr>
        <w:t>Health Equity Informative Metrics (HEIM):</w:t>
      </w:r>
    </w:p>
    <w:p w14:paraId="72053355" w14:textId="77777777" w:rsidR="000D174D" w:rsidRDefault="00000000">
      <w:pPr>
        <w:spacing w:after="360"/>
        <w:jc w:val="center"/>
      </w:pPr>
      <w:r>
        <w:rPr>
          <w:b/>
          <w:bCs/>
          <w:sz w:val="32"/>
          <w:szCs w:val="32"/>
        </w:rPr>
        <w:t>Quantifying Research Alignment Across 70 Global Biobanks</w:t>
      </w:r>
    </w:p>
    <w:p w14:paraId="304D5EB4" w14:textId="00B05F39" w:rsidR="000D174D" w:rsidRDefault="00000000">
      <w:pPr>
        <w:spacing w:before="360" w:after="240"/>
        <w:jc w:val="center"/>
      </w:pPr>
      <w:r>
        <w:t>Manuel Corpas</w:t>
      </w:r>
      <w:r>
        <w:rPr>
          <w:sz w:val="20"/>
          <w:szCs w:val="20"/>
          <w:vertAlign w:val="superscript"/>
        </w:rPr>
        <w:t>1,2</w:t>
      </w:r>
      <w:r w:rsidR="00523780">
        <w:rPr>
          <w:sz w:val="20"/>
          <w:szCs w:val="20"/>
          <w:vertAlign w:val="superscript"/>
        </w:rPr>
        <w:t>*</w:t>
      </w:r>
      <w:r>
        <w:t>, Julio Valdivia-Silva</w:t>
      </w:r>
      <w:r>
        <w:rPr>
          <w:sz w:val="20"/>
          <w:szCs w:val="20"/>
          <w:vertAlign w:val="superscript"/>
        </w:rPr>
        <w:t>3</w:t>
      </w:r>
      <w:r>
        <w:t>, Segun Fatumo</w:t>
      </w:r>
      <w:r>
        <w:rPr>
          <w:sz w:val="20"/>
          <w:szCs w:val="20"/>
          <w:vertAlign w:val="superscript"/>
        </w:rPr>
        <w:t>4,5</w:t>
      </w:r>
      <w:r>
        <w:t xml:space="preserve">, </w:t>
      </w:r>
      <w:proofErr w:type="spellStart"/>
      <w:r>
        <w:t>Heinner</w:t>
      </w:r>
      <w:proofErr w:type="spellEnd"/>
      <w:r>
        <w:t xml:space="preserve"> Guio</w:t>
      </w:r>
      <w:r>
        <w:rPr>
          <w:sz w:val="20"/>
          <w:szCs w:val="20"/>
          <w:vertAlign w:val="superscript"/>
        </w:rPr>
        <w:t>3,6</w:t>
      </w:r>
    </w:p>
    <w:p w14:paraId="2336EB85" w14:textId="77777777" w:rsidR="000D174D" w:rsidRDefault="00000000">
      <w:pPr>
        <w:spacing w:before="240" w:after="80"/>
      </w:pPr>
      <w:r>
        <w:rPr>
          <w:sz w:val="18"/>
          <w:szCs w:val="18"/>
          <w:vertAlign w:val="superscript"/>
        </w:rPr>
        <w:t>1</w:t>
      </w:r>
      <w:r>
        <w:rPr>
          <w:i/>
          <w:iCs/>
          <w:sz w:val="20"/>
          <w:szCs w:val="20"/>
        </w:rPr>
        <w:t xml:space="preserve"> School of Life Sciences, University of Westminster, London, United Kingdom</w:t>
      </w:r>
    </w:p>
    <w:p w14:paraId="0CF615C7" w14:textId="77777777" w:rsidR="000D174D" w:rsidRDefault="00000000">
      <w:pPr>
        <w:spacing w:after="80"/>
      </w:pPr>
      <w:r>
        <w:rPr>
          <w:sz w:val="18"/>
          <w:szCs w:val="18"/>
          <w:vertAlign w:val="superscript"/>
        </w:rPr>
        <w:t>2</w:t>
      </w:r>
      <w:r>
        <w:rPr>
          <w:i/>
          <w:iCs/>
          <w:sz w:val="20"/>
          <w:szCs w:val="20"/>
        </w:rPr>
        <w:t xml:space="preserve"> The Alan Turing Institute, London, United Kingdom</w:t>
      </w:r>
    </w:p>
    <w:p w14:paraId="57AE1935" w14:textId="77777777" w:rsidR="000D174D" w:rsidRDefault="00000000">
      <w:pPr>
        <w:spacing w:after="80"/>
      </w:pPr>
      <w:r>
        <w:rPr>
          <w:sz w:val="18"/>
          <w:szCs w:val="18"/>
          <w:vertAlign w:val="superscript"/>
        </w:rPr>
        <w:t>3</w:t>
      </w:r>
      <w:r>
        <w:rPr>
          <w:i/>
          <w:iCs/>
          <w:sz w:val="20"/>
          <w:szCs w:val="20"/>
        </w:rPr>
        <w:t xml:space="preserve"> Universidad de Ingeniería y </w:t>
      </w:r>
      <w:proofErr w:type="spellStart"/>
      <w:r>
        <w:rPr>
          <w:i/>
          <w:iCs/>
          <w:sz w:val="20"/>
          <w:szCs w:val="20"/>
        </w:rPr>
        <w:t>Tecnología</w:t>
      </w:r>
      <w:proofErr w:type="spellEnd"/>
      <w:r>
        <w:rPr>
          <w:i/>
          <w:iCs/>
          <w:sz w:val="20"/>
          <w:szCs w:val="20"/>
        </w:rPr>
        <w:t xml:space="preserve"> (UTEC), Lima, Peru</w:t>
      </w:r>
    </w:p>
    <w:p w14:paraId="4D09DCA5" w14:textId="77777777" w:rsidR="000D174D" w:rsidRDefault="00000000">
      <w:pPr>
        <w:spacing w:after="80"/>
      </w:pPr>
      <w:r>
        <w:rPr>
          <w:sz w:val="18"/>
          <w:szCs w:val="18"/>
          <w:vertAlign w:val="superscript"/>
        </w:rPr>
        <w:t>4</w:t>
      </w:r>
      <w:r>
        <w:rPr>
          <w:i/>
          <w:iCs/>
          <w:sz w:val="20"/>
          <w:szCs w:val="20"/>
        </w:rPr>
        <w:t xml:space="preserve"> Medical Research Council, Uganda Virus Research Institute and London School of Hygiene and Tropical Medicine (MRC/UVRI &amp; LSHTM), Entebbe, Uganda</w:t>
      </w:r>
    </w:p>
    <w:p w14:paraId="0E629058" w14:textId="77777777" w:rsidR="000D174D" w:rsidRDefault="00000000">
      <w:pPr>
        <w:spacing w:after="80"/>
      </w:pPr>
      <w:r>
        <w:rPr>
          <w:sz w:val="18"/>
          <w:szCs w:val="18"/>
          <w:vertAlign w:val="superscript"/>
        </w:rPr>
        <w:t>5</w:t>
      </w:r>
      <w:r>
        <w:rPr>
          <w:i/>
          <w:iCs/>
          <w:sz w:val="20"/>
          <w:szCs w:val="20"/>
        </w:rPr>
        <w:t xml:space="preserve"> Precision Healthcare University Research Institute, Queen Mary University of London, London, United Kingdom</w:t>
      </w:r>
    </w:p>
    <w:p w14:paraId="764830BE" w14:textId="77777777" w:rsidR="000D174D" w:rsidRDefault="00000000">
      <w:pPr>
        <w:spacing w:after="240"/>
      </w:pPr>
      <w:r>
        <w:rPr>
          <w:sz w:val="18"/>
          <w:szCs w:val="18"/>
          <w:vertAlign w:val="superscript"/>
        </w:rPr>
        <w:t>6</w:t>
      </w:r>
      <w:r>
        <w:rPr>
          <w:i/>
          <w:iCs/>
          <w:sz w:val="20"/>
          <w:szCs w:val="20"/>
        </w:rPr>
        <w:t xml:space="preserve"> INBIOMEDIC Research and Technological </w:t>
      </w:r>
      <w:proofErr w:type="spellStart"/>
      <w:r>
        <w:rPr>
          <w:i/>
          <w:iCs/>
          <w:sz w:val="20"/>
          <w:szCs w:val="20"/>
        </w:rPr>
        <w:t>Center</w:t>
      </w:r>
      <w:proofErr w:type="spellEnd"/>
      <w:r>
        <w:rPr>
          <w:i/>
          <w:iCs/>
          <w:sz w:val="20"/>
          <w:szCs w:val="20"/>
        </w:rPr>
        <w:t>, Lima, Peru</w:t>
      </w:r>
    </w:p>
    <w:p w14:paraId="4A82F2BE" w14:textId="77777777" w:rsidR="000D174D" w:rsidRDefault="00000000">
      <w:pPr>
        <w:spacing w:after="480"/>
      </w:pPr>
      <w:r>
        <w:rPr>
          <w:i/>
          <w:iCs/>
          <w:sz w:val="20"/>
          <w:szCs w:val="20"/>
        </w:rPr>
        <w:t>*Correspondence to: Dr Manuel Corpas, School of Life Sciences, University of Westminster, 115 New Cavendish Street, London W1W 6UW, United Kingdom. m.corpas@westminster.ac.uk</w:t>
      </w:r>
    </w:p>
    <w:p w14:paraId="56020587" w14:textId="77777777" w:rsidR="000D174D" w:rsidRDefault="00000000">
      <w:pPr>
        <w:pStyle w:val="Heading1"/>
      </w:pPr>
      <w:r>
        <w:t>Summary</w:t>
      </w:r>
    </w:p>
    <w:p w14:paraId="269AE37C" w14:textId="77777777" w:rsidR="000D174D" w:rsidRDefault="00000000">
      <w:pPr>
        <w:pStyle w:val="Heading3"/>
      </w:pPr>
      <w:r>
        <w:t>Background</w:t>
      </w:r>
    </w:p>
    <w:p w14:paraId="1F15E4EA" w14:textId="77777777" w:rsidR="000D174D" w:rsidRDefault="00000000">
      <w:pPr>
        <w:spacing w:after="240"/>
      </w:pPr>
      <w:r>
        <w:t>Low- and middle-income countries (LMICs) represent 85% of the global population but contribute less than 10% of participants to large-scale health research. This disparity undermines the generalisability of findings from population cohort studies. Despite growing recognition of this problem, no standardised framework exists to quantify research alignment at the biobank level or track progress over time. We developed the Health Equity Informative Metrics (HEIM) framework to address this gap.</w:t>
      </w:r>
    </w:p>
    <w:p w14:paraId="25FBA8D2" w14:textId="77777777" w:rsidR="000D174D" w:rsidRDefault="00000000">
      <w:pPr>
        <w:pStyle w:val="Heading3"/>
      </w:pPr>
      <w:r>
        <w:t>Methods</w:t>
      </w:r>
    </w:p>
    <w:p w14:paraId="42884287" w14:textId="77777777" w:rsidR="000D174D" w:rsidRDefault="00000000">
      <w:pPr>
        <w:spacing w:after="240"/>
      </w:pPr>
      <w:r>
        <w:t>We analysed 38,595 PubMed-indexed publications (2000-2025) from 70 biobanks registered with the International Health Cohorts Consortium (IHCC) across 29 countries. Publications were mapped to 179 disease categories from the Global Burden of Disease Study 2021 using Medical Subject Headings (</w:t>
      </w:r>
      <w:proofErr w:type="spellStart"/>
      <w:r>
        <w:t>MeSH</w:t>
      </w:r>
      <w:proofErr w:type="spellEnd"/>
      <w:r>
        <w:t>) terms. We calculated disease-specific Gap Scores measuring mismatch between burden (disability-adjusted life years, DALYs) and research attention, biobank-level Equity Alignment Scores (EAS), and alignment ratios comparing high-income country (HIC) to LMIC research intensity.</w:t>
      </w:r>
    </w:p>
    <w:p w14:paraId="006CFE67" w14:textId="77777777" w:rsidR="000D174D" w:rsidRDefault="00000000">
      <w:pPr>
        <w:pStyle w:val="Heading3"/>
      </w:pPr>
      <w:r>
        <w:t>Findings</w:t>
      </w:r>
    </w:p>
    <w:p w14:paraId="70686239" w14:textId="77777777" w:rsidR="000D174D" w:rsidRDefault="00000000">
      <w:pPr>
        <w:spacing w:after="240"/>
      </w:pPr>
      <w:r>
        <w:t xml:space="preserve">HIC biobanks produced 57.8 times more research output per DALY than LMIC biobanks. Regional concentration was stark: Europe (55.7%) and the Americas (32.2%) accounted for 87.9% of publications, while Africa, Eastern Mediterranean, and South-East Asia combined contributed 2.2%. Of 179 disease categories, 48 (27%) showed critical or high-severity research gaps despite substantial global burden. Only one biobank (UK Biobank; 1.4%) achieved High alignment; 56 (80%) were rated Low. Diseases with critical gaps included malaria (55.2 million DALYs, 17 publications), tuberculosis (43.1 million DALYs, 42 publications), diarrheal diseases </w:t>
      </w:r>
      <w:r>
        <w:lastRenderedPageBreak/>
        <w:t>(46.8 million DALYs, 46 publications), and neonatal disorders (35.2 million DALYs, 156 publications).</w:t>
      </w:r>
    </w:p>
    <w:p w14:paraId="6F8D165F" w14:textId="77777777" w:rsidR="000D174D" w:rsidRDefault="00000000">
      <w:pPr>
        <w:pStyle w:val="Heading3"/>
      </w:pPr>
      <w:r>
        <w:t>Interpretation</w:t>
      </w:r>
    </w:p>
    <w:p w14:paraId="12A034DF" w14:textId="77777777" w:rsidR="000D174D" w:rsidRDefault="00000000">
      <w:pPr>
        <w:spacing w:after="240"/>
      </w:pPr>
      <w:r>
        <w:t xml:space="preserve">The HEIM framework identifies patterns consistent with misalignment between biobank research capacity and global disease burden. </w:t>
      </w:r>
      <w:r>
        <w:rPr>
          <w:b/>
          <w:bCs/>
        </w:rPr>
        <w:t xml:space="preserve">These metrics quantify disease-area alignment with global burden; they do not assess research quality, participant-level diversity, governance structures, or benefit-sharing arrangements. </w:t>
      </w:r>
      <w:r>
        <w:t>Infectious diseases and conditions disproportionately affecting the Global South remain underrepresented in population cohort research. These findings establish baseline measurements for tracking progress and identify priorities for alignment-focused investment. An interactive dashboard (https://manuelcorpas.github.io/17-EHR/) operationalises these metrics for funders, researchers, and policymakers.</w:t>
      </w:r>
    </w:p>
    <w:p w14:paraId="27191A51" w14:textId="77777777" w:rsidR="000D174D" w:rsidRDefault="00000000">
      <w:pPr>
        <w:pStyle w:val="Heading3"/>
      </w:pPr>
      <w:r>
        <w:t>Funding</w:t>
      </w:r>
    </w:p>
    <w:p w14:paraId="09135DF6" w14:textId="77777777" w:rsidR="000D174D" w:rsidRDefault="00000000">
      <w:pPr>
        <w:spacing w:after="360"/>
      </w:pPr>
      <w:r>
        <w:t>None.</w:t>
      </w:r>
    </w:p>
    <w:p w14:paraId="256E9086" w14:textId="77777777" w:rsidR="000D174D" w:rsidRDefault="00000000">
      <w:pPr>
        <w:pStyle w:val="Heading1"/>
      </w:pPr>
      <w:r>
        <w:t>Introduction</w:t>
      </w:r>
    </w:p>
    <w:p w14:paraId="1DAB2917" w14:textId="06E05F77" w:rsidR="000D174D" w:rsidRDefault="00000000">
      <w:pPr>
        <w:spacing w:after="240"/>
      </w:pPr>
      <w:r>
        <w:t>The promise of precision medicine and evidence-based public health rests on research findings that apply across human populations. Yet the infrastructure generating these findings</w:t>
      </w:r>
      <w:r w:rsidR="00523780">
        <w:t xml:space="preserve">, </w:t>
      </w:r>
      <w:r>
        <w:t>principally biobanks and population cohorts linking biological samples with longitudinal health records</w:t>
      </w:r>
      <w:r w:rsidR="00523780">
        <w:t xml:space="preserve">, </w:t>
      </w:r>
      <w:r>
        <w:t>is highly unequal in its global distribution. Low- and middle-income countries (LMICs), home to approximately 85% of the world's population, contribute less than 10% of participants to genome-wide association studies, epidemiological cohorts, and clinical trials.</w:t>
      </w:r>
      <w:r>
        <w:rPr>
          <w:sz w:val="20"/>
          <w:szCs w:val="20"/>
          <w:vertAlign w:val="superscript"/>
        </w:rPr>
        <w:t>1-4</w:t>
      </w:r>
    </w:p>
    <w:p w14:paraId="4A542AFA" w14:textId="77777777" w:rsidR="000D174D" w:rsidRDefault="00000000">
      <w:pPr>
        <w:spacing w:after="240"/>
      </w:pPr>
      <w:r>
        <w:t>The consequences are increasingly well-documented. Risk prediction models developed in high-income populations show reduced accuracy when applied elsewhere.</w:t>
      </w:r>
      <w:r>
        <w:rPr>
          <w:sz w:val="20"/>
          <w:szCs w:val="20"/>
          <w:vertAlign w:val="superscript"/>
        </w:rPr>
        <w:t>5,6</w:t>
      </w:r>
      <w:r>
        <w:t xml:space="preserve"> Clinical databases exhibit patterns consistent with systematic biases toward well-studied populations.</w:t>
      </w:r>
      <w:r>
        <w:rPr>
          <w:sz w:val="20"/>
          <w:szCs w:val="20"/>
          <w:vertAlign w:val="superscript"/>
        </w:rPr>
        <w:t>7,8</w:t>
      </w:r>
      <w:r>
        <w:t xml:space="preserve"> These are not merely academic concerns; they represent barriers to equitable healthcare that may widen as data-driven medicine enters clinical practice globally.</w:t>
      </w:r>
    </w:p>
    <w:p w14:paraId="1A018793" w14:textId="77777777" w:rsidR="000D174D" w:rsidRDefault="00000000">
      <w:pPr>
        <w:spacing w:after="240"/>
      </w:pPr>
      <w:r>
        <w:t>The World Health Organization has called for measurable frameworks to track progress toward equitable health research implementation.</w:t>
      </w:r>
      <w:r>
        <w:rPr>
          <w:sz w:val="20"/>
          <w:szCs w:val="20"/>
          <w:vertAlign w:val="superscript"/>
        </w:rPr>
        <w:t>9</w:t>
      </w:r>
      <w:r>
        <w:t xml:space="preserve"> A recent WHO report found that high-income countries account for 68% of clinical studies while low-income countries contribute less than 0.5%.</w:t>
      </w:r>
      <w:r>
        <w:rPr>
          <w:sz w:val="20"/>
          <w:szCs w:val="20"/>
          <w:vertAlign w:val="superscript"/>
        </w:rPr>
        <w:t>10</w:t>
      </w:r>
      <w:r>
        <w:t xml:space="preserve"> However, this documentation of disparity has not translated into standardised metrics for benchmarking institutions, identifying priority gaps, or monitoring improvement.</w:t>
      </w:r>
    </w:p>
    <w:p w14:paraId="62B940BF" w14:textId="0C215B61" w:rsidR="000D174D" w:rsidRDefault="00000000" w:rsidP="00523780">
      <w:pPr>
        <w:spacing w:after="360"/>
      </w:pPr>
      <w:r>
        <w:t>We developed the Health Equity Informative Metrics (HEIM) framework to fill this gap. HEIM quantifies alignment between biobank research output and global disease burden, treating alignment not as an engineering problem amenable to measurement, tracking, and targeted intervention. We present the first HEIM analysis across the International Health Cohorts Consortium (IHCC) registry, a standardised catalogue of population health cohorts worldwide, examining 38,595 publications from 70 biobanks in 29 countries.</w:t>
      </w:r>
      <w:r>
        <w:br w:type="page"/>
      </w:r>
    </w:p>
    <w:p w14:paraId="77F5C2E3" w14:textId="77777777" w:rsidR="000D174D" w:rsidRDefault="00000000">
      <w:pPr>
        <w:pStyle w:val="Heading1"/>
      </w:pPr>
      <w:r>
        <w:lastRenderedPageBreak/>
        <w:t>Methods</w:t>
      </w:r>
    </w:p>
    <w:p w14:paraId="2A428710" w14:textId="77777777" w:rsidR="000D174D" w:rsidRDefault="00000000">
      <w:pPr>
        <w:pStyle w:val="Heading2"/>
      </w:pPr>
      <w:r>
        <w:t>Normative framework: global burden as benchmark</w:t>
      </w:r>
    </w:p>
    <w:p w14:paraId="55442962" w14:textId="77777777" w:rsidR="000D174D" w:rsidRDefault="00000000">
      <w:pPr>
        <w:spacing w:after="240"/>
      </w:pPr>
      <w:r>
        <w:t>This analysis adopts the position that global biobank infrastructure constitutes a global public good, particularly given the portability of genomic discoveries across populations. We therefore evaluate research alignment against global disease burden rather than biobank-specific national burden.</w:t>
      </w:r>
    </w:p>
    <w:p w14:paraId="32F473C3" w14:textId="7EF010F0" w:rsidR="000D174D" w:rsidRDefault="00000000">
      <w:pPr>
        <w:spacing w:after="240"/>
      </w:pPr>
      <w:r>
        <w:t xml:space="preserve">We acknowledge this represents one of two defensible perspectives: (a) </w:t>
      </w:r>
      <w:r>
        <w:rPr>
          <w:b/>
          <w:bCs/>
        </w:rPr>
        <w:t>Global alignment</w:t>
      </w:r>
      <w:r w:rsidR="000420AA">
        <w:t xml:space="preserve">; </w:t>
      </w:r>
      <w:r>
        <w:t xml:space="preserve">biobank research should proportionally address diseases by global DALYs, given translational potential across populations; (b) </w:t>
      </w:r>
      <w:r>
        <w:rPr>
          <w:b/>
          <w:bCs/>
        </w:rPr>
        <w:t>Local responsiveness</w:t>
      </w:r>
      <w:r w:rsidR="000420AA">
        <w:t xml:space="preserve">; </w:t>
      </w:r>
      <w:r>
        <w:t>biobanks should primarily serve their source populations' health priorities.</w:t>
      </w:r>
    </w:p>
    <w:p w14:paraId="6709CD8A" w14:textId="77777777" w:rsidR="000D174D" w:rsidRDefault="00000000">
      <w:pPr>
        <w:spacing w:after="360"/>
      </w:pPr>
      <w:r>
        <w:t>HEIM quantifies perspective (a) and makes no claims about (b). A biobank in Finland focusing on cardiovascular disease is serving its population appropriately even if not addressing malaria. Our alignment ratio should be interpreted with this caveat: it measures alignment with global burden, not appropriateness of research priorities for source populations.</w:t>
      </w:r>
    </w:p>
    <w:p w14:paraId="7E1F0ED5" w14:textId="77777777" w:rsidR="000D174D" w:rsidRDefault="00000000">
      <w:pPr>
        <w:pStyle w:val="Heading2"/>
      </w:pPr>
      <w:r>
        <w:t>Scope of HEIM metrics</w:t>
      </w:r>
    </w:p>
    <w:p w14:paraId="0888EA35" w14:textId="77777777" w:rsidR="000D174D" w:rsidRDefault="00000000">
      <w:pPr>
        <w:spacing w:after="360"/>
      </w:pPr>
      <w:r>
        <w:t xml:space="preserve">HEIM metrics quantify thematic alignment between biobank research outputs and global disease burden. The framework explicitly does </w:t>
      </w:r>
      <w:r>
        <w:rPr>
          <w:i/>
          <w:iCs/>
        </w:rPr>
        <w:t>not</w:t>
      </w:r>
      <w:r>
        <w:t xml:space="preserve"> </w:t>
      </w:r>
      <w:proofErr w:type="gramStart"/>
      <w:r>
        <w:t>assess:</w:t>
      </w:r>
      <w:proofErr w:type="gramEnd"/>
      <w:r>
        <w:t xml:space="preserve"> research quality or methodological rigour; participant-level ancestral or demographic diversity; data governance structures or access policies; benefit-sharing arrangements with source communities; or translational impact or clinical implementation. Observed patterns in alignment metrics may reflect differential research capacity, funding constraints aligned with national mandates, disease epidemiology that limits biobank-based study designs, or deliberate institutional choices. The framework identifies patterns; attributing causation requires additional investigation.</w:t>
      </w:r>
    </w:p>
    <w:p w14:paraId="078DAB3B" w14:textId="77777777" w:rsidR="000D174D" w:rsidRDefault="00000000">
      <w:pPr>
        <w:pStyle w:val="Heading2"/>
      </w:pPr>
      <w:r>
        <w:t>Study design and data sources</w:t>
      </w:r>
    </w:p>
    <w:p w14:paraId="60EE9DD8" w14:textId="77777777" w:rsidR="000D174D" w:rsidRDefault="00000000">
      <w:pPr>
        <w:spacing w:after="240"/>
      </w:pPr>
      <w:r>
        <w:t>We conducted a cross-sectional analysis of biobank research output relative to global disease burden. The study population comprised all biobanks registered with the IHCC Global Cohort Atlas as of December 2025 with at least one PubMed-indexed publication (70 of 79 registered cohorts).</w:t>
      </w:r>
      <w:r>
        <w:rPr>
          <w:sz w:val="20"/>
          <w:szCs w:val="20"/>
          <w:vertAlign w:val="superscript"/>
        </w:rPr>
        <w:t>11</w:t>
      </w:r>
    </w:p>
    <w:p w14:paraId="3D2A5623" w14:textId="77777777" w:rsidR="000D174D" w:rsidRDefault="00000000">
      <w:pPr>
        <w:spacing w:after="240"/>
      </w:pPr>
      <w:r>
        <w:t>Publication data were retrieved from PubMed using the NCBI Entrez API with biobank-specific queries constructed from institution names, acronyms, and known variants (Supplementary Table S1). Searches used [Title/Abstract] field restriction to maximise precision. The search period spanned January 2000 to December 2025. Medical Subject Headings (</w:t>
      </w:r>
      <w:proofErr w:type="spellStart"/>
      <w:r>
        <w:t>MeSH</w:t>
      </w:r>
      <w:proofErr w:type="spellEnd"/>
      <w:r>
        <w:t>) terms were extracted and mapped to 179 disease categories from the Global Burden of Disease (GBD) Study 2021 using a manually curated dictionary (Supplementary Table S2). Publications were mapped to all applicable GBD causes, allowing one publication to contribute to multiple disease categories. Manual validation of 200 randomly sampled publications showed 92% concordance with automated mapping (precision 94.2%, recall 91.8%, F1 93.0%).</w:t>
      </w:r>
    </w:p>
    <w:p w14:paraId="1C37616C" w14:textId="77777777" w:rsidR="000D174D" w:rsidRDefault="00000000">
      <w:pPr>
        <w:spacing w:after="360"/>
      </w:pPr>
      <w:r>
        <w:lastRenderedPageBreak/>
        <w:t>Disease burden data (disability-adjusted life years [DALYs], deaths, prevalence) were obtained from the Institute for Health Metrics and Evaluation GBD 2021 dataset, using global, all-age, both-sexes estimates.</w:t>
      </w:r>
      <w:r>
        <w:rPr>
          <w:sz w:val="20"/>
          <w:szCs w:val="20"/>
          <w:vertAlign w:val="superscript"/>
        </w:rPr>
        <w:t>12</w:t>
      </w:r>
      <w:r>
        <w:t xml:space="preserve"> Biobanks were classified by World Bank 2024 income categories: 52 from high-income countries (HIC) and 18 from low- and middle-income countries (LMIC).</w:t>
      </w:r>
    </w:p>
    <w:p w14:paraId="13A12482" w14:textId="77777777" w:rsidR="000D174D" w:rsidRDefault="00000000">
      <w:pPr>
        <w:pStyle w:val="Heading2"/>
      </w:pPr>
      <w:r>
        <w:t>HEIM framework metrics</w:t>
      </w:r>
    </w:p>
    <w:p w14:paraId="28025284" w14:textId="77777777" w:rsidR="000D174D" w:rsidRDefault="00000000">
      <w:pPr>
        <w:spacing w:after="240"/>
      </w:pPr>
      <w:r>
        <w:t>The HEIM framework comprises three integrated metrics (Figure 1). Full formula specifications are provided in Supplementary Table S3.</w:t>
      </w:r>
    </w:p>
    <w:p w14:paraId="7C2449C5" w14:textId="5CBB661A" w:rsidR="000D174D" w:rsidRDefault="000420AA">
      <w:pPr>
        <w:spacing w:before="360" w:after="120"/>
        <w:jc w:val="center"/>
      </w:pPr>
      <w:r>
        <w:rPr>
          <w:noProof/>
        </w:rPr>
        <w:drawing>
          <wp:inline distT="0" distB="0" distL="0" distR="0" wp14:anchorId="1C48E69D" wp14:editId="3DE72A90">
            <wp:extent cx="5943600" cy="2590800"/>
            <wp:effectExtent l="0" t="0" r="0" b="0"/>
            <wp:docPr id="11773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30463" name="Picture 1177330463"/>
                    <pic:cNvPicPr/>
                  </pic:nvPicPr>
                  <pic:blipFill>
                    <a:blip r:embed="rId7"/>
                    <a:stretch>
                      <a:fillRect/>
                    </a:stretch>
                  </pic:blipFill>
                  <pic:spPr>
                    <a:xfrm>
                      <a:off x="0" y="0"/>
                      <a:ext cx="5943600" cy="2590800"/>
                    </a:xfrm>
                    <a:prstGeom prst="rect">
                      <a:avLst/>
                    </a:prstGeom>
                  </pic:spPr>
                </pic:pic>
              </a:graphicData>
            </a:graphic>
          </wp:inline>
        </w:drawing>
      </w:r>
    </w:p>
    <w:p w14:paraId="172F1722" w14:textId="77777777" w:rsidR="000D174D" w:rsidRDefault="00000000">
      <w:pPr>
        <w:spacing w:after="360"/>
        <w:jc w:val="both"/>
      </w:pPr>
      <w:r>
        <w:rPr>
          <w:sz w:val="20"/>
          <w:szCs w:val="20"/>
        </w:rPr>
        <w:t>Figure 1. Health Equity Informative Metrics (HEIM) framework. Schematic representation of the Equity Alignment Score (EAS) calculation. EAS integrates three components: Gap Severity (mismatch between research output and disease burden, weight 0.4), Burden Miss (proportion of high-burden diseases with inadequate coverage, weight 0.3), and Capacity Penalty (underutilisation in underrepresented settings, weight 0.3). Scores range from 0-100 and are categorised as High (≥70), Moderate (40-69), or Low (&lt;40).</w:t>
      </w:r>
    </w:p>
    <w:p w14:paraId="049743E7" w14:textId="77777777" w:rsidR="000D174D" w:rsidRDefault="00000000">
      <w:pPr>
        <w:spacing w:after="120"/>
      </w:pPr>
      <w:r>
        <w:rPr>
          <w:b/>
          <w:bCs/>
        </w:rPr>
        <w:t xml:space="preserve">Burden Score </w:t>
      </w:r>
      <w:r>
        <w:t>quantifies global health importance of each disease:</w:t>
      </w:r>
    </w:p>
    <w:p w14:paraId="3A14B282" w14:textId="77777777" w:rsidR="000D174D" w:rsidRDefault="00000000">
      <w:pPr>
        <w:spacing w:before="120" w:after="120"/>
        <w:jc w:val="center"/>
      </w:pPr>
      <w:r>
        <w:rPr>
          <w:i/>
          <w:iCs/>
        </w:rPr>
        <w:t>Burden Score = (0.5 × DALYs) + (50 × Deaths) + [10 × log</w:t>
      </w:r>
      <w:r>
        <w:rPr>
          <w:sz w:val="20"/>
          <w:szCs w:val="20"/>
        </w:rPr>
        <w:t>10</w:t>
      </w:r>
      <w:r>
        <w:rPr>
          <w:i/>
          <w:iCs/>
        </w:rPr>
        <w:t>(Prevalence)]</w:t>
      </w:r>
    </w:p>
    <w:p w14:paraId="47110AE7" w14:textId="77777777" w:rsidR="000D174D" w:rsidRDefault="00000000">
      <w:pPr>
        <w:spacing w:after="240"/>
      </w:pPr>
      <w:r>
        <w:t>Coefficients were iteratively calibrated against GBD priority rankings (Spearman ρ = 0.97 with raw DALY rankings). Sensitivity analysis varying each coefficient by ±20% and ±50% produced stable disease rankings (all ρ = 1.0 with baseline; Supplementary Table S4).</w:t>
      </w:r>
    </w:p>
    <w:p w14:paraId="73DC2C69" w14:textId="77777777" w:rsidR="000D174D" w:rsidRDefault="00000000">
      <w:pPr>
        <w:spacing w:after="120"/>
      </w:pPr>
      <w:r>
        <w:rPr>
          <w:b/>
          <w:bCs/>
        </w:rPr>
        <w:t xml:space="preserve">Gap Score </w:t>
      </w:r>
      <w:r>
        <w:t>(range 0-100) measures mismatch between burden and research attention. Diseases with zero publications received a score of 95; remaining diseases were scored based on publication density relative to burden using decile thresholds. Gap severity classification: Critical (&gt;70), High (50-70), Moderate (30-50), Low (&lt;30). Sensitivity analysis across five threshold schemes yielded Spearman ρ = 0.96-1.0 with baseline.</w:t>
      </w:r>
    </w:p>
    <w:p w14:paraId="60A0B8F2" w14:textId="77777777" w:rsidR="000D174D" w:rsidRDefault="00000000">
      <w:pPr>
        <w:spacing w:after="120"/>
      </w:pPr>
      <w:r>
        <w:rPr>
          <w:b/>
          <w:bCs/>
        </w:rPr>
        <w:t xml:space="preserve">Equity Alignment Score (EAS) </w:t>
      </w:r>
      <w:r>
        <w:t>provides biobank-level assessment:</w:t>
      </w:r>
    </w:p>
    <w:p w14:paraId="10E3FF0C" w14:textId="77777777" w:rsidR="000D174D" w:rsidRDefault="00000000">
      <w:pPr>
        <w:spacing w:before="120" w:after="120"/>
        <w:jc w:val="center"/>
      </w:pPr>
      <w:r>
        <w:rPr>
          <w:i/>
          <w:iCs/>
        </w:rPr>
        <w:t xml:space="preserve">EAS = 100 − (0.4 × </w:t>
      </w:r>
      <w:proofErr w:type="spellStart"/>
      <w:r>
        <w:rPr>
          <w:i/>
          <w:iCs/>
        </w:rPr>
        <w:t>Gap_Severity</w:t>
      </w:r>
      <w:proofErr w:type="spellEnd"/>
      <w:r>
        <w:rPr>
          <w:i/>
          <w:iCs/>
        </w:rPr>
        <w:t xml:space="preserve"> + 0.3 × </w:t>
      </w:r>
      <w:proofErr w:type="spellStart"/>
      <w:r>
        <w:rPr>
          <w:i/>
          <w:iCs/>
        </w:rPr>
        <w:t>Burden_Miss</w:t>
      </w:r>
      <w:proofErr w:type="spellEnd"/>
      <w:r>
        <w:rPr>
          <w:i/>
          <w:iCs/>
        </w:rPr>
        <w:t xml:space="preserve"> + 0.3 × </w:t>
      </w:r>
      <w:proofErr w:type="spellStart"/>
      <w:r>
        <w:rPr>
          <w:i/>
          <w:iCs/>
        </w:rPr>
        <w:t>Capacity_Penalty</w:t>
      </w:r>
      <w:proofErr w:type="spellEnd"/>
      <w:r>
        <w:rPr>
          <w:i/>
          <w:iCs/>
        </w:rPr>
        <w:t>)</w:t>
      </w:r>
    </w:p>
    <w:p w14:paraId="15BC2EC0" w14:textId="77777777" w:rsidR="000D174D" w:rsidRDefault="00000000">
      <w:pPr>
        <w:spacing w:after="240"/>
      </w:pPr>
      <w:r>
        <w:lastRenderedPageBreak/>
        <w:t xml:space="preserve">where </w:t>
      </w:r>
      <w:proofErr w:type="spellStart"/>
      <w:r>
        <w:t>Gap_Severity</w:t>
      </w:r>
      <w:proofErr w:type="spellEnd"/>
      <w:r>
        <w:t xml:space="preserve"> is the weighted average gap across diseases covered; </w:t>
      </w:r>
      <w:proofErr w:type="spellStart"/>
      <w:r>
        <w:t>Burden_Miss</w:t>
      </w:r>
      <w:proofErr w:type="spellEnd"/>
      <w:r>
        <w:t xml:space="preserve"> is the proportion of total DALYs in diseases with ≤2 publications from that biobank; </w:t>
      </w:r>
      <w:proofErr w:type="spellStart"/>
      <w:r>
        <w:t>Capacity_Penalty</w:t>
      </w:r>
      <w:proofErr w:type="spellEnd"/>
      <w:r>
        <w:t xml:space="preserve"> = 100 − </w:t>
      </w:r>
      <w:proofErr w:type="gramStart"/>
      <w:r>
        <w:t>min(</w:t>
      </w:r>
      <w:proofErr w:type="gramEnd"/>
      <w:r>
        <w:t>P</w:t>
      </w:r>
      <w:r>
        <w:rPr>
          <w:sz w:val="20"/>
          <w:szCs w:val="20"/>
        </w:rPr>
        <w:t>b</w:t>
      </w:r>
      <w:r>
        <w:t>/N</w:t>
      </w:r>
      <w:r>
        <w:rPr>
          <w:sz w:val="20"/>
          <w:szCs w:val="20"/>
        </w:rPr>
        <w:t>d</w:t>
      </w:r>
      <w:r>
        <w:t>, 100), where P</w:t>
      </w:r>
      <w:r>
        <w:rPr>
          <w:sz w:val="20"/>
          <w:szCs w:val="20"/>
        </w:rPr>
        <w:t>b</w:t>
      </w:r>
      <w:r>
        <w:t xml:space="preserve"> is total publications and N</w:t>
      </w:r>
      <w:r>
        <w:rPr>
          <w:sz w:val="20"/>
          <w:szCs w:val="20"/>
        </w:rPr>
        <w:t>d</w:t>
      </w:r>
      <w:r>
        <w:t xml:space="preserve"> = 179 diseases. EAS thresholds were established a priori: High (≥70), Moderate (40-69), Low (&lt;40). Sensitivity analysis across seven weight schemes yielded Spearman ρ = 0.991-0.999 with baseline rankings.</w:t>
      </w:r>
    </w:p>
    <w:p w14:paraId="6F5A48D9" w14:textId="77777777" w:rsidR="000D174D" w:rsidRDefault="00000000">
      <w:pPr>
        <w:spacing w:after="360"/>
      </w:pPr>
      <w:r>
        <w:rPr>
          <w:b/>
          <w:bCs/>
        </w:rPr>
        <w:t xml:space="preserve">Alignment Ratio </w:t>
      </w:r>
      <w:r>
        <w:t>compares research intensity (publications per DALY) between HIC and LMIC biobanks, providing a summary measure of structural disparity.</w:t>
      </w:r>
    </w:p>
    <w:p w14:paraId="75A9A982" w14:textId="77777777" w:rsidR="000D174D" w:rsidRDefault="00000000">
      <w:pPr>
        <w:pStyle w:val="Heading2"/>
      </w:pPr>
      <w:r>
        <w:t>Statistical analysis</w:t>
      </w:r>
    </w:p>
    <w:p w14:paraId="08D8EA06" w14:textId="77777777" w:rsidR="000D174D" w:rsidRDefault="00000000">
      <w:pPr>
        <w:spacing w:after="360"/>
      </w:pPr>
      <w:r>
        <w:t xml:space="preserve">We report descriptive statistics for publication counts, disease coverage, and alignment metrics. Confidence intervals for EAS were calculated using bootstrap resampling (1,000 iterations). Within-income-group percentiles were computed to contextualise alignment patterns relative to peer institutions (Supplementary Table S5). Analyses were conducted in Python 3.11 using pandas 2.2.0, </w:t>
      </w:r>
      <w:proofErr w:type="spellStart"/>
      <w:r>
        <w:t>numpy</w:t>
      </w:r>
      <w:proofErr w:type="spellEnd"/>
      <w:r>
        <w:t xml:space="preserve"> 1.26.4, and </w:t>
      </w:r>
      <w:proofErr w:type="spellStart"/>
      <w:r>
        <w:t>scipy</w:t>
      </w:r>
      <w:proofErr w:type="spellEnd"/>
      <w:r>
        <w:t xml:space="preserve"> 1.12.0 (full software versions in Supplementary Table S6).</w:t>
      </w:r>
    </w:p>
    <w:p w14:paraId="04969D28" w14:textId="77777777" w:rsidR="000D174D" w:rsidRDefault="00000000">
      <w:pPr>
        <w:pStyle w:val="Heading2"/>
      </w:pPr>
      <w:r>
        <w:t>Role of the funding source</w:t>
      </w:r>
    </w:p>
    <w:p w14:paraId="2117CB1E" w14:textId="77777777" w:rsidR="000D174D" w:rsidRDefault="00000000">
      <w:pPr>
        <w:spacing w:after="360"/>
      </w:pPr>
      <w:r>
        <w:t>No funding was received for this study. The authors had full access to all data and final responsibility for the decision to submit.</w:t>
      </w:r>
    </w:p>
    <w:p w14:paraId="0427C9F1" w14:textId="77777777" w:rsidR="000D174D" w:rsidRDefault="00000000">
      <w:pPr>
        <w:pStyle w:val="Heading1"/>
      </w:pPr>
      <w:r>
        <w:t>Results</w:t>
      </w:r>
    </w:p>
    <w:p w14:paraId="057ACE3D" w14:textId="77777777" w:rsidR="000D174D" w:rsidRDefault="00000000">
      <w:pPr>
        <w:pStyle w:val="Heading2"/>
      </w:pPr>
      <w:r>
        <w:t>Dataset overview</w:t>
      </w:r>
    </w:p>
    <w:p w14:paraId="5346A9AA" w14:textId="77777777" w:rsidR="000D174D" w:rsidRDefault="00000000">
      <w:pPr>
        <w:spacing w:after="360"/>
      </w:pPr>
      <w:r>
        <w:t>We analysed 38,595 PubMed-indexed publications from 70 IHCC-registered biobanks across 29 countries (Table 1). The 52 HIC biobanks contributed 36,096 publications (93.5%); the 18 LMIC biobanks contributed 2,499 (6.5%).</w:t>
      </w:r>
    </w:p>
    <w:p w14:paraId="58E7BEBD" w14:textId="77777777" w:rsidR="000D174D" w:rsidRDefault="00000000">
      <w:pPr>
        <w:pStyle w:val="Heading2"/>
      </w:pPr>
      <w:r>
        <w:t>Geographic distribution and regional concentration</w:t>
      </w:r>
    </w:p>
    <w:p w14:paraId="4D8D4CA6" w14:textId="77777777" w:rsidR="000D174D" w:rsidRDefault="00000000">
      <w:pPr>
        <w:spacing w:after="240"/>
      </w:pPr>
      <w:r>
        <w:t>Research output was concentrated in two regions (Figure 2, Figure 3). Europe contributed 21,482 publications (55.7%) from 25 biobanks, with UK Biobank alone accounting for 13,785 (35.7% of total output). The Americas contributed 12,433 publications (32.2%) from 20 biobanks. The Western Pacific region contributed 3,819 (9.9%) from 13 biobanks.</w:t>
      </w:r>
    </w:p>
    <w:p w14:paraId="40C25D0A" w14:textId="77777777" w:rsidR="000D174D" w:rsidRDefault="00000000">
      <w:pPr>
        <w:spacing w:after="360"/>
      </w:pPr>
      <w:r>
        <w:t>Africa (277 publications, 0.7%), Eastern Mediterranean (574, 1.5%), and South-East Asia (10, &lt;0.1%) together contributed just 2.2% of global output despite hosting substantial disease burden and 12 of 70 biobanks.</w:t>
      </w:r>
    </w:p>
    <w:p w14:paraId="7B780F36" w14:textId="5C8127AF" w:rsidR="000D174D" w:rsidRDefault="000420AA">
      <w:pPr>
        <w:spacing w:before="360" w:after="120"/>
        <w:jc w:val="center"/>
      </w:pPr>
      <w:r>
        <w:rPr>
          <w:noProof/>
        </w:rPr>
        <w:lastRenderedPageBreak/>
        <w:drawing>
          <wp:inline distT="0" distB="0" distL="0" distR="0" wp14:anchorId="61DC5497" wp14:editId="3E78EE76">
            <wp:extent cx="5943600" cy="3263265"/>
            <wp:effectExtent l="0" t="0" r="0" b="635"/>
            <wp:docPr id="1703611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1565" name="Picture 1703611565"/>
                    <pic:cNvPicPr/>
                  </pic:nvPicPr>
                  <pic:blipFill>
                    <a:blip r:embed="rId8"/>
                    <a:stretch>
                      <a:fillRect/>
                    </a:stretch>
                  </pic:blipFill>
                  <pic:spPr>
                    <a:xfrm>
                      <a:off x="0" y="0"/>
                      <a:ext cx="5943600" cy="3263265"/>
                    </a:xfrm>
                    <a:prstGeom prst="rect">
                      <a:avLst/>
                    </a:prstGeom>
                  </pic:spPr>
                </pic:pic>
              </a:graphicData>
            </a:graphic>
          </wp:inline>
        </w:drawing>
      </w:r>
    </w:p>
    <w:p w14:paraId="47EC8EDE" w14:textId="77777777" w:rsidR="000D174D" w:rsidRDefault="00000000">
      <w:pPr>
        <w:spacing w:after="360"/>
        <w:jc w:val="both"/>
      </w:pPr>
      <w:r>
        <w:rPr>
          <w:sz w:val="20"/>
          <w:szCs w:val="20"/>
        </w:rPr>
        <w:t>Figure 2. Geographic distribution of 70 IHCC-registered biobanks. World map showing locations and EAS categories of analysed biobanks. Circle size is proportional to publication volume. Colours indicate EAS category: green (High, ≥70), cyan (Moderate, 40-69), red (Low, &lt;40). Note concentration of high-volume biobanks in Europe and the Americas, with minimal representation in Africa, Eastern Mediterranean, and South-East Asia.</w:t>
      </w:r>
    </w:p>
    <w:p w14:paraId="5931A50D" w14:textId="6A2CC539" w:rsidR="000D174D" w:rsidRDefault="00CF3235">
      <w:pPr>
        <w:spacing w:before="360" w:after="120"/>
        <w:jc w:val="center"/>
      </w:pPr>
      <w:r>
        <w:rPr>
          <w:noProof/>
        </w:rPr>
        <w:drawing>
          <wp:inline distT="0" distB="0" distL="0" distR="0" wp14:anchorId="52971132" wp14:editId="6FB48927">
            <wp:extent cx="5943600" cy="2229485"/>
            <wp:effectExtent l="0" t="0" r="0" b="5715"/>
            <wp:docPr id="1010536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6850" name="Picture 1010536850"/>
                    <pic:cNvPicPr/>
                  </pic:nvPicPr>
                  <pic:blipFill>
                    <a:blip r:embed="rId9"/>
                    <a:stretch>
                      <a:fillRect/>
                    </a:stretch>
                  </pic:blipFill>
                  <pic:spPr>
                    <a:xfrm>
                      <a:off x="0" y="0"/>
                      <a:ext cx="5943600" cy="2229485"/>
                    </a:xfrm>
                    <a:prstGeom prst="rect">
                      <a:avLst/>
                    </a:prstGeom>
                  </pic:spPr>
                </pic:pic>
              </a:graphicData>
            </a:graphic>
          </wp:inline>
        </w:drawing>
      </w:r>
    </w:p>
    <w:p w14:paraId="6095CBB9" w14:textId="77777777" w:rsidR="000D174D" w:rsidRDefault="00000000">
      <w:pPr>
        <w:spacing w:after="360"/>
        <w:jc w:val="both"/>
      </w:pPr>
      <w:r>
        <w:rPr>
          <w:sz w:val="20"/>
          <w:szCs w:val="20"/>
        </w:rPr>
        <w:t xml:space="preserve">Figure 3. Regional distribution of biobank-linked publications. (A) Publications by WHO region showing stark concentration in Europe (55.7%) and the Americas (32.2%). (B) Pie chart of publication </w:t>
      </w:r>
      <w:proofErr w:type="gramStart"/>
      <w:r>
        <w:rPr>
          <w:sz w:val="20"/>
          <w:szCs w:val="20"/>
        </w:rPr>
        <w:t>share</w:t>
      </w:r>
      <w:proofErr w:type="gramEnd"/>
      <w:r>
        <w:rPr>
          <w:sz w:val="20"/>
          <w:szCs w:val="20"/>
        </w:rPr>
        <w:t xml:space="preserve"> with absolute counts annotated.</w:t>
      </w:r>
    </w:p>
    <w:p w14:paraId="6DB5568A" w14:textId="77777777" w:rsidR="000D174D" w:rsidRDefault="00000000">
      <w:pPr>
        <w:pStyle w:val="Heading2"/>
      </w:pPr>
      <w:r>
        <w:t>Alignment ratio</w:t>
      </w:r>
    </w:p>
    <w:p w14:paraId="60C5E045" w14:textId="77777777" w:rsidR="000D174D" w:rsidRDefault="00000000">
      <w:pPr>
        <w:spacing w:after="360"/>
      </w:pPr>
      <w:r>
        <w:t xml:space="preserve">HIC biobanks produced substantially higher research output per unit of disease burden than LMIC biobanks (Figure 4). The alignment ratio was 57.8:1, indicating that for equivalent disease burden, HIC biobanks generate nearly 58 times more research. This ratio reflects structural </w:t>
      </w:r>
      <w:r>
        <w:lastRenderedPageBreak/>
        <w:t>differences in research infrastructure, funding, and institutional capacity rather than individual institutional choices.</w:t>
      </w:r>
    </w:p>
    <w:p w14:paraId="2239A5BD" w14:textId="79447956" w:rsidR="000D174D" w:rsidRDefault="00D13008">
      <w:pPr>
        <w:spacing w:before="360" w:after="120"/>
        <w:jc w:val="center"/>
      </w:pPr>
      <w:r>
        <w:rPr>
          <w:noProof/>
        </w:rPr>
        <w:drawing>
          <wp:inline distT="0" distB="0" distL="0" distR="0" wp14:anchorId="52EFDFA3" wp14:editId="3ED0032F">
            <wp:extent cx="5943600" cy="2451100"/>
            <wp:effectExtent l="0" t="0" r="0" b="0"/>
            <wp:docPr id="759076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76873" name="Picture 759076873"/>
                    <pic:cNvPicPr/>
                  </pic:nvPicPr>
                  <pic:blipFill>
                    <a:blip r:embed="rId10"/>
                    <a:stretch>
                      <a:fillRect/>
                    </a:stretch>
                  </pic:blipFill>
                  <pic:spPr>
                    <a:xfrm>
                      <a:off x="0" y="0"/>
                      <a:ext cx="5943600" cy="2451100"/>
                    </a:xfrm>
                    <a:prstGeom prst="rect">
                      <a:avLst/>
                    </a:prstGeom>
                  </pic:spPr>
                </pic:pic>
              </a:graphicData>
            </a:graphic>
          </wp:inline>
        </w:drawing>
      </w:r>
    </w:p>
    <w:p w14:paraId="18980201" w14:textId="77777777" w:rsidR="000D174D" w:rsidRDefault="00000000">
      <w:pPr>
        <w:spacing w:after="360"/>
        <w:jc w:val="both"/>
      </w:pPr>
      <w:r>
        <w:rPr>
          <w:sz w:val="20"/>
          <w:szCs w:val="20"/>
        </w:rPr>
        <w:t>Figure 4. Research intensity by income group. (A) Publication volume comparison showing 36,096 publications from 52 HIC biobanks versus 2,499 from 18 LMIC biobanks. (B) Equity ratio of 57.8:1, indicating HIC biobanks produce 57.8 times more research per unit of disease burden than LMIC biobanks.</w:t>
      </w:r>
    </w:p>
    <w:p w14:paraId="1A9198A3" w14:textId="77777777" w:rsidR="000D174D" w:rsidRDefault="00000000">
      <w:pPr>
        <w:pStyle w:val="Heading2"/>
      </w:pPr>
      <w:r>
        <w:t>Disease-level gaps</w:t>
      </w:r>
    </w:p>
    <w:p w14:paraId="5E996880" w14:textId="77777777" w:rsidR="000D174D" w:rsidRDefault="00000000">
      <w:pPr>
        <w:spacing w:after="240"/>
      </w:pPr>
      <w:r>
        <w:t>Of 179 disease categories, 22 (12%) showed critical gaps (Gap Score &gt;70), 26 (15%) high gaps, 47 (26%) moderate gaps, and 84 (47%) low gaps indicating adequate coverage (Figure 5). The 48 diseases with critical or high gaps represent priority targets for intervention.</w:t>
      </w:r>
    </w:p>
    <w:p w14:paraId="3E4AD4AF" w14:textId="77777777" w:rsidR="000D174D" w:rsidRDefault="00000000">
      <w:pPr>
        <w:spacing w:after="360"/>
      </w:pPr>
      <w:r>
        <w:t>The pattern of gaps reveals concentration of research attention on conditions prevalent in HIC populations (Table 2). Among infectious diseases, malaria (55.2 million DALYs) generated only 17 publications, tuberculosis (43.1 million DALYs) had 42 publications, diarrheal diseases (46.8 million DALYs) had 46 publications, and lower respiratory infections (63.4 million DALYs) had 89 publications. Neglected tropical diseases were almost entirely absent: dengue (2.1 million DALYs, 3 publications), schistosomiasis (1.8 million DALYs, 1 publication), leishmaniasis (0.9 million DALYs, 2 publications), and lymphatic filariasis (1.3 million DALYs, 1 publication).</w:t>
      </w:r>
    </w:p>
    <w:p w14:paraId="57CE23C6" w14:textId="5F1AF411" w:rsidR="000D174D" w:rsidRDefault="00D13008">
      <w:pPr>
        <w:spacing w:before="360" w:after="120"/>
        <w:jc w:val="center"/>
      </w:pPr>
      <w:r>
        <w:rPr>
          <w:noProof/>
        </w:rPr>
        <w:lastRenderedPageBreak/>
        <w:drawing>
          <wp:inline distT="0" distB="0" distL="0" distR="0" wp14:anchorId="281218C7" wp14:editId="555BD3A8">
            <wp:extent cx="5943600" cy="2584450"/>
            <wp:effectExtent l="0" t="0" r="0" b="6350"/>
            <wp:docPr id="1394642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2240" name="Picture 1394642240"/>
                    <pic:cNvPicPr/>
                  </pic:nvPicPr>
                  <pic:blipFill>
                    <a:blip r:embed="rId11"/>
                    <a:stretch>
                      <a:fillRect/>
                    </a:stretch>
                  </pic:blipFill>
                  <pic:spPr>
                    <a:xfrm>
                      <a:off x="0" y="0"/>
                      <a:ext cx="5943600" cy="2584450"/>
                    </a:xfrm>
                    <a:prstGeom prst="rect">
                      <a:avLst/>
                    </a:prstGeom>
                  </pic:spPr>
                </pic:pic>
              </a:graphicData>
            </a:graphic>
          </wp:inline>
        </w:drawing>
      </w:r>
    </w:p>
    <w:p w14:paraId="1A3F59D8" w14:textId="77777777" w:rsidR="000D174D" w:rsidRDefault="00000000">
      <w:pPr>
        <w:spacing w:after="360"/>
        <w:jc w:val="both"/>
      </w:pPr>
      <w:r>
        <w:rPr>
          <w:sz w:val="20"/>
          <w:szCs w:val="20"/>
        </w:rPr>
        <w:t>Figure 5. Disease burden versus research attention. (A) Scatterplot of 179 disease categories showing disease burden (million DALYs, x-axis, log scale) versus publication count (y-axis, log scale). Diagonal line represents proportional alignment. Colours indicate gap severity: critical (red), high (orange), moderate (yellow), low (green). Labelled points indicate diseases with highest burden-to-research mismatch. (B) Pie chart showing gap severity distribution: 22 critical (12%), 26 high (15%), 47 moderate (26%), 84 low (47%).</w:t>
      </w:r>
    </w:p>
    <w:p w14:paraId="12EBE220" w14:textId="77777777" w:rsidR="000D174D" w:rsidRDefault="00000000">
      <w:pPr>
        <w:pStyle w:val="Heading2"/>
      </w:pPr>
      <w:r>
        <w:t>Biobank-level alignment</w:t>
      </w:r>
    </w:p>
    <w:p w14:paraId="7E4E99B2" w14:textId="08616BAE" w:rsidR="000D174D" w:rsidRDefault="00000000">
      <w:pPr>
        <w:spacing w:after="240"/>
      </w:pPr>
      <w:r>
        <w:t xml:space="preserve">EAS ranged from 1.7 to 84.6 (Figure </w:t>
      </w:r>
      <w:r w:rsidR="0093072E">
        <w:t>6</w:t>
      </w:r>
      <w:r>
        <w:t>). The distribution was heavily skewed: High (≥70): 1 biobank (1.4%); Moderate (40-69): 13 biobanks (18.6%); Low (&lt;40): 56 biobanks (80.0%).</w:t>
      </w:r>
    </w:p>
    <w:p w14:paraId="286B4B16" w14:textId="3BB6EEC1" w:rsidR="000D174D" w:rsidRDefault="0093072E">
      <w:pPr>
        <w:spacing w:before="360" w:after="120"/>
        <w:jc w:val="center"/>
      </w:pPr>
      <w:r>
        <w:rPr>
          <w:noProof/>
        </w:rPr>
        <w:drawing>
          <wp:inline distT="0" distB="0" distL="0" distR="0" wp14:anchorId="73F2465D" wp14:editId="1F51C716">
            <wp:extent cx="5943600" cy="2447925"/>
            <wp:effectExtent l="0" t="0" r="0" b="3175"/>
            <wp:docPr id="351064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4836" name="Picture 351064836"/>
                    <pic:cNvPicPr/>
                  </pic:nvPicPr>
                  <pic:blipFill>
                    <a:blip r:embed="rId12"/>
                    <a:stretch>
                      <a:fillRect/>
                    </a:stretch>
                  </pic:blipFill>
                  <pic:spPr>
                    <a:xfrm>
                      <a:off x="0" y="0"/>
                      <a:ext cx="5943600" cy="2447925"/>
                    </a:xfrm>
                    <a:prstGeom prst="rect">
                      <a:avLst/>
                    </a:prstGeom>
                  </pic:spPr>
                </pic:pic>
              </a:graphicData>
            </a:graphic>
          </wp:inline>
        </w:drawing>
      </w:r>
    </w:p>
    <w:p w14:paraId="372C436A" w14:textId="3FDD2FC9" w:rsidR="000D174D" w:rsidRDefault="00000000">
      <w:pPr>
        <w:spacing w:after="360"/>
        <w:jc w:val="both"/>
      </w:pPr>
      <w:r>
        <w:rPr>
          <w:sz w:val="20"/>
          <w:szCs w:val="20"/>
        </w:rPr>
        <w:t xml:space="preserve">Figure </w:t>
      </w:r>
      <w:r w:rsidR="0093072E">
        <w:rPr>
          <w:sz w:val="20"/>
          <w:szCs w:val="20"/>
        </w:rPr>
        <w:t>6</w:t>
      </w:r>
      <w:r>
        <w:rPr>
          <w:sz w:val="20"/>
          <w:szCs w:val="20"/>
        </w:rPr>
        <w:t>. Equity Alignment Score distribution. (A) Histogram showing EAS distribution across 70 biobanks with category boundaries marked. (B) Bar chart showing category counts: 1 High (1.4%), 13 Moderate (18.6%), 56 Low (80.0%).</w:t>
      </w:r>
    </w:p>
    <w:p w14:paraId="38230ABB" w14:textId="589E2F22" w:rsidR="000D174D" w:rsidRDefault="00000000">
      <w:pPr>
        <w:spacing w:after="240"/>
      </w:pPr>
      <w:r>
        <w:t xml:space="preserve">UK Biobank was the sole institution achieving High alignment (EAS 84.6, 95% CI 82.1-87.1), contributing 35.7% of all publications across 163 disease categories (Figure </w:t>
      </w:r>
      <w:r w:rsidR="0093072E">
        <w:t>7</w:t>
      </w:r>
      <w:r>
        <w:t xml:space="preserve">). The 29-point gap </w:t>
      </w:r>
      <w:r>
        <w:lastRenderedPageBreak/>
        <w:t>between UK Biobank and second-ranked Nurses' Health Study (EAS 55.2) reflects UK Biobank's exceptional scale, open-access data model, and global research network.</w:t>
      </w:r>
    </w:p>
    <w:p w14:paraId="335F7DE1" w14:textId="77777777" w:rsidR="000D174D" w:rsidRDefault="00000000">
      <w:pPr>
        <w:spacing w:after="360"/>
      </w:pPr>
      <w:r>
        <w:t xml:space="preserve">Among LMIC biobanks, China </w:t>
      </w:r>
      <w:proofErr w:type="spellStart"/>
      <w:r>
        <w:t>Kadoorie</w:t>
      </w:r>
      <w:proofErr w:type="spellEnd"/>
      <w:r>
        <w:t xml:space="preserve"> Biobank achieved the highest score (EAS 41.6, 583 publications), followed by ELSA-</w:t>
      </w:r>
      <w:proofErr w:type="spellStart"/>
      <w:r>
        <w:t>Brasil</w:t>
      </w:r>
      <w:proofErr w:type="spellEnd"/>
      <w:r>
        <w:t xml:space="preserve"> (38.0), Qatar Biobank (21.2), and AWI-Gen (10.8). These institutions provide critical representation for underserved populations but face systematic resource constraints.</w:t>
      </w:r>
    </w:p>
    <w:p w14:paraId="716CE153" w14:textId="2B65EEF0" w:rsidR="000D174D" w:rsidRDefault="0093072E">
      <w:pPr>
        <w:spacing w:before="360" w:after="120"/>
        <w:jc w:val="center"/>
      </w:pPr>
      <w:r>
        <w:rPr>
          <w:noProof/>
        </w:rPr>
        <w:drawing>
          <wp:inline distT="0" distB="0" distL="0" distR="0" wp14:anchorId="008C2683" wp14:editId="54DA3A6B">
            <wp:extent cx="5943600" cy="3946525"/>
            <wp:effectExtent l="0" t="0" r="0" b="3175"/>
            <wp:docPr id="283259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9569" name="Picture 283259569"/>
                    <pic:cNvPicPr/>
                  </pic:nvPicPr>
                  <pic:blipFill>
                    <a:blip r:embed="rId13"/>
                    <a:stretch>
                      <a:fillRect/>
                    </a:stretch>
                  </pic:blipFill>
                  <pic:spPr>
                    <a:xfrm>
                      <a:off x="0" y="0"/>
                      <a:ext cx="5943600" cy="3946525"/>
                    </a:xfrm>
                    <a:prstGeom prst="rect">
                      <a:avLst/>
                    </a:prstGeom>
                  </pic:spPr>
                </pic:pic>
              </a:graphicData>
            </a:graphic>
          </wp:inline>
        </w:drawing>
      </w:r>
    </w:p>
    <w:p w14:paraId="790D1D04" w14:textId="086AFA7A" w:rsidR="000D174D" w:rsidRDefault="00000000">
      <w:pPr>
        <w:spacing w:after="360"/>
        <w:jc w:val="both"/>
      </w:pPr>
      <w:r>
        <w:rPr>
          <w:sz w:val="20"/>
          <w:szCs w:val="20"/>
        </w:rPr>
        <w:t xml:space="preserve">Figure </w:t>
      </w:r>
      <w:r w:rsidR="0093072E">
        <w:rPr>
          <w:sz w:val="20"/>
          <w:szCs w:val="20"/>
        </w:rPr>
        <w:t>7</w:t>
      </w:r>
      <w:r>
        <w:rPr>
          <w:sz w:val="20"/>
          <w:szCs w:val="20"/>
        </w:rPr>
        <w:t>. Top 15 biobanks by Equity Alignment Score. Horizontal bar chart showing EAS with 95% confidence intervals for the 15 highest-ranked biobanks. Colours indicate category: green (High), cyan (Moderate), red (Low). Numbers indicate publication counts. UK Biobank (EAS 84.6, 13,785 publications) is the sole High-rated institution, with a 29-point gap to second-ranked Nurses' Health Study.</w:t>
      </w:r>
    </w:p>
    <w:p w14:paraId="071F2A01" w14:textId="77777777" w:rsidR="000D174D" w:rsidRDefault="00000000">
      <w:pPr>
        <w:pStyle w:val="Heading2"/>
      </w:pPr>
      <w:r>
        <w:t>Within-income-group alignment patterns</w:t>
      </w:r>
    </w:p>
    <w:p w14:paraId="519B0C1A" w14:textId="77777777" w:rsidR="000D174D" w:rsidRDefault="00000000">
      <w:pPr>
        <w:spacing w:after="360"/>
      </w:pPr>
      <w:r>
        <w:t>To contextualise alignment patterns relative to biobank capacity, we computed EAS percentiles within income groups. Mean EAS varied across income groups: HIC biobanks exhibited mean EAS of 38.2 (SD: 12.4), UMIC showed 24.7 (SD: 8.9), LMIC exhibited 18.3 (SD: 6.2), and LIC showed 15.3 (SD: 4.8). Within-group percentile rankings identify biobanks that outperform peers with comparable resources, distinguishing structural constraints from alignment choices (Supplementary Table S5).</w:t>
      </w:r>
    </w:p>
    <w:p w14:paraId="4D123345" w14:textId="77777777" w:rsidR="00DE46D7" w:rsidRDefault="00DE46D7">
      <w:pPr>
        <w:spacing w:after="360"/>
      </w:pPr>
    </w:p>
    <w:p w14:paraId="442C33F0" w14:textId="77777777" w:rsidR="000D174D" w:rsidRDefault="00000000">
      <w:pPr>
        <w:pStyle w:val="Heading2"/>
      </w:pPr>
      <w:r>
        <w:lastRenderedPageBreak/>
        <w:t>Temporal trends</w:t>
      </w:r>
    </w:p>
    <w:p w14:paraId="6ED146A4" w14:textId="69F92149" w:rsidR="000D174D" w:rsidRDefault="00000000">
      <w:pPr>
        <w:spacing w:after="360"/>
      </w:pPr>
      <w:r>
        <w:t xml:space="preserve">Publication output grew approximately 604% between 2015 and 2024, reaching 6,200 publications annually by 2024 (Figure </w:t>
      </w:r>
      <w:r w:rsidR="00DE46D7">
        <w:t>8</w:t>
      </w:r>
      <w:r>
        <w:t>). This acceleration reflects expanded data access and growing recognition of biobanks as essential research infrastructure.</w:t>
      </w:r>
    </w:p>
    <w:p w14:paraId="6D8FF437" w14:textId="7BB9F655" w:rsidR="000D174D" w:rsidRDefault="00DE46D7">
      <w:pPr>
        <w:spacing w:before="360" w:after="120"/>
        <w:jc w:val="center"/>
      </w:pPr>
      <w:r>
        <w:rPr>
          <w:noProof/>
        </w:rPr>
        <w:drawing>
          <wp:inline distT="0" distB="0" distL="0" distR="0" wp14:anchorId="282C1A42" wp14:editId="3E39B8C8">
            <wp:extent cx="5943600" cy="2096135"/>
            <wp:effectExtent l="0" t="0" r="0" b="0"/>
            <wp:docPr id="1962637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37485" name="Picture 1962637485"/>
                    <pic:cNvPicPr/>
                  </pic:nvPicPr>
                  <pic:blipFill>
                    <a:blip r:embed="rId14"/>
                    <a:stretch>
                      <a:fillRect/>
                    </a:stretch>
                  </pic:blipFill>
                  <pic:spPr>
                    <a:xfrm>
                      <a:off x="0" y="0"/>
                      <a:ext cx="5943600" cy="2096135"/>
                    </a:xfrm>
                    <a:prstGeom prst="rect">
                      <a:avLst/>
                    </a:prstGeom>
                  </pic:spPr>
                </pic:pic>
              </a:graphicData>
            </a:graphic>
          </wp:inline>
        </w:drawing>
      </w:r>
    </w:p>
    <w:p w14:paraId="4698DEBC" w14:textId="3E8FE51E" w:rsidR="000D174D" w:rsidRDefault="00000000">
      <w:pPr>
        <w:spacing w:after="360"/>
        <w:jc w:val="both"/>
      </w:pPr>
      <w:r>
        <w:rPr>
          <w:sz w:val="20"/>
          <w:szCs w:val="20"/>
        </w:rPr>
        <w:t xml:space="preserve">Figure </w:t>
      </w:r>
      <w:r w:rsidR="00DE46D7">
        <w:rPr>
          <w:sz w:val="20"/>
          <w:szCs w:val="20"/>
        </w:rPr>
        <w:t>8</w:t>
      </w:r>
      <w:r>
        <w:rPr>
          <w:sz w:val="20"/>
          <w:szCs w:val="20"/>
        </w:rPr>
        <w:t>. Temporal trends in biobank-linked publications. (A) Annual publication output (2000-2025) showing approximately 604% growth between 2015 and 2024. (B) Cumulative publication growth reaching 36,416 total.</w:t>
      </w:r>
    </w:p>
    <w:p w14:paraId="7E47AFAC" w14:textId="77777777" w:rsidR="000D174D" w:rsidRDefault="00000000">
      <w:pPr>
        <w:pStyle w:val="Heading1"/>
      </w:pPr>
      <w:r>
        <w:t>Discussion</w:t>
      </w:r>
    </w:p>
    <w:p w14:paraId="1F2B5F15" w14:textId="3666539F" w:rsidR="000D174D" w:rsidRDefault="00000000">
      <w:pPr>
        <w:spacing w:after="240"/>
      </w:pPr>
      <w:r>
        <w:t xml:space="preserve">This study presents </w:t>
      </w:r>
      <w:r w:rsidR="004D0F1C">
        <w:t xml:space="preserve">a </w:t>
      </w:r>
      <w:r>
        <w:t>standardised alignment analysis across the IHCC biobank registry, identifying three principal patterns that warrant attention from the global health research community.</w:t>
      </w:r>
    </w:p>
    <w:p w14:paraId="5DEB7D5F" w14:textId="77777777" w:rsidR="000D174D" w:rsidRDefault="00000000">
      <w:pPr>
        <w:spacing w:after="240"/>
      </w:pPr>
      <w:r>
        <w:t>First, the 57.8:1 alignment ratio quantifies substantial disparity in research capacity. For every unit of disease burden, HIC biobanks generate nearly 58 times more research than LMIC counterparts. This pattern is consistent with structural differences in research infrastructure rather than individual institutional choices. Alternative explanations include differential funding availability, research workforce capacity, and institutional age.</w:t>
      </w:r>
    </w:p>
    <w:p w14:paraId="2E359010" w14:textId="74C79D85" w:rsidR="000D174D" w:rsidRDefault="00000000">
      <w:pPr>
        <w:spacing w:after="240"/>
      </w:pPr>
      <w:r>
        <w:t>Second, 48 diseases (27%) show critical or high research gaps despite substantial global burden. Infectious diseases including malaria, tuberculosis, diarrheal diseases, and lower respiratory infections</w:t>
      </w:r>
      <w:r w:rsidR="0099293E">
        <w:t xml:space="preserve"> (</w:t>
      </w:r>
      <w:r>
        <w:t>responsible for over 200 million DALYs</w:t>
      </w:r>
      <w:r w:rsidR="0099293E">
        <w:t xml:space="preserve">) </w:t>
      </w:r>
      <w:r>
        <w:t>have generated fewer than 200 publications across all 70 IHCC biobanks. Neglected tropical diseases are almost entirely absent from population cohort research. These gaps may reflect research agendas shaped by the populations that biobanks serve rather than the populations that most need evidence for intervention.</w:t>
      </w:r>
    </w:p>
    <w:p w14:paraId="57E47487" w14:textId="77777777" w:rsidR="000D174D" w:rsidRDefault="00000000">
      <w:pPr>
        <w:spacing w:after="240"/>
      </w:pPr>
      <w:r>
        <w:t>Third, 80% of biobanks achieve only Low alignment. This is a systemic finding, not a judgment on individual institutions. Most biobanks appropriately prioritise conditions prevalent in their source populations. The observed pattern is structural: biobank infrastructure is concentrated in settings where infectious disease burden is lowest, while settings with highest burden lack resources to build equivalent capacity.</w:t>
      </w:r>
    </w:p>
    <w:p w14:paraId="72573A27" w14:textId="77777777" w:rsidR="000D174D" w:rsidRDefault="00000000">
      <w:pPr>
        <w:spacing w:after="360"/>
      </w:pPr>
      <w:r>
        <w:lastRenderedPageBreak/>
        <w:t>UK Biobank's exceptional performance (EAS 84.6) demonstrates what sustained investment, open data policies, and global collaboration can correlate with. However, the 29-point gap to second place suggests that UK Biobank represents an outlier enabled by unique circumstances rather than a universally achievable benchmark. For policy purposes, the Moderate threshold (40-69) represents a more realistic target that would signal meaningful engagement with global health priorities.</w:t>
      </w:r>
    </w:p>
    <w:p w14:paraId="175EE594" w14:textId="77777777" w:rsidR="000D174D" w:rsidRDefault="00000000">
      <w:pPr>
        <w:pStyle w:val="Heading2"/>
      </w:pPr>
      <w:r>
        <w:t>Comparison with prior evidence</w:t>
      </w:r>
    </w:p>
    <w:p w14:paraId="2E9A1889" w14:textId="77777777" w:rsidR="000D174D" w:rsidRDefault="00000000">
      <w:pPr>
        <w:spacing w:after="360"/>
      </w:pPr>
      <w:r>
        <w:t>Our findings are consistent with documented patterns in health research. Popejoy and Fullerton reported that Europeans comprised 79% of GWAS participants despite representing 16% of global population.</w:t>
      </w:r>
      <w:r>
        <w:rPr>
          <w:sz w:val="20"/>
          <w:szCs w:val="20"/>
          <w:vertAlign w:val="superscript"/>
        </w:rPr>
        <w:t>2</w:t>
      </w:r>
      <w:r>
        <w:t xml:space="preserve"> The WHO report found that 68% of clinical studies occur in high-income countries.</w:t>
      </w:r>
      <w:r>
        <w:rPr>
          <w:sz w:val="20"/>
          <w:szCs w:val="20"/>
          <w:vertAlign w:val="superscript"/>
        </w:rPr>
        <w:t>10</w:t>
      </w:r>
      <w:r>
        <w:t xml:space="preserve"> HEIM extends this literature by providing disease-resolved, burden-normalised metrics at the biobank level using a standardised registry, enabling reproducible benchmarking and progress tracking.</w:t>
      </w:r>
    </w:p>
    <w:p w14:paraId="68AC1B54" w14:textId="77777777" w:rsidR="000D174D" w:rsidRDefault="00000000">
      <w:pPr>
        <w:pStyle w:val="Heading2"/>
      </w:pPr>
      <w:r>
        <w:t>Limitations</w:t>
      </w:r>
    </w:p>
    <w:p w14:paraId="2DA1645F" w14:textId="77777777" w:rsidR="000D174D" w:rsidRDefault="00000000">
      <w:pPr>
        <w:spacing w:after="240"/>
      </w:pPr>
      <w:r>
        <w:t xml:space="preserve">Several limitations warrant consideration. First, our analysis captures only PubMed-indexed publications, potentially undercounting research in regional journals (LILACS, African Index Medicus, </w:t>
      </w:r>
      <w:proofErr w:type="spellStart"/>
      <w:r>
        <w:t>IndMED</w:t>
      </w:r>
      <w:proofErr w:type="spellEnd"/>
      <w:r>
        <w:t xml:space="preserve">) or non-English languages. This bias likely underestimates LMIC research output. Second, </w:t>
      </w:r>
      <w:proofErr w:type="spellStart"/>
      <w:r>
        <w:t>MeSH</w:t>
      </w:r>
      <w:proofErr w:type="spellEnd"/>
      <w:r>
        <w:t xml:space="preserve"> mapping achieved 92% accuracy; some disease misclassification is expected, particularly for multi-morbid conditions. Third, publication counts do not capture research quality, clinical impact, or translation to practice.</w:t>
      </w:r>
    </w:p>
    <w:p w14:paraId="239457D8" w14:textId="77777777" w:rsidR="000D174D" w:rsidRDefault="00000000">
      <w:pPr>
        <w:spacing w:after="240"/>
      </w:pPr>
      <w:r>
        <w:t>Fourth, using global DALYs as denominator is a normative choice reflecting the position that population cohort research should ultimately inform global health priorities. An alternative framing would assess whether biobanks appropriately address burden in their source populations. Fifth, the 70 IHCC-registered biobanks represent a defined sample of global research capacity. Many regional cohorts, particularly in LMICs, are not registered with IHCC and thus not captured in our analysis.</w:t>
      </w:r>
    </w:p>
    <w:p w14:paraId="0CFAD050" w14:textId="77777777" w:rsidR="000D174D" w:rsidRDefault="00000000">
      <w:pPr>
        <w:spacing w:after="360"/>
      </w:pPr>
      <w:r>
        <w:t>Sensitivity analyses across all HEIM metric parameters yielded Spearman rank correlations of ρ ≥ 0.96 with baseline metrics, demonstrating robustness to methodological choices (Supplementary Table S4).</w:t>
      </w:r>
    </w:p>
    <w:p w14:paraId="0D16548C" w14:textId="77777777" w:rsidR="000D174D" w:rsidRDefault="00000000">
      <w:pPr>
        <w:pStyle w:val="Heading2"/>
      </w:pPr>
      <w:r>
        <w:t>Policy implications</w:t>
      </w:r>
    </w:p>
    <w:p w14:paraId="2CB63D47" w14:textId="41155A41" w:rsidR="000D174D" w:rsidRDefault="00000000">
      <w:pPr>
        <w:spacing w:after="360"/>
      </w:pPr>
      <w:r>
        <w:t>The HEIM framework has immediate applications for research governance. For funders, alignment metrics can inform grant evaluation and portfolio analysis. For biobanks, HEIM enables strategic planning to identify opportunities for high-burden diseases underserved by HIC biobanks. For policymakers, alignment metrics provide evidence for infrastructure investment. The interactive dashboard (https://manuelcorpas.github.io/17-EHR/) operationalises these metrics, enabling stakeholders to explore biobank rankings, disease gaps, and regional comparisons in real time.</w:t>
      </w:r>
    </w:p>
    <w:p w14:paraId="66598C08" w14:textId="77777777" w:rsidR="000D174D" w:rsidRDefault="00000000">
      <w:pPr>
        <w:pStyle w:val="Heading2"/>
      </w:pPr>
      <w:r>
        <w:lastRenderedPageBreak/>
        <w:t>Conclusions</w:t>
      </w:r>
    </w:p>
    <w:p w14:paraId="145DF470" w14:textId="77777777" w:rsidR="000D174D" w:rsidRDefault="00000000">
      <w:pPr>
        <w:spacing w:after="240"/>
      </w:pPr>
      <w:r>
        <w:t>The HEIM framework identifies patterns consistent with misalignment between global biobank research and global disease burden. HIC biobanks produce 58 times more research per DALY than LMIC counterparts. Eighty percent of biobanks achieve only Low alignment. Infectious diseases causing over 200 million DALYs receive minimal population cohort research attention.</w:t>
      </w:r>
    </w:p>
    <w:p w14:paraId="737724E2" w14:textId="400E12E8" w:rsidR="000D174D" w:rsidRDefault="00000000">
      <w:pPr>
        <w:spacing w:after="360"/>
      </w:pPr>
      <w:r>
        <w:t>These findings are cause for action. The metrics established here provide a baseline against which progress can be measured. The diseases with critical gaps</w:t>
      </w:r>
      <w:r w:rsidR="00323B39">
        <w:t xml:space="preserve">, </w:t>
      </w:r>
      <w:r>
        <w:t>particularly malaria, tuberculosis, diarrheal diseases, lower respiratory infections, and neglected tropical diseases</w:t>
      </w:r>
      <w:r w:rsidR="00323B39">
        <w:t xml:space="preserve">, </w:t>
      </w:r>
      <w:r>
        <w:t>represent immediate priorities for targeted investment. Addressing these patterns requires sustained funding for LMIC biobanks, capacity-building in underrepresented regions, equitable collaboration frameworks, and research incentives that reward alignment with global health priorities.</w:t>
      </w:r>
    </w:p>
    <w:p w14:paraId="3CCED4C8" w14:textId="77777777" w:rsidR="000D174D" w:rsidRDefault="00000000">
      <w:r>
        <w:br w:type="page"/>
      </w:r>
    </w:p>
    <w:p w14:paraId="65C5DF09" w14:textId="77777777" w:rsidR="000D174D" w:rsidRDefault="00000000">
      <w:pPr>
        <w:spacing w:after="360"/>
        <w:jc w:val="center"/>
      </w:pPr>
      <w:r>
        <w:rPr>
          <w:b/>
          <w:bCs/>
          <w:sz w:val="32"/>
          <w:szCs w:val="32"/>
        </w:rPr>
        <w:lastRenderedPageBreak/>
        <w:t>SUPPLEMENTARY MATERIALS</w:t>
      </w:r>
    </w:p>
    <w:p w14:paraId="730A4910" w14:textId="77777777" w:rsidR="000D174D" w:rsidRDefault="00000000">
      <w:pPr>
        <w:pStyle w:val="Heading2"/>
      </w:pPr>
      <w:r>
        <w:t>Supplementary Figure S1</w:t>
      </w:r>
    </w:p>
    <w:p w14:paraId="6CA1E11F" w14:textId="398AFFBE" w:rsidR="000D174D" w:rsidRDefault="00323B39">
      <w:pPr>
        <w:spacing w:before="360" w:after="120"/>
        <w:jc w:val="center"/>
      </w:pPr>
      <w:r>
        <w:rPr>
          <w:noProof/>
        </w:rPr>
        <w:drawing>
          <wp:inline distT="0" distB="0" distL="0" distR="0" wp14:anchorId="2481E3BB" wp14:editId="77CEDFD8">
            <wp:extent cx="5943600" cy="2096135"/>
            <wp:effectExtent l="0" t="0" r="0" b="0"/>
            <wp:docPr id="434534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4638" name="Picture 434534638"/>
                    <pic:cNvPicPr/>
                  </pic:nvPicPr>
                  <pic:blipFill>
                    <a:blip r:embed="rId15"/>
                    <a:stretch>
                      <a:fillRect/>
                    </a:stretch>
                  </pic:blipFill>
                  <pic:spPr>
                    <a:xfrm>
                      <a:off x="0" y="0"/>
                      <a:ext cx="5943600" cy="2096135"/>
                    </a:xfrm>
                    <a:prstGeom prst="rect">
                      <a:avLst/>
                    </a:prstGeom>
                  </pic:spPr>
                </pic:pic>
              </a:graphicData>
            </a:graphic>
          </wp:inline>
        </w:drawing>
      </w:r>
    </w:p>
    <w:p w14:paraId="19465B46" w14:textId="77777777" w:rsidR="000D174D" w:rsidRDefault="00000000">
      <w:pPr>
        <w:spacing w:after="360"/>
        <w:jc w:val="both"/>
      </w:pPr>
      <w:r>
        <w:rPr>
          <w:sz w:val="20"/>
          <w:szCs w:val="20"/>
        </w:rPr>
        <w:t>Supplementary Figure S1. HIC versus LMIC comparison. (A) Biobank count by income group: 52 HIC, 18 LMIC. (B) Publication volume: 36,096 HIC, 2,499 LMIC. (C) EAS distribution by income group showing systematic differences in alignment scores.</w:t>
      </w:r>
    </w:p>
    <w:p w14:paraId="3B284D65" w14:textId="77777777" w:rsidR="000D174D" w:rsidRDefault="00000000">
      <w:pPr>
        <w:pStyle w:val="Heading2"/>
      </w:pPr>
      <w:r>
        <w:t>Supplementary Figure S2</w:t>
      </w:r>
    </w:p>
    <w:p w14:paraId="142DE1AD" w14:textId="136CFA4B" w:rsidR="000D174D" w:rsidRDefault="00323B39">
      <w:pPr>
        <w:spacing w:before="360" w:after="120"/>
        <w:jc w:val="center"/>
      </w:pPr>
      <w:r>
        <w:rPr>
          <w:noProof/>
        </w:rPr>
        <w:drawing>
          <wp:inline distT="0" distB="0" distL="0" distR="0" wp14:anchorId="56CABE60" wp14:editId="1B64EB55">
            <wp:extent cx="5943600" cy="2523490"/>
            <wp:effectExtent l="0" t="0" r="0" b="3810"/>
            <wp:docPr id="967121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21695" name="Picture 967121695"/>
                    <pic:cNvPicPr/>
                  </pic:nvPicPr>
                  <pic:blipFill>
                    <a:blip r:embed="rId16"/>
                    <a:stretch>
                      <a:fillRect/>
                    </a:stretch>
                  </pic:blipFill>
                  <pic:spPr>
                    <a:xfrm>
                      <a:off x="0" y="0"/>
                      <a:ext cx="5943600" cy="2523490"/>
                    </a:xfrm>
                    <a:prstGeom prst="rect">
                      <a:avLst/>
                    </a:prstGeom>
                  </pic:spPr>
                </pic:pic>
              </a:graphicData>
            </a:graphic>
          </wp:inline>
        </w:drawing>
      </w:r>
    </w:p>
    <w:p w14:paraId="3F37765A" w14:textId="77777777" w:rsidR="000D174D" w:rsidRDefault="00000000">
      <w:pPr>
        <w:spacing w:after="360"/>
        <w:jc w:val="both"/>
      </w:pPr>
      <w:r>
        <w:rPr>
          <w:sz w:val="20"/>
          <w:szCs w:val="20"/>
        </w:rPr>
        <w:t>Supplementary Figure S2. Disease category coverage. (A) Publications by disease category showing concentration in other NCDs, cancer, and cardiovascular diseases. (B) Critical gap diseases by category, with other NCDs and infectious diseases showing the most critical gaps.</w:t>
      </w:r>
    </w:p>
    <w:p w14:paraId="4DC41FA1" w14:textId="77777777" w:rsidR="000D174D" w:rsidRDefault="00000000">
      <w:r>
        <w:br w:type="page"/>
      </w:r>
    </w:p>
    <w:p w14:paraId="77FE4185" w14:textId="77777777" w:rsidR="000D174D" w:rsidRDefault="00000000">
      <w:pPr>
        <w:pStyle w:val="Heading2"/>
      </w:pPr>
      <w:r>
        <w:lastRenderedPageBreak/>
        <w:t>Supplementary Table S1. PubMed Search Queries (Representative Examples)</w:t>
      </w:r>
    </w:p>
    <w:p w14:paraId="702489F1" w14:textId="77777777" w:rsidR="000D174D" w:rsidRDefault="00000000">
      <w:pPr>
        <w:spacing w:after="240"/>
      </w:pPr>
      <w:r>
        <w:rPr>
          <w:sz w:val="20"/>
          <w:szCs w:val="20"/>
        </w:rPr>
        <w:t>All 70 biobanks were searched using [Title/Abstract] field restriction. Date range: 2000-01-01 to 2025-12-31. Full query list available at https://github.com/manuelcorpas/17-EHR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3799"/>
        <w:gridCol w:w="1500"/>
        <w:gridCol w:w="1860"/>
      </w:tblGrid>
      <w:tr w:rsidR="000D174D" w14:paraId="31F5B5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4CCE1B4" w14:textId="77777777" w:rsidR="000D174D" w:rsidRDefault="00000000">
            <w:r>
              <w:rPr>
                <w:b/>
                <w:bCs/>
                <w:sz w:val="20"/>
                <w:szCs w:val="20"/>
              </w:rPr>
              <w:t>Biobank</w:t>
            </w:r>
          </w:p>
        </w:tc>
        <w:tc>
          <w:tcPr>
            <w:tcW w:w="3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2FB99AD" w14:textId="77777777" w:rsidR="000D174D" w:rsidRDefault="00000000">
            <w:r>
              <w:rPr>
                <w:b/>
                <w:bCs/>
                <w:sz w:val="20"/>
                <w:szCs w:val="20"/>
              </w:rPr>
              <w:t>Query String</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94328D0" w14:textId="77777777" w:rsidR="000D174D" w:rsidRDefault="00000000">
            <w:r>
              <w:rPr>
                <w:b/>
                <w:bCs/>
                <w:sz w:val="20"/>
                <w:szCs w:val="20"/>
              </w:rPr>
              <w:t>Hits</w:t>
            </w:r>
          </w:p>
        </w:tc>
        <w:tc>
          <w:tcPr>
            <w:tcW w:w="1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081786C" w14:textId="77777777" w:rsidR="000D174D" w:rsidRDefault="00000000">
            <w:r>
              <w:rPr>
                <w:b/>
                <w:bCs/>
                <w:sz w:val="20"/>
                <w:szCs w:val="20"/>
              </w:rPr>
              <w:t>Notes</w:t>
            </w:r>
          </w:p>
        </w:tc>
      </w:tr>
      <w:tr w:rsidR="000D174D" w14:paraId="64E856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8E8B8" w14:textId="77777777" w:rsidR="000D174D" w:rsidRDefault="00000000">
            <w:r>
              <w:rPr>
                <w:sz w:val="20"/>
                <w:szCs w:val="20"/>
              </w:rPr>
              <w:t>UK Biobank</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4B8F4" w14:textId="77777777" w:rsidR="000D174D" w:rsidRDefault="00000000">
            <w:r>
              <w:rPr>
                <w:sz w:val="20"/>
                <w:szCs w:val="20"/>
              </w:rPr>
              <w:t>"UK Biobank"[Title/Abstract]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847E0" w14:textId="77777777" w:rsidR="000D174D" w:rsidRDefault="00000000">
            <w:r>
              <w:rPr>
                <w:sz w:val="20"/>
                <w:szCs w:val="20"/>
              </w:rPr>
              <w:t>13,785</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310B" w14:textId="77777777" w:rsidR="000D174D" w:rsidRDefault="00000000">
            <w:r>
              <w:rPr>
                <w:sz w:val="20"/>
                <w:szCs w:val="20"/>
              </w:rPr>
              <w:t>Primary name</w:t>
            </w:r>
          </w:p>
        </w:tc>
      </w:tr>
      <w:tr w:rsidR="000D174D" w14:paraId="343A38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E2E9A" w14:textId="77777777" w:rsidR="000D174D" w:rsidRDefault="00000000">
            <w:r>
              <w:rPr>
                <w:sz w:val="20"/>
                <w:szCs w:val="20"/>
              </w:rPr>
              <w:t xml:space="preserve">China </w:t>
            </w:r>
            <w:proofErr w:type="spellStart"/>
            <w:r>
              <w:rPr>
                <w:sz w:val="20"/>
                <w:szCs w:val="20"/>
              </w:rPr>
              <w:t>Kadoorie</w:t>
            </w:r>
            <w:proofErr w:type="spellEnd"/>
            <w:r>
              <w:rPr>
                <w:sz w:val="20"/>
                <w:szCs w:val="20"/>
              </w:rPr>
              <w:t xml:space="preserve"> Biobank</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EA4B0" w14:textId="77777777" w:rsidR="000D174D" w:rsidRDefault="00000000">
            <w:r>
              <w:rPr>
                <w:sz w:val="20"/>
                <w:szCs w:val="20"/>
              </w:rPr>
              <w:t xml:space="preserve">("China </w:t>
            </w:r>
            <w:proofErr w:type="spellStart"/>
            <w:r>
              <w:rPr>
                <w:sz w:val="20"/>
                <w:szCs w:val="20"/>
              </w:rPr>
              <w:t>Kadoorie</w:t>
            </w:r>
            <w:proofErr w:type="spellEnd"/>
            <w:r>
              <w:rPr>
                <w:sz w:val="20"/>
                <w:szCs w:val="20"/>
              </w:rPr>
              <w:t xml:space="preserve"> Biobank"[Title/Abstract] OR "CKB"[Title/Abstract])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0A623" w14:textId="77777777" w:rsidR="000D174D" w:rsidRDefault="00000000">
            <w:r>
              <w:rPr>
                <w:sz w:val="20"/>
                <w:szCs w:val="20"/>
              </w:rPr>
              <w:t>583</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28160" w14:textId="77777777" w:rsidR="000D174D" w:rsidRDefault="00000000">
            <w:r>
              <w:rPr>
                <w:sz w:val="20"/>
                <w:szCs w:val="20"/>
              </w:rPr>
              <w:t>Alias: CKB</w:t>
            </w:r>
          </w:p>
        </w:tc>
      </w:tr>
      <w:tr w:rsidR="000D174D" w14:paraId="41FD23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7FD39" w14:textId="77777777" w:rsidR="000D174D" w:rsidRDefault="00000000">
            <w:proofErr w:type="spellStart"/>
            <w:r>
              <w:rPr>
                <w:sz w:val="20"/>
                <w:szCs w:val="20"/>
              </w:rPr>
              <w:t>FinnGen</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A54F7" w14:textId="77777777" w:rsidR="000D174D" w:rsidRDefault="00000000">
            <w:r>
              <w:rPr>
                <w:sz w:val="20"/>
                <w:szCs w:val="20"/>
              </w:rPr>
              <w:t>"</w:t>
            </w:r>
            <w:proofErr w:type="spellStart"/>
            <w:r>
              <w:rPr>
                <w:sz w:val="20"/>
                <w:szCs w:val="20"/>
              </w:rPr>
              <w:t>FinnGen</w:t>
            </w:r>
            <w:proofErr w:type="spellEnd"/>
            <w:r>
              <w:rPr>
                <w:sz w:val="20"/>
                <w:szCs w:val="20"/>
              </w:rPr>
              <w:t>"[Title/Abstract]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A58BA" w14:textId="77777777" w:rsidR="000D174D" w:rsidRDefault="00000000">
            <w:r>
              <w:rPr>
                <w:sz w:val="20"/>
                <w:szCs w:val="20"/>
              </w:rPr>
              <w:t>1,127</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ABEF9" w14:textId="77777777" w:rsidR="000D174D" w:rsidRDefault="00000000">
            <w:r>
              <w:rPr>
                <w:sz w:val="20"/>
                <w:szCs w:val="20"/>
              </w:rPr>
              <w:t>Primary name</w:t>
            </w:r>
          </w:p>
        </w:tc>
      </w:tr>
      <w:tr w:rsidR="000D174D" w14:paraId="5F2C87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43B87" w14:textId="77777777" w:rsidR="000D174D" w:rsidRDefault="00000000">
            <w:r>
              <w:rPr>
                <w:sz w:val="20"/>
                <w:szCs w:val="20"/>
              </w:rPr>
              <w:t>Estonian Biobank</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C6F59" w14:textId="77777777" w:rsidR="000D174D" w:rsidRDefault="00000000">
            <w:r>
              <w:rPr>
                <w:sz w:val="20"/>
                <w:szCs w:val="20"/>
              </w:rPr>
              <w:t>("Estonian Biobank"[Title/Abstract] OR "Estonian Genome Project"[Title/Abstract])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8AA36" w14:textId="77777777" w:rsidR="000D174D" w:rsidRDefault="00000000">
            <w:r>
              <w:rPr>
                <w:sz w:val="20"/>
                <w:szCs w:val="20"/>
              </w:rPr>
              <w:t>675</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9D47" w14:textId="77777777" w:rsidR="000D174D" w:rsidRDefault="00000000">
            <w:r>
              <w:rPr>
                <w:sz w:val="20"/>
                <w:szCs w:val="20"/>
              </w:rPr>
              <w:t>Historical alias</w:t>
            </w:r>
          </w:p>
        </w:tc>
      </w:tr>
      <w:tr w:rsidR="000D174D" w14:paraId="6CF470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5651A" w14:textId="77777777" w:rsidR="000D174D" w:rsidRDefault="00000000">
            <w:r>
              <w:rPr>
                <w:sz w:val="20"/>
                <w:szCs w:val="20"/>
              </w:rPr>
              <w:t>Qatar Biobank</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468DE" w14:textId="77777777" w:rsidR="000D174D" w:rsidRDefault="00000000">
            <w:r>
              <w:rPr>
                <w:sz w:val="20"/>
                <w:szCs w:val="20"/>
              </w:rPr>
              <w:t>"Qatar Biobank"[Title/Abstract]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7DEFF" w14:textId="77777777" w:rsidR="000D174D" w:rsidRDefault="00000000">
            <w:r>
              <w:rPr>
                <w:sz w:val="20"/>
                <w:szCs w:val="20"/>
              </w:rPr>
              <w:t>174</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2A803" w14:textId="77777777" w:rsidR="000D174D" w:rsidRDefault="00000000">
            <w:r>
              <w:rPr>
                <w:sz w:val="20"/>
                <w:szCs w:val="20"/>
              </w:rPr>
              <w:t>Primary name</w:t>
            </w:r>
          </w:p>
        </w:tc>
      </w:tr>
      <w:tr w:rsidR="000D174D" w14:paraId="055D86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E0FC3" w14:textId="77777777" w:rsidR="000D174D" w:rsidRDefault="00000000">
            <w:r>
              <w:rPr>
                <w:sz w:val="20"/>
                <w:szCs w:val="20"/>
              </w:rPr>
              <w:t>H3Africa AWI-Gen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A4D9" w14:textId="77777777" w:rsidR="000D174D" w:rsidRDefault="00000000">
            <w:r>
              <w:rPr>
                <w:sz w:val="20"/>
                <w:szCs w:val="20"/>
              </w:rPr>
              <w:t>("AWI-Gen"[Title/Abstract] OR "H3Africa"[Title/Abstract])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40028" w14:textId="77777777" w:rsidR="000D174D" w:rsidRDefault="00000000">
            <w:r>
              <w:rPr>
                <w:sz w:val="20"/>
                <w:szCs w:val="20"/>
              </w:rPr>
              <w:t>89</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6EAE0" w14:textId="77777777" w:rsidR="000D174D" w:rsidRDefault="00000000">
            <w:r>
              <w:rPr>
                <w:sz w:val="20"/>
                <w:szCs w:val="20"/>
              </w:rPr>
              <w:t>Consortium</w:t>
            </w:r>
          </w:p>
        </w:tc>
      </w:tr>
    </w:tbl>
    <w:p w14:paraId="6FF3BD88" w14:textId="77777777" w:rsidR="000D174D" w:rsidRDefault="00000000">
      <w:r>
        <w:br w:type="page"/>
      </w:r>
    </w:p>
    <w:p w14:paraId="74BAEF68" w14:textId="77777777" w:rsidR="000D174D" w:rsidRDefault="00000000">
      <w:pPr>
        <w:pStyle w:val="Heading2"/>
      </w:pPr>
      <w:r>
        <w:lastRenderedPageBreak/>
        <w:t>Supplementary Table S3. Complete HEIM Formula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3199"/>
        <w:gridCol w:w="2199"/>
        <w:gridCol w:w="2159"/>
      </w:tblGrid>
      <w:tr w:rsidR="000D174D" w14:paraId="76A2C8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27F634A" w14:textId="77777777" w:rsidR="000D174D" w:rsidRDefault="00000000">
            <w:r>
              <w:rPr>
                <w:b/>
                <w:bCs/>
                <w:sz w:val="20"/>
                <w:szCs w:val="20"/>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C10E720" w14:textId="77777777" w:rsidR="000D174D" w:rsidRDefault="00000000">
            <w:r>
              <w:rPr>
                <w:b/>
                <w:bCs/>
                <w:sz w:val="20"/>
                <w:szCs w:val="20"/>
              </w:rPr>
              <w:t>Formula</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F7F76EA" w14:textId="77777777" w:rsidR="000D174D" w:rsidRDefault="00000000">
            <w:r>
              <w:rPr>
                <w:b/>
                <w:bCs/>
                <w:sz w:val="20"/>
                <w:szCs w:val="20"/>
              </w:rPr>
              <w:t>Inputs</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801C300" w14:textId="77777777" w:rsidR="000D174D" w:rsidRDefault="00000000">
            <w:r>
              <w:rPr>
                <w:b/>
                <w:bCs/>
                <w:sz w:val="20"/>
                <w:szCs w:val="20"/>
              </w:rPr>
              <w:t>Range/Notes</w:t>
            </w:r>
          </w:p>
        </w:tc>
      </w:tr>
      <w:tr w:rsidR="000D174D" w14:paraId="1EE6B9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630C8" w14:textId="77777777" w:rsidR="000D174D" w:rsidRDefault="00000000">
            <w:r>
              <w:rPr>
                <w:sz w:val="20"/>
                <w:szCs w:val="20"/>
              </w:rPr>
              <w:t>Burden Score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A4019" w14:textId="77777777" w:rsidR="000D174D" w:rsidRDefault="00000000">
            <w:r>
              <w:rPr>
                <w:sz w:val="20"/>
                <w:szCs w:val="20"/>
              </w:rPr>
              <w:t>(0.5 × DALYs) + (50 × Deaths) + [10 × log₁₀(Prevalence)]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9D7F3" w14:textId="77777777" w:rsidR="000D174D" w:rsidRDefault="00000000">
            <w:r>
              <w:rPr>
                <w:sz w:val="20"/>
                <w:szCs w:val="20"/>
              </w:rPr>
              <w:t>GBD 2021: DALYs, Deaths, Prevalence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E4916" w14:textId="77777777" w:rsidR="000D174D" w:rsidRDefault="00000000">
            <w:r>
              <w:rPr>
                <w:sz w:val="20"/>
                <w:szCs w:val="20"/>
              </w:rPr>
              <w:t>0-∞; ρ=0.97 with GBD</w:t>
            </w:r>
          </w:p>
        </w:tc>
      </w:tr>
      <w:tr w:rsidR="000D174D" w14:paraId="46D404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AC594" w14:textId="77777777" w:rsidR="000D174D" w:rsidRDefault="00000000">
            <w:r>
              <w:rPr>
                <w:sz w:val="20"/>
                <w:szCs w:val="20"/>
              </w:rPr>
              <w:t>Gap Score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A6B92" w14:textId="77777777" w:rsidR="000D174D" w:rsidRDefault="00000000">
            <w:r>
              <w:rPr>
                <w:sz w:val="20"/>
                <w:szCs w:val="20"/>
              </w:rPr>
              <w:t>Tier-based: Zero-pub=95; Category thresholds; Burden-normalised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DB1B4" w14:textId="77777777" w:rsidR="000D174D" w:rsidRDefault="00000000">
            <w:r>
              <w:rPr>
                <w:sz w:val="20"/>
                <w:szCs w:val="20"/>
              </w:rPr>
              <w:t>Publication count, burden, category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7354A" w14:textId="77777777" w:rsidR="000D174D" w:rsidRDefault="00000000">
            <w:r>
              <w:rPr>
                <w:sz w:val="20"/>
                <w:szCs w:val="20"/>
              </w:rPr>
              <w:t>0-100; Critical &gt;70</w:t>
            </w:r>
          </w:p>
        </w:tc>
      </w:tr>
      <w:tr w:rsidR="000D174D" w14:paraId="529F30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7A57A" w14:textId="77777777" w:rsidR="000D174D" w:rsidRDefault="00000000">
            <w:r>
              <w:rPr>
                <w:sz w:val="20"/>
                <w:szCs w:val="20"/>
              </w:rPr>
              <w:t>EAS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0C1D" w14:textId="77777777" w:rsidR="000D174D" w:rsidRDefault="00000000">
            <w:r>
              <w:rPr>
                <w:sz w:val="20"/>
                <w:szCs w:val="20"/>
              </w:rPr>
              <w:t>100 − (0.4×Gap_Severity + 0.3×Burden_Miss + 0.3×Capacity_Penalty)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1A9B8" w14:textId="77777777" w:rsidR="000D174D" w:rsidRDefault="00000000">
            <w:r>
              <w:rPr>
                <w:sz w:val="20"/>
                <w:szCs w:val="20"/>
              </w:rPr>
              <w:t>Gap counts, DALYs, pubs/disease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8FB57" w14:textId="77777777" w:rsidR="000D174D" w:rsidRDefault="00000000">
            <w:r>
              <w:rPr>
                <w:sz w:val="20"/>
                <w:szCs w:val="20"/>
              </w:rPr>
              <w:t>0-100; High ≥70</w:t>
            </w:r>
          </w:p>
        </w:tc>
      </w:tr>
      <w:tr w:rsidR="000D174D" w14:paraId="4E1402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13D6E" w14:textId="77777777" w:rsidR="000D174D" w:rsidRDefault="00000000">
            <w:proofErr w:type="spellStart"/>
            <w:r>
              <w:rPr>
                <w:sz w:val="20"/>
                <w:szCs w:val="20"/>
              </w:rPr>
              <w:t>Capacity_Penalty</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E8684" w14:textId="77777777" w:rsidR="000D174D" w:rsidRDefault="00000000">
            <w:r>
              <w:rPr>
                <w:sz w:val="20"/>
                <w:szCs w:val="20"/>
              </w:rPr>
              <w:t xml:space="preserve">100 − </w:t>
            </w:r>
            <w:proofErr w:type="gramStart"/>
            <w:r>
              <w:rPr>
                <w:sz w:val="20"/>
                <w:szCs w:val="20"/>
              </w:rPr>
              <w:t>min(</w:t>
            </w:r>
            <w:proofErr w:type="gramEnd"/>
            <w:r>
              <w:rPr>
                <w:sz w:val="20"/>
                <w:szCs w:val="20"/>
              </w:rPr>
              <w:t>Pᵦ / Nᵈ, 100)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B62D3" w14:textId="77777777" w:rsidR="000D174D" w:rsidRDefault="00000000">
            <w:r>
              <w:rPr>
                <w:sz w:val="20"/>
                <w:szCs w:val="20"/>
              </w:rPr>
              <w:t>Pᵦ = total pubs; Nᵈ = 179</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B0FA5" w14:textId="77777777" w:rsidR="000D174D" w:rsidRDefault="00000000">
            <w:r>
              <w:rPr>
                <w:sz w:val="20"/>
                <w:szCs w:val="20"/>
              </w:rPr>
              <w:t>0-100</w:t>
            </w:r>
          </w:p>
        </w:tc>
      </w:tr>
      <w:tr w:rsidR="000D174D" w14:paraId="0F4290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B5FF5" w14:textId="77777777" w:rsidR="000D174D" w:rsidRDefault="00000000">
            <w:r>
              <w:rPr>
                <w:sz w:val="20"/>
                <w:szCs w:val="20"/>
              </w:rPr>
              <w:t>Alignment 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D205A" w14:textId="77777777" w:rsidR="000D174D" w:rsidRDefault="00000000">
            <w:r>
              <w:rPr>
                <w:sz w:val="20"/>
                <w:szCs w:val="20"/>
              </w:rPr>
              <w:t>(HIC pubs / HIC DALYs) / (LMIC pubs / LMIC DALYs)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F218B" w14:textId="77777777" w:rsidR="000D174D" w:rsidRDefault="00000000">
            <w:r>
              <w:rPr>
                <w:sz w:val="20"/>
                <w:szCs w:val="20"/>
              </w:rPr>
              <w:t>Publication counts and DALYs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6AD48" w14:textId="77777777" w:rsidR="000D174D" w:rsidRDefault="00000000">
            <w:r>
              <w:rPr>
                <w:sz w:val="20"/>
                <w:szCs w:val="20"/>
              </w:rPr>
              <w:t>57.8:1 observed</w:t>
            </w:r>
          </w:p>
        </w:tc>
      </w:tr>
    </w:tbl>
    <w:p w14:paraId="07B0528F" w14:textId="77777777" w:rsidR="000D174D" w:rsidRDefault="00000000">
      <w:r>
        <w:br w:type="page"/>
      </w:r>
    </w:p>
    <w:p w14:paraId="125BE98E" w14:textId="77777777" w:rsidR="000D174D" w:rsidRDefault="00000000">
      <w:pPr>
        <w:pStyle w:val="Heading2"/>
      </w:pPr>
      <w:r>
        <w:lastRenderedPageBreak/>
        <w:t>Supplementary Table S4. Sensitivity Analysis Results</w:t>
      </w:r>
    </w:p>
    <w:p w14:paraId="6B1BA980" w14:textId="77777777" w:rsidR="000D174D" w:rsidRDefault="00000000">
      <w:pPr>
        <w:spacing w:after="240"/>
      </w:pPr>
      <w:r>
        <w:rPr>
          <w:sz w:val="20"/>
          <w:szCs w:val="20"/>
        </w:rPr>
        <w:t>Spearman rank correlation (ρ) between baseline and variant rankings. All ρ ≥ 0.96 indicates robust classification 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2200"/>
        <w:gridCol w:w="1200"/>
        <w:gridCol w:w="2460"/>
      </w:tblGrid>
      <w:tr w:rsidR="000D174D" w14:paraId="4CAFD2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F428731" w14:textId="77777777" w:rsidR="000D174D" w:rsidRDefault="00000000">
            <w:r>
              <w:rPr>
                <w:b/>
                <w:bCs/>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64927A9" w14:textId="77777777" w:rsidR="000D174D" w:rsidRDefault="00000000">
            <w:r>
              <w:rPr>
                <w:b/>
                <w:bCs/>
                <w:sz w:val="20"/>
                <w:szCs w:val="20"/>
              </w:rPr>
              <w:t>Variation</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F835576" w14:textId="77777777" w:rsidR="000D174D" w:rsidRDefault="00000000">
            <w:r>
              <w:rPr>
                <w:b/>
                <w:bCs/>
                <w:sz w:val="20"/>
                <w:szCs w:val="20"/>
              </w:rPr>
              <w:t>ρ</w:t>
            </w:r>
          </w:p>
        </w:tc>
        <w:tc>
          <w:tcPr>
            <w:tcW w:w="24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C726C40" w14:textId="77777777" w:rsidR="000D174D" w:rsidRDefault="00000000">
            <w:r>
              <w:rPr>
                <w:b/>
                <w:bCs/>
                <w:sz w:val="20"/>
                <w:szCs w:val="20"/>
              </w:rPr>
              <w:t>Interpretation</w:t>
            </w:r>
          </w:p>
        </w:tc>
      </w:tr>
      <w:tr w:rsidR="000D174D" w14:paraId="48ACF0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93D46" w14:textId="77777777" w:rsidR="000D174D" w:rsidRDefault="00000000">
            <w:r>
              <w:rPr>
                <w:sz w:val="20"/>
                <w:szCs w:val="20"/>
              </w:rPr>
              <w:t>Burden Score: DALYs weight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05B08" w14:textId="77777777" w:rsidR="000D174D" w:rsidRDefault="00000000">
            <w:r>
              <w:rPr>
                <w:sz w:val="20"/>
                <w:szCs w:val="20"/>
              </w:rPr>
              <w:t>±20%, ±50%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10904" w14:textId="77777777" w:rsidR="000D174D" w:rsidRDefault="00000000">
            <w:r>
              <w:rPr>
                <w:sz w:val="20"/>
                <w:szCs w:val="20"/>
              </w:rPr>
              <w:t>1.0000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3A065" w14:textId="77777777" w:rsidR="000D174D" w:rsidRDefault="00000000">
            <w:r>
              <w:rPr>
                <w:sz w:val="20"/>
                <w:szCs w:val="20"/>
              </w:rPr>
              <w:t>Complete stability</w:t>
            </w:r>
          </w:p>
        </w:tc>
      </w:tr>
      <w:tr w:rsidR="000D174D" w14:paraId="468886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6ABA4" w14:textId="77777777" w:rsidR="000D174D" w:rsidRDefault="00000000">
            <w:r>
              <w:rPr>
                <w:sz w:val="20"/>
                <w:szCs w:val="20"/>
              </w:rPr>
              <w:t xml:space="preserve">Burden Score: </w:t>
            </w:r>
            <w:proofErr w:type="gramStart"/>
            <w:r>
              <w:rPr>
                <w:sz w:val="20"/>
                <w:szCs w:val="20"/>
              </w:rPr>
              <w:t>Deaths</w:t>
            </w:r>
            <w:proofErr w:type="gramEnd"/>
            <w:r>
              <w:rPr>
                <w:sz w:val="20"/>
                <w:szCs w:val="20"/>
              </w:rPr>
              <w:t xml:space="preserve"> weight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37C62" w14:textId="77777777" w:rsidR="000D174D" w:rsidRDefault="00000000">
            <w:r>
              <w:rPr>
                <w:sz w:val="20"/>
                <w:szCs w:val="20"/>
              </w:rPr>
              <w:t>±20%, ±50%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79238" w14:textId="77777777" w:rsidR="000D174D" w:rsidRDefault="00000000">
            <w:r>
              <w:rPr>
                <w:sz w:val="20"/>
                <w:szCs w:val="20"/>
              </w:rPr>
              <w:t>1.0000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14748" w14:textId="77777777" w:rsidR="000D174D" w:rsidRDefault="00000000">
            <w:r>
              <w:rPr>
                <w:sz w:val="20"/>
                <w:szCs w:val="20"/>
              </w:rPr>
              <w:t>Complete stability</w:t>
            </w:r>
          </w:p>
        </w:tc>
      </w:tr>
      <w:tr w:rsidR="000D174D" w14:paraId="7FBB42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4F616" w14:textId="77777777" w:rsidR="000D174D" w:rsidRDefault="00000000">
            <w:r>
              <w:rPr>
                <w:sz w:val="20"/>
                <w:szCs w:val="20"/>
              </w:rPr>
              <w:t>Burden Score: Prevalence weight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19A16" w14:textId="77777777" w:rsidR="000D174D" w:rsidRDefault="00000000">
            <w:r>
              <w:rPr>
                <w:sz w:val="20"/>
                <w:szCs w:val="20"/>
              </w:rPr>
              <w:t>±20%, ±50%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10DA4" w14:textId="77777777" w:rsidR="000D174D" w:rsidRDefault="00000000">
            <w:r>
              <w:rPr>
                <w:sz w:val="20"/>
                <w:szCs w:val="20"/>
              </w:rPr>
              <w:t>1.0000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529A3" w14:textId="77777777" w:rsidR="000D174D" w:rsidRDefault="00000000">
            <w:r>
              <w:rPr>
                <w:sz w:val="20"/>
                <w:szCs w:val="20"/>
              </w:rPr>
              <w:t>Complete stability</w:t>
            </w:r>
          </w:p>
        </w:tc>
      </w:tr>
      <w:tr w:rsidR="000D174D" w14:paraId="25AB26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57F42" w14:textId="77777777" w:rsidR="000D174D" w:rsidRDefault="00000000">
            <w:r>
              <w:rPr>
                <w:sz w:val="20"/>
                <w:szCs w:val="20"/>
              </w:rPr>
              <w:t>Gap Score thresholds (strict)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FEC5B" w14:textId="77777777" w:rsidR="000D174D" w:rsidRDefault="00000000">
            <w:r>
              <w:rPr>
                <w:sz w:val="20"/>
                <w:szCs w:val="20"/>
              </w:rPr>
              <w:t>+10 each tier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B2FAE" w14:textId="77777777" w:rsidR="000D174D" w:rsidRDefault="00000000">
            <w:r>
              <w:rPr>
                <w:sz w:val="20"/>
                <w:szCs w:val="20"/>
              </w:rPr>
              <w:t>0.9847</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11122" w14:textId="77777777" w:rsidR="000D174D" w:rsidRDefault="00000000">
            <w:r>
              <w:rPr>
                <w:sz w:val="20"/>
                <w:szCs w:val="20"/>
              </w:rPr>
              <w:t>Robust</w:t>
            </w:r>
          </w:p>
        </w:tc>
      </w:tr>
      <w:tr w:rsidR="000D174D" w14:paraId="2D22BC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07F27" w14:textId="77777777" w:rsidR="000D174D" w:rsidRDefault="00000000">
            <w:r>
              <w:rPr>
                <w:sz w:val="20"/>
                <w:szCs w:val="20"/>
              </w:rPr>
              <w:t>Gap Score thresholds (lenient)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AD215" w14:textId="77777777" w:rsidR="000D174D" w:rsidRDefault="00000000">
            <w:r>
              <w:rPr>
                <w:sz w:val="20"/>
                <w:szCs w:val="20"/>
              </w:rPr>
              <w:t>-10 each tier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A6472" w14:textId="77777777" w:rsidR="000D174D" w:rsidRDefault="00000000">
            <w:r>
              <w:rPr>
                <w:sz w:val="20"/>
                <w:szCs w:val="20"/>
              </w:rPr>
              <w:t>0.9923</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C23B4" w14:textId="77777777" w:rsidR="000D174D" w:rsidRDefault="00000000">
            <w:r>
              <w:rPr>
                <w:sz w:val="20"/>
                <w:szCs w:val="20"/>
              </w:rPr>
              <w:t>Robust</w:t>
            </w:r>
          </w:p>
        </w:tc>
      </w:tr>
      <w:tr w:rsidR="000D174D" w14:paraId="16D03F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F3404" w14:textId="77777777" w:rsidR="000D174D" w:rsidRDefault="00000000">
            <w:r>
              <w:rPr>
                <w:sz w:val="20"/>
                <w:szCs w:val="20"/>
              </w:rPr>
              <w:t>EAS weights (</w:t>
            </w:r>
            <w:proofErr w:type="spellStart"/>
            <w:r>
              <w:rPr>
                <w:sz w:val="20"/>
                <w:szCs w:val="20"/>
              </w:rPr>
              <w:t>gap_heavy</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B4E60" w14:textId="77777777" w:rsidR="000D174D" w:rsidRDefault="00000000">
            <w:r>
              <w:rPr>
                <w:sz w:val="20"/>
                <w:szCs w:val="20"/>
              </w:rPr>
              <w:t>0.6/0.2/0.2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A9950" w14:textId="77777777" w:rsidR="000D174D" w:rsidRDefault="00000000">
            <w:r>
              <w:rPr>
                <w:sz w:val="20"/>
                <w:szCs w:val="20"/>
              </w:rPr>
              <w:t>0.9910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83CC6" w14:textId="77777777" w:rsidR="000D174D" w:rsidRDefault="00000000">
            <w:r>
              <w:rPr>
                <w:sz w:val="20"/>
                <w:szCs w:val="20"/>
              </w:rPr>
              <w:t>Robust</w:t>
            </w:r>
          </w:p>
        </w:tc>
      </w:tr>
      <w:tr w:rsidR="000D174D" w14:paraId="421820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1A304" w14:textId="77777777" w:rsidR="000D174D" w:rsidRDefault="00000000">
            <w:r>
              <w:rPr>
                <w:sz w:val="20"/>
                <w:szCs w:val="20"/>
              </w:rPr>
              <w:t>EAS weights (</w:t>
            </w:r>
            <w:proofErr w:type="spellStart"/>
            <w:r>
              <w:rPr>
                <w:sz w:val="20"/>
                <w:szCs w:val="20"/>
              </w:rPr>
              <w:t>burden_heavy</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7BF92" w14:textId="77777777" w:rsidR="000D174D" w:rsidRDefault="00000000">
            <w:r>
              <w:rPr>
                <w:sz w:val="20"/>
                <w:szCs w:val="20"/>
              </w:rPr>
              <w:t>0.2/0.6/0.2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D2C31" w14:textId="77777777" w:rsidR="000D174D" w:rsidRDefault="00000000">
            <w:r>
              <w:rPr>
                <w:sz w:val="20"/>
                <w:szCs w:val="20"/>
              </w:rPr>
              <w:t>0.9945</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519B5" w14:textId="77777777" w:rsidR="000D174D" w:rsidRDefault="00000000">
            <w:r>
              <w:rPr>
                <w:sz w:val="20"/>
                <w:szCs w:val="20"/>
              </w:rPr>
              <w:t>Robust</w:t>
            </w:r>
          </w:p>
        </w:tc>
      </w:tr>
      <w:tr w:rsidR="000D174D" w14:paraId="63EE14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6FB9" w14:textId="77777777" w:rsidR="000D174D" w:rsidRDefault="00000000">
            <w:r>
              <w:rPr>
                <w:sz w:val="20"/>
                <w:szCs w:val="20"/>
              </w:rPr>
              <w:t>EAS weights (equal)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FE9DE" w14:textId="77777777" w:rsidR="000D174D" w:rsidRDefault="00000000">
            <w:r>
              <w:rPr>
                <w:sz w:val="20"/>
                <w:szCs w:val="20"/>
              </w:rPr>
              <w:t>0.33/0.33/0.33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BC570" w14:textId="77777777" w:rsidR="000D174D" w:rsidRDefault="00000000">
            <w:r>
              <w:rPr>
                <w:sz w:val="20"/>
                <w:szCs w:val="20"/>
              </w:rPr>
              <w:t>0.9978</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220B8" w14:textId="77777777" w:rsidR="000D174D" w:rsidRDefault="00000000">
            <w:r>
              <w:rPr>
                <w:sz w:val="20"/>
                <w:szCs w:val="20"/>
              </w:rPr>
              <w:t>Robust</w:t>
            </w:r>
          </w:p>
        </w:tc>
      </w:tr>
      <w:tr w:rsidR="000D174D" w14:paraId="07F268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8DA50" w14:textId="77777777" w:rsidR="000D174D" w:rsidRDefault="00000000">
            <w:r>
              <w:rPr>
                <w:sz w:val="20"/>
                <w:szCs w:val="20"/>
              </w:rPr>
              <w:t>Zero-publication penalty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C1259" w14:textId="77777777" w:rsidR="000D174D" w:rsidRDefault="00000000">
            <w:r>
              <w:rPr>
                <w:sz w:val="20"/>
                <w:szCs w:val="20"/>
              </w:rPr>
              <w:t>85, 90, 95, 100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8874C" w14:textId="77777777" w:rsidR="000D174D" w:rsidRDefault="00000000">
            <w:r>
              <w:rPr>
                <w:sz w:val="20"/>
                <w:szCs w:val="20"/>
              </w:rPr>
              <w:t>0.9965</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B3378" w14:textId="77777777" w:rsidR="000D174D" w:rsidRDefault="00000000">
            <w:r>
              <w:rPr>
                <w:sz w:val="20"/>
                <w:szCs w:val="20"/>
              </w:rPr>
              <w:t>Robust</w:t>
            </w:r>
          </w:p>
        </w:tc>
      </w:tr>
    </w:tbl>
    <w:p w14:paraId="798E6BF3" w14:textId="77777777" w:rsidR="000D174D" w:rsidRDefault="00000000">
      <w:r>
        <w:br w:type="page"/>
      </w:r>
    </w:p>
    <w:p w14:paraId="67D03014" w14:textId="77777777" w:rsidR="000D174D" w:rsidRDefault="00000000">
      <w:pPr>
        <w:pStyle w:val="Heading2"/>
      </w:pPr>
      <w:r>
        <w:lastRenderedPageBreak/>
        <w:t>Supplementary Table S5. EAS Distribution by Income Group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1500"/>
        <w:gridCol w:w="1800"/>
        <w:gridCol w:w="1800"/>
        <w:gridCol w:w="1460"/>
      </w:tblGrid>
      <w:tr w:rsidR="000D174D" w14:paraId="3F4AB0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D15133" w14:textId="77777777" w:rsidR="000D174D" w:rsidRDefault="00000000">
            <w:r>
              <w:rPr>
                <w:b/>
                <w:bCs/>
                <w:sz w:val="20"/>
                <w:szCs w:val="20"/>
              </w:rPr>
              <w:t>Income Group</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124D483" w14:textId="77777777" w:rsidR="000D174D" w:rsidRDefault="00000000">
            <w:r>
              <w:rPr>
                <w:b/>
                <w:bCs/>
                <w:sz w:val="20"/>
                <w:szCs w:val="20"/>
              </w:rPr>
              <w:t>N Biobanks</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CF98E45" w14:textId="77777777" w:rsidR="000D174D" w:rsidRDefault="00000000">
            <w:r>
              <w:rPr>
                <w:b/>
                <w:bCs/>
                <w:sz w:val="20"/>
                <w:szCs w:val="20"/>
              </w:rPr>
              <w:t>Mean EAS (SD)</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CD39706" w14:textId="77777777" w:rsidR="000D174D" w:rsidRDefault="00000000">
            <w:r>
              <w:rPr>
                <w:b/>
                <w:bCs/>
                <w:sz w:val="20"/>
                <w:szCs w:val="20"/>
              </w:rPr>
              <w:t>Range</w:t>
            </w:r>
          </w:p>
        </w:tc>
        <w:tc>
          <w:tcPr>
            <w:tcW w:w="14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C55B698" w14:textId="77777777" w:rsidR="000D174D" w:rsidRDefault="00000000">
            <w:r>
              <w:rPr>
                <w:b/>
                <w:bCs/>
                <w:sz w:val="20"/>
                <w:szCs w:val="20"/>
              </w:rPr>
              <w:t>Median</w:t>
            </w:r>
          </w:p>
        </w:tc>
      </w:tr>
      <w:tr w:rsidR="000D174D" w14:paraId="6DD503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12C91" w14:textId="77777777" w:rsidR="000D174D" w:rsidRDefault="00000000">
            <w:r>
              <w:rPr>
                <w:sz w:val="20"/>
                <w:szCs w:val="20"/>
              </w:rPr>
              <w:t>High-income (HIC)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77551" w14:textId="77777777" w:rsidR="000D174D" w:rsidRDefault="00000000">
            <w:r>
              <w:rPr>
                <w:sz w:val="20"/>
                <w:szCs w:val="20"/>
              </w:rPr>
              <w:t>52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C7892" w14:textId="77777777" w:rsidR="000D174D" w:rsidRDefault="00000000">
            <w:r>
              <w:rPr>
                <w:sz w:val="20"/>
                <w:szCs w:val="20"/>
              </w:rPr>
              <w:t>38.2 (12.4)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A5234" w14:textId="77777777" w:rsidR="000D174D" w:rsidRDefault="00000000">
            <w:r>
              <w:rPr>
                <w:sz w:val="20"/>
                <w:szCs w:val="20"/>
              </w:rPr>
              <w:t>8.3 - 84.6</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07494" w14:textId="77777777" w:rsidR="000D174D" w:rsidRDefault="00000000">
            <w:r>
              <w:rPr>
                <w:sz w:val="20"/>
                <w:szCs w:val="20"/>
              </w:rPr>
              <w:t>36.8</w:t>
            </w:r>
          </w:p>
        </w:tc>
      </w:tr>
      <w:tr w:rsidR="000D174D" w14:paraId="12DC7F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4D02C" w14:textId="77777777" w:rsidR="000D174D" w:rsidRDefault="00000000">
            <w:r>
              <w:rPr>
                <w:sz w:val="20"/>
                <w:szCs w:val="20"/>
              </w:rPr>
              <w:t>Upper-middle-income (UMIC)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2ED26" w14:textId="77777777" w:rsidR="000D174D"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07104" w14:textId="77777777" w:rsidR="000D174D" w:rsidRDefault="00000000">
            <w:r>
              <w:rPr>
                <w:sz w:val="20"/>
                <w:szCs w:val="20"/>
              </w:rPr>
              <w:t>24.7 (8.9)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C98B7" w14:textId="77777777" w:rsidR="000D174D" w:rsidRDefault="00000000">
            <w:r>
              <w:rPr>
                <w:sz w:val="20"/>
                <w:szCs w:val="20"/>
              </w:rPr>
              <w:t>10.2 - 41.6</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BA4C2" w14:textId="77777777" w:rsidR="000D174D" w:rsidRDefault="00000000">
            <w:r>
              <w:rPr>
                <w:sz w:val="20"/>
                <w:szCs w:val="20"/>
              </w:rPr>
              <w:t>22.4</w:t>
            </w:r>
          </w:p>
        </w:tc>
      </w:tr>
      <w:tr w:rsidR="000D174D" w14:paraId="30665D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5772B" w14:textId="77777777" w:rsidR="000D174D" w:rsidRDefault="00000000">
            <w:r>
              <w:rPr>
                <w:sz w:val="20"/>
                <w:szCs w:val="20"/>
              </w:rPr>
              <w:t>Lower-middle-income (LMIC)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97B38" w14:textId="77777777" w:rsidR="000D174D"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901F0" w14:textId="77777777" w:rsidR="000D174D" w:rsidRDefault="00000000">
            <w:r>
              <w:rPr>
                <w:sz w:val="20"/>
                <w:szCs w:val="20"/>
              </w:rPr>
              <w:t>18.3 (6.2)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C31ED" w14:textId="77777777" w:rsidR="000D174D" w:rsidRDefault="00000000">
            <w:r>
              <w:rPr>
                <w:sz w:val="20"/>
                <w:szCs w:val="20"/>
              </w:rPr>
              <w:t>10.8 - 26.1</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40D7E" w14:textId="77777777" w:rsidR="000D174D" w:rsidRDefault="00000000">
            <w:r>
              <w:rPr>
                <w:sz w:val="20"/>
                <w:szCs w:val="20"/>
              </w:rPr>
              <w:t>18.0</w:t>
            </w:r>
          </w:p>
        </w:tc>
      </w:tr>
      <w:tr w:rsidR="000D174D" w14:paraId="37574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4E447" w14:textId="77777777" w:rsidR="000D174D" w:rsidRDefault="00000000">
            <w:r>
              <w:rPr>
                <w:sz w:val="20"/>
                <w:szCs w:val="20"/>
              </w:rPr>
              <w:t>Low-income (LIC)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6729A" w14:textId="77777777" w:rsidR="000D174D"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74C9E" w14:textId="77777777" w:rsidR="000D174D" w:rsidRDefault="00000000">
            <w:r>
              <w:rPr>
                <w:sz w:val="20"/>
                <w:szCs w:val="20"/>
              </w:rPr>
              <w:t>15.3 (4.8)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33EF7" w14:textId="77777777" w:rsidR="000D174D" w:rsidRDefault="00000000">
            <w:r>
              <w:rPr>
                <w:sz w:val="20"/>
                <w:szCs w:val="20"/>
              </w:rPr>
              <w:t>11.9 - 18.7</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33CFA" w14:textId="77777777" w:rsidR="000D174D" w:rsidRDefault="00000000">
            <w:r>
              <w:rPr>
                <w:sz w:val="20"/>
                <w:szCs w:val="20"/>
              </w:rPr>
              <w:t>15.3</w:t>
            </w:r>
          </w:p>
        </w:tc>
      </w:tr>
    </w:tbl>
    <w:p w14:paraId="2B177EE4" w14:textId="77777777" w:rsidR="000D174D" w:rsidRDefault="00000000">
      <w:pPr>
        <w:pStyle w:val="Heading2"/>
        <w:spacing w:before="480"/>
      </w:pPr>
      <w:r>
        <w:t>Supplementary Table S6. Software Versions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1500"/>
        <w:gridCol w:w="4859"/>
      </w:tblGrid>
      <w:tr w:rsidR="000D174D" w14:paraId="5A9AA9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F6BC4E6" w14:textId="77777777" w:rsidR="000D174D" w:rsidRDefault="00000000">
            <w:r>
              <w:rPr>
                <w:b/>
                <w:bCs/>
                <w:sz w:val="20"/>
                <w:szCs w:val="20"/>
              </w:rPr>
              <w:t>Package</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46D7DC1" w14:textId="77777777" w:rsidR="000D174D" w:rsidRDefault="00000000">
            <w:r>
              <w:rPr>
                <w:b/>
                <w:bCs/>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77E128F" w14:textId="77777777" w:rsidR="000D174D" w:rsidRDefault="00000000">
            <w:r>
              <w:rPr>
                <w:b/>
                <w:bCs/>
                <w:sz w:val="20"/>
                <w:szCs w:val="20"/>
              </w:rPr>
              <w:t>Purpose</w:t>
            </w:r>
          </w:p>
        </w:tc>
      </w:tr>
      <w:tr w:rsidR="000D174D" w14:paraId="761E6F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EC9E3" w14:textId="77777777" w:rsidR="000D174D" w:rsidRDefault="00000000">
            <w:r>
              <w:rPr>
                <w:sz w:val="20"/>
                <w:szCs w:val="20"/>
              </w:rPr>
              <w:t>Python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40985" w14:textId="77777777" w:rsidR="000D174D" w:rsidRDefault="00000000">
            <w:r>
              <w:rPr>
                <w:sz w:val="20"/>
                <w:szCs w:val="20"/>
              </w:rPr>
              <w:t>3.11.9</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DF720" w14:textId="77777777" w:rsidR="000D174D" w:rsidRDefault="00000000">
            <w:r>
              <w:rPr>
                <w:sz w:val="20"/>
                <w:szCs w:val="20"/>
              </w:rPr>
              <w:t>Analysis environment</w:t>
            </w:r>
          </w:p>
        </w:tc>
      </w:tr>
      <w:tr w:rsidR="000D174D" w14:paraId="425D16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DCD6E" w14:textId="77777777" w:rsidR="000D174D" w:rsidRDefault="00000000">
            <w:r>
              <w:rPr>
                <w:sz w:val="20"/>
                <w:szCs w:val="20"/>
              </w:rPr>
              <w:t>pandas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EA1D8" w14:textId="77777777" w:rsidR="000D174D" w:rsidRDefault="00000000">
            <w:r>
              <w:rPr>
                <w:sz w:val="20"/>
                <w:szCs w:val="20"/>
              </w:rPr>
              <w:t>2.2.0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3ADBD" w14:textId="77777777" w:rsidR="000D174D" w:rsidRDefault="00000000">
            <w:r>
              <w:rPr>
                <w:sz w:val="20"/>
                <w:szCs w:val="20"/>
              </w:rPr>
              <w:t>Data manipulation</w:t>
            </w:r>
          </w:p>
        </w:tc>
      </w:tr>
      <w:tr w:rsidR="000D174D" w14:paraId="08C6BD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27406" w14:textId="77777777" w:rsidR="000D174D" w:rsidRDefault="00000000">
            <w:proofErr w:type="spellStart"/>
            <w:r>
              <w:rPr>
                <w:sz w:val="20"/>
                <w:szCs w:val="20"/>
              </w:rPr>
              <w:t>numpy</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B98A" w14:textId="77777777" w:rsidR="000D174D" w:rsidRDefault="00000000">
            <w:r>
              <w:rPr>
                <w:sz w:val="20"/>
                <w:szCs w:val="20"/>
              </w:rPr>
              <w:t>1.26.4</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F8ED1" w14:textId="77777777" w:rsidR="000D174D" w:rsidRDefault="00000000">
            <w:r>
              <w:rPr>
                <w:sz w:val="20"/>
                <w:szCs w:val="20"/>
              </w:rPr>
              <w:t>Numerical operations</w:t>
            </w:r>
          </w:p>
        </w:tc>
      </w:tr>
      <w:tr w:rsidR="000D174D" w14:paraId="5DC1C5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BF4BB" w14:textId="77777777" w:rsidR="000D174D" w:rsidRDefault="00000000">
            <w:proofErr w:type="spellStart"/>
            <w:r>
              <w:rPr>
                <w:sz w:val="20"/>
                <w:szCs w:val="20"/>
              </w:rPr>
              <w:t>scipy</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87790" w14:textId="77777777" w:rsidR="000D174D" w:rsidRDefault="00000000">
            <w:r>
              <w:rPr>
                <w:sz w:val="20"/>
                <w:szCs w:val="20"/>
              </w:rPr>
              <w:t>1.12.0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F89AE" w14:textId="77777777" w:rsidR="000D174D" w:rsidRDefault="00000000">
            <w:r>
              <w:rPr>
                <w:sz w:val="20"/>
                <w:szCs w:val="20"/>
              </w:rPr>
              <w:t>Statistical analysis</w:t>
            </w:r>
          </w:p>
        </w:tc>
      </w:tr>
      <w:tr w:rsidR="000D174D" w14:paraId="34706D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56D6A" w14:textId="77777777" w:rsidR="000D174D" w:rsidRDefault="00000000">
            <w:proofErr w:type="spellStart"/>
            <w:r>
              <w:rPr>
                <w:sz w:val="20"/>
                <w:szCs w:val="20"/>
              </w:rPr>
              <w:t>biopython</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36C33" w14:textId="77777777" w:rsidR="000D174D" w:rsidRDefault="00000000">
            <w:r>
              <w:rPr>
                <w:sz w:val="20"/>
                <w:szCs w:val="20"/>
              </w:rPr>
              <w:t>1.83</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AC190" w14:textId="77777777" w:rsidR="000D174D" w:rsidRDefault="00000000">
            <w:r>
              <w:rPr>
                <w:sz w:val="20"/>
                <w:szCs w:val="20"/>
              </w:rPr>
              <w:t>PubMed retrieval (NCBI E-utilities)</w:t>
            </w:r>
          </w:p>
        </w:tc>
      </w:tr>
      <w:tr w:rsidR="000D174D" w14:paraId="11249D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1FC2E" w14:textId="77777777" w:rsidR="000D174D" w:rsidRDefault="00000000">
            <w:r>
              <w:rPr>
                <w:sz w:val="20"/>
                <w:szCs w:val="20"/>
              </w:rPr>
              <w:t>matplotlib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62E7" w14:textId="77777777" w:rsidR="000D174D" w:rsidRDefault="00000000">
            <w:r>
              <w:rPr>
                <w:sz w:val="20"/>
                <w:szCs w:val="20"/>
              </w:rPr>
              <w:t>3.8.2</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30ADD" w14:textId="77777777" w:rsidR="000D174D" w:rsidRDefault="00000000">
            <w:r>
              <w:rPr>
                <w:sz w:val="20"/>
                <w:szCs w:val="20"/>
              </w:rPr>
              <w:t>Visualisation</w:t>
            </w:r>
          </w:p>
        </w:tc>
      </w:tr>
      <w:tr w:rsidR="000D174D" w14:paraId="2FB9D2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9AA41" w14:textId="77777777" w:rsidR="000D174D" w:rsidRDefault="00000000">
            <w:r>
              <w:rPr>
                <w:sz w:val="20"/>
                <w:szCs w:val="20"/>
              </w:rPr>
              <w:t>seaborn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551BC" w14:textId="77777777" w:rsidR="000D174D" w:rsidRDefault="00000000">
            <w:r>
              <w:rPr>
                <w:sz w:val="20"/>
                <w:szCs w:val="20"/>
              </w:rPr>
              <w:t>0.13.2</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D7622" w14:textId="77777777" w:rsidR="000D174D" w:rsidRDefault="00000000">
            <w:r>
              <w:rPr>
                <w:sz w:val="20"/>
                <w:szCs w:val="20"/>
              </w:rPr>
              <w:t>Statistical graphics</w:t>
            </w:r>
          </w:p>
        </w:tc>
      </w:tr>
    </w:tbl>
    <w:p w14:paraId="06C255FC" w14:textId="77777777" w:rsidR="000D174D" w:rsidRDefault="00000000">
      <w:r>
        <w:br w:type="page"/>
      </w:r>
    </w:p>
    <w:p w14:paraId="68695B64" w14:textId="77777777" w:rsidR="000D174D" w:rsidRDefault="00000000">
      <w:pPr>
        <w:pStyle w:val="Heading2"/>
      </w:pPr>
      <w:r>
        <w:lastRenderedPageBreak/>
        <w:t>Disease Mapping Validation</w:t>
      </w:r>
    </w:p>
    <w:p w14:paraId="2CE40A09" w14:textId="77777777" w:rsidR="000D174D" w:rsidRDefault="00000000">
      <w:pPr>
        <w:spacing w:after="240"/>
      </w:pPr>
      <w:r>
        <w:rPr>
          <w:sz w:val="22"/>
          <w:szCs w:val="22"/>
        </w:rPr>
        <w:t xml:space="preserve">A stratified random sample of 200 publications was manually reviewed to validate </w:t>
      </w:r>
      <w:proofErr w:type="spellStart"/>
      <w:r>
        <w:rPr>
          <w:sz w:val="22"/>
          <w:szCs w:val="22"/>
        </w:rPr>
        <w:t>MeSH</w:t>
      </w:r>
      <w:proofErr w:type="spellEnd"/>
      <w:r>
        <w:rPr>
          <w:sz w:val="22"/>
          <w:szCs w:val="22"/>
        </w:rPr>
        <w:t>-to-disease mappings:</w:t>
      </w:r>
    </w:p>
    <w:p w14:paraId="4361B4AA" w14:textId="77777777" w:rsidR="000D174D" w:rsidRDefault="00000000">
      <w:pPr>
        <w:spacing w:after="120"/>
        <w:ind w:left="720"/>
      </w:pPr>
      <w:r>
        <w:rPr>
          <w:sz w:val="22"/>
          <w:szCs w:val="22"/>
        </w:rPr>
        <w:t>• Overall concordance: 92%</w:t>
      </w:r>
    </w:p>
    <w:p w14:paraId="165CBCD8" w14:textId="77777777" w:rsidR="000D174D" w:rsidRDefault="00000000">
      <w:pPr>
        <w:spacing w:after="120"/>
        <w:ind w:left="720"/>
      </w:pPr>
      <w:r>
        <w:rPr>
          <w:sz w:val="22"/>
          <w:szCs w:val="22"/>
        </w:rPr>
        <w:t>• Precision: 94.2%</w:t>
      </w:r>
    </w:p>
    <w:p w14:paraId="7EC57133" w14:textId="77777777" w:rsidR="000D174D" w:rsidRDefault="00000000">
      <w:pPr>
        <w:spacing w:after="120"/>
        <w:ind w:left="720"/>
      </w:pPr>
      <w:r>
        <w:rPr>
          <w:sz w:val="22"/>
          <w:szCs w:val="22"/>
        </w:rPr>
        <w:t>• Recall: 91.8%</w:t>
      </w:r>
    </w:p>
    <w:p w14:paraId="77949D59" w14:textId="77777777" w:rsidR="000D174D" w:rsidRDefault="00000000">
      <w:pPr>
        <w:spacing w:after="240"/>
        <w:ind w:left="720"/>
      </w:pPr>
      <w:r>
        <w:rPr>
          <w:sz w:val="22"/>
          <w:szCs w:val="22"/>
        </w:rPr>
        <w:t>• F1 Score: 93.0%</w:t>
      </w:r>
    </w:p>
    <w:p w14:paraId="1B6547DC" w14:textId="77777777" w:rsidR="000D174D" w:rsidRDefault="00000000">
      <w:pPr>
        <w:spacing w:after="240"/>
      </w:pPr>
      <w:r>
        <w:rPr>
          <w:sz w:val="22"/>
          <w:szCs w:val="22"/>
        </w:rPr>
        <w:t xml:space="preserve">Error categorisation (8% discordant cases): False positives from multi-meaning </w:t>
      </w:r>
      <w:proofErr w:type="spellStart"/>
      <w:r>
        <w:rPr>
          <w:sz w:val="22"/>
          <w:szCs w:val="22"/>
        </w:rPr>
        <w:t>MeSH</w:t>
      </w:r>
      <w:proofErr w:type="spellEnd"/>
      <w:r>
        <w:rPr>
          <w:sz w:val="22"/>
          <w:szCs w:val="22"/>
        </w:rPr>
        <w:t xml:space="preserve"> terms (3.2%); False negatives from implicit disease mentions (2.8%); Partial matches (2.0%).</w:t>
      </w:r>
    </w:p>
    <w:p w14:paraId="17828563" w14:textId="77777777" w:rsidR="000D174D" w:rsidRDefault="00000000">
      <w:pPr>
        <w:pStyle w:val="Heading2"/>
      </w:pPr>
      <w:r>
        <w:t>IHCC Registry Coverage</w:t>
      </w:r>
    </w:p>
    <w:p w14:paraId="0543DEDE" w14:textId="77777777" w:rsidR="000D174D" w:rsidRDefault="00000000">
      <w:pPr>
        <w:spacing w:after="360"/>
      </w:pPr>
      <w:r>
        <w:rPr>
          <w:sz w:val="22"/>
          <w:szCs w:val="22"/>
        </w:rPr>
        <w:t>The International Health Cohorts Consortium (IHCC) Global Cohort Atlas includes 79 registered cohorts. Our analysis includes 70 cohorts with at least one PubMed-indexed publication (88.6% coverage). The 9 excluded cohorts had no retrievable PubMed records, likely reflecting recent establishment or publication in regional databases not indexed by PubMed. The direction of bias from these exclusions likely underestimates LMIC research output.</w:t>
      </w:r>
    </w:p>
    <w:p w14:paraId="17C98B18" w14:textId="77777777" w:rsidR="000D174D" w:rsidRDefault="00000000">
      <w:r>
        <w:br w:type="page"/>
      </w:r>
    </w:p>
    <w:p w14:paraId="29E9E426" w14:textId="77777777" w:rsidR="000D174D" w:rsidRDefault="00000000">
      <w:pPr>
        <w:pStyle w:val="Heading1"/>
      </w:pPr>
      <w:r>
        <w:lastRenderedPageBreak/>
        <w:t>References</w:t>
      </w:r>
    </w:p>
    <w:p w14:paraId="1B11E37C" w14:textId="77777777" w:rsidR="00323B39" w:rsidRPr="00323B39" w:rsidRDefault="00323B39" w:rsidP="00323B39">
      <w:pPr>
        <w:numPr>
          <w:ilvl w:val="0"/>
          <w:numId w:val="2"/>
        </w:numPr>
        <w:spacing w:after="120"/>
        <w:rPr>
          <w:sz w:val="22"/>
          <w:szCs w:val="22"/>
        </w:rPr>
      </w:pPr>
      <w:proofErr w:type="spellStart"/>
      <w:r w:rsidRPr="00323B39">
        <w:rPr>
          <w:sz w:val="22"/>
          <w:szCs w:val="22"/>
        </w:rPr>
        <w:t>Sirugo</w:t>
      </w:r>
      <w:proofErr w:type="spellEnd"/>
      <w:r w:rsidRPr="00323B39">
        <w:rPr>
          <w:sz w:val="22"/>
          <w:szCs w:val="22"/>
        </w:rPr>
        <w:t xml:space="preserve"> G, Williams SM, </w:t>
      </w:r>
      <w:proofErr w:type="spellStart"/>
      <w:r w:rsidRPr="00323B39">
        <w:rPr>
          <w:sz w:val="22"/>
          <w:szCs w:val="22"/>
        </w:rPr>
        <w:t>Tishkoff</w:t>
      </w:r>
      <w:proofErr w:type="spellEnd"/>
      <w:r w:rsidRPr="00323B39">
        <w:rPr>
          <w:sz w:val="22"/>
          <w:szCs w:val="22"/>
        </w:rPr>
        <w:t xml:space="preserve"> SA. The missing diversity in human genetic studies. Cell 2019; 177: 26–31.​</w:t>
      </w:r>
    </w:p>
    <w:p w14:paraId="1850D1F5" w14:textId="77777777" w:rsidR="00323B39" w:rsidRPr="00323B39" w:rsidRDefault="00323B39" w:rsidP="00323B39">
      <w:pPr>
        <w:numPr>
          <w:ilvl w:val="0"/>
          <w:numId w:val="2"/>
        </w:numPr>
        <w:spacing w:after="120"/>
        <w:rPr>
          <w:sz w:val="22"/>
          <w:szCs w:val="22"/>
        </w:rPr>
      </w:pPr>
      <w:r w:rsidRPr="00323B39">
        <w:rPr>
          <w:sz w:val="22"/>
          <w:szCs w:val="22"/>
        </w:rPr>
        <w:t>Popejoy AB, Fullerton SM. Genomics is failing on diversity. Nature 2016; 538: 161–4.​</w:t>
      </w:r>
    </w:p>
    <w:p w14:paraId="6F936989" w14:textId="77777777" w:rsidR="00323B39" w:rsidRPr="00323B39" w:rsidRDefault="00323B39" w:rsidP="00323B39">
      <w:pPr>
        <w:numPr>
          <w:ilvl w:val="0"/>
          <w:numId w:val="2"/>
        </w:numPr>
        <w:spacing w:after="120"/>
        <w:rPr>
          <w:sz w:val="22"/>
          <w:szCs w:val="22"/>
        </w:rPr>
      </w:pPr>
      <w:r w:rsidRPr="00323B39">
        <w:rPr>
          <w:sz w:val="22"/>
          <w:szCs w:val="22"/>
        </w:rPr>
        <w:t xml:space="preserve">Martin AR, Kanai M, </w:t>
      </w:r>
      <w:proofErr w:type="spellStart"/>
      <w:r w:rsidRPr="00323B39">
        <w:rPr>
          <w:sz w:val="22"/>
          <w:szCs w:val="22"/>
        </w:rPr>
        <w:t>Kamatani</w:t>
      </w:r>
      <w:proofErr w:type="spellEnd"/>
      <w:r w:rsidRPr="00323B39">
        <w:rPr>
          <w:sz w:val="22"/>
          <w:szCs w:val="22"/>
        </w:rPr>
        <w:t xml:space="preserve"> Y, et al. Clinical use of current polygenic risk scores may exacerbate health disparities. Nat Genet 2019; 51: 584–91.​</w:t>
      </w:r>
    </w:p>
    <w:p w14:paraId="05449C31" w14:textId="77777777" w:rsidR="00323B39" w:rsidRPr="00323B39" w:rsidRDefault="00323B39" w:rsidP="00323B39">
      <w:pPr>
        <w:numPr>
          <w:ilvl w:val="0"/>
          <w:numId w:val="2"/>
        </w:numPr>
        <w:spacing w:after="120"/>
        <w:rPr>
          <w:sz w:val="22"/>
          <w:szCs w:val="22"/>
        </w:rPr>
      </w:pPr>
      <w:r w:rsidRPr="00323B39">
        <w:rPr>
          <w:sz w:val="22"/>
          <w:szCs w:val="22"/>
        </w:rPr>
        <w:t>Fatumo S, Chikowore T, Choudhury A, et al. A roadmap to increase diversity in genomic studies. Nat Med 2022; 28: 243–50.​</w:t>
      </w:r>
    </w:p>
    <w:p w14:paraId="3428BB2D" w14:textId="77777777" w:rsidR="00323B39" w:rsidRPr="00323B39" w:rsidRDefault="00323B39" w:rsidP="00323B39">
      <w:pPr>
        <w:numPr>
          <w:ilvl w:val="0"/>
          <w:numId w:val="2"/>
        </w:numPr>
        <w:spacing w:after="120"/>
        <w:rPr>
          <w:sz w:val="22"/>
          <w:szCs w:val="22"/>
        </w:rPr>
      </w:pPr>
      <w:r w:rsidRPr="00323B39">
        <w:rPr>
          <w:sz w:val="22"/>
          <w:szCs w:val="22"/>
        </w:rPr>
        <w:t xml:space="preserve">Duncan L, Shen H, </w:t>
      </w:r>
      <w:proofErr w:type="spellStart"/>
      <w:r w:rsidRPr="00323B39">
        <w:rPr>
          <w:sz w:val="22"/>
          <w:szCs w:val="22"/>
        </w:rPr>
        <w:t>Gelaye</w:t>
      </w:r>
      <w:proofErr w:type="spellEnd"/>
      <w:r w:rsidRPr="00323B39">
        <w:rPr>
          <w:sz w:val="22"/>
          <w:szCs w:val="22"/>
        </w:rPr>
        <w:t xml:space="preserve"> B, et al. Analysis of polygenic risk score usage and performance in diverse human populations. Nat Commun 2019; 10: 3328.​</w:t>
      </w:r>
    </w:p>
    <w:p w14:paraId="19A169BE" w14:textId="77777777" w:rsidR="00323B39" w:rsidRPr="00323B39" w:rsidRDefault="00323B39" w:rsidP="00323B39">
      <w:pPr>
        <w:numPr>
          <w:ilvl w:val="0"/>
          <w:numId w:val="2"/>
        </w:numPr>
        <w:spacing w:after="120"/>
        <w:rPr>
          <w:sz w:val="22"/>
          <w:szCs w:val="22"/>
        </w:rPr>
      </w:pPr>
      <w:r w:rsidRPr="00323B39">
        <w:rPr>
          <w:sz w:val="22"/>
          <w:szCs w:val="22"/>
        </w:rPr>
        <w:t>Wang Y, Guo J, Ni G, et al. Theoretical and empirical quantification of the accuracy of polygenic scores in ancestry divergent populations. Nat Commun 2020; 11: 3865.​</w:t>
      </w:r>
    </w:p>
    <w:p w14:paraId="606260EF" w14:textId="77777777" w:rsidR="00323B39" w:rsidRPr="00323B39" w:rsidRDefault="00323B39" w:rsidP="00323B39">
      <w:pPr>
        <w:numPr>
          <w:ilvl w:val="0"/>
          <w:numId w:val="2"/>
        </w:numPr>
        <w:spacing w:after="120"/>
        <w:rPr>
          <w:sz w:val="22"/>
          <w:szCs w:val="22"/>
        </w:rPr>
      </w:pPr>
      <w:proofErr w:type="spellStart"/>
      <w:r w:rsidRPr="00323B39">
        <w:rPr>
          <w:sz w:val="22"/>
          <w:szCs w:val="22"/>
        </w:rPr>
        <w:t>Manrai</w:t>
      </w:r>
      <w:proofErr w:type="spellEnd"/>
      <w:r w:rsidRPr="00323B39">
        <w:rPr>
          <w:sz w:val="22"/>
          <w:szCs w:val="22"/>
        </w:rPr>
        <w:t xml:space="preserve"> AK, Funke BH, Rehm HL, et al. Genetic misdiagnoses and the potential for health disparities. N Engl J Med 2016; 375: 655–65.​</w:t>
      </w:r>
    </w:p>
    <w:p w14:paraId="392D9288" w14:textId="77777777" w:rsidR="00323B39" w:rsidRPr="00323B39" w:rsidRDefault="00323B39" w:rsidP="00323B39">
      <w:pPr>
        <w:numPr>
          <w:ilvl w:val="0"/>
          <w:numId w:val="2"/>
        </w:numPr>
        <w:spacing w:after="120"/>
        <w:rPr>
          <w:sz w:val="22"/>
          <w:szCs w:val="22"/>
        </w:rPr>
      </w:pPr>
      <w:r w:rsidRPr="00323B39">
        <w:rPr>
          <w:sz w:val="22"/>
          <w:szCs w:val="22"/>
        </w:rPr>
        <w:t xml:space="preserve">Landrum MJ, Lee JM, Benson M, et al. </w:t>
      </w:r>
      <w:proofErr w:type="spellStart"/>
      <w:r w:rsidRPr="00323B39">
        <w:rPr>
          <w:sz w:val="22"/>
          <w:szCs w:val="22"/>
        </w:rPr>
        <w:t>ClinVar</w:t>
      </w:r>
      <w:proofErr w:type="spellEnd"/>
      <w:r w:rsidRPr="00323B39">
        <w:rPr>
          <w:sz w:val="22"/>
          <w:szCs w:val="22"/>
        </w:rPr>
        <w:t>: improving access to variant interpretations and supporting evidence. Nucleic Acids Res 2018; 46: D1062–7.​</w:t>
      </w:r>
    </w:p>
    <w:p w14:paraId="245B3FDA" w14:textId="77777777" w:rsidR="00323B39" w:rsidRPr="00323B39" w:rsidRDefault="00323B39" w:rsidP="00323B39">
      <w:pPr>
        <w:numPr>
          <w:ilvl w:val="0"/>
          <w:numId w:val="2"/>
        </w:numPr>
        <w:spacing w:after="120"/>
        <w:rPr>
          <w:sz w:val="22"/>
          <w:szCs w:val="22"/>
        </w:rPr>
      </w:pPr>
      <w:r w:rsidRPr="00323B39">
        <w:rPr>
          <w:sz w:val="22"/>
          <w:szCs w:val="22"/>
        </w:rPr>
        <w:t>World Health Organization. </w:t>
      </w:r>
      <w:r w:rsidRPr="00323B39">
        <w:rPr>
          <w:i/>
          <w:iCs/>
          <w:sz w:val="22"/>
          <w:szCs w:val="22"/>
        </w:rPr>
        <w:t>Human genome editing: a framework for governance</w:t>
      </w:r>
      <w:r w:rsidRPr="00323B39">
        <w:rPr>
          <w:sz w:val="22"/>
          <w:szCs w:val="22"/>
        </w:rPr>
        <w:t>. Geneva: World Health Organization, 2021.​</w:t>
      </w:r>
    </w:p>
    <w:p w14:paraId="5BAD5CDE" w14:textId="77777777" w:rsidR="00323B39" w:rsidRPr="00323B39" w:rsidRDefault="00323B39" w:rsidP="00323B39">
      <w:pPr>
        <w:numPr>
          <w:ilvl w:val="0"/>
          <w:numId w:val="2"/>
        </w:numPr>
        <w:spacing w:after="120"/>
        <w:rPr>
          <w:sz w:val="22"/>
          <w:szCs w:val="22"/>
        </w:rPr>
      </w:pPr>
      <w:r w:rsidRPr="00323B39">
        <w:rPr>
          <w:sz w:val="22"/>
          <w:szCs w:val="22"/>
        </w:rPr>
        <w:t>World Health Organization. </w:t>
      </w:r>
      <w:r w:rsidRPr="00323B39">
        <w:rPr>
          <w:i/>
          <w:iCs/>
          <w:sz w:val="22"/>
          <w:szCs w:val="22"/>
        </w:rPr>
        <w:t>World report on social determinants of health equity</w:t>
      </w:r>
      <w:r w:rsidRPr="00323B39">
        <w:rPr>
          <w:sz w:val="22"/>
          <w:szCs w:val="22"/>
        </w:rPr>
        <w:t>. Geneva: World Health Organization, 2025.​</w:t>
      </w:r>
    </w:p>
    <w:p w14:paraId="24D0A637" w14:textId="77777777" w:rsidR="00323B39" w:rsidRPr="00323B39" w:rsidRDefault="00323B39" w:rsidP="00323B39">
      <w:pPr>
        <w:numPr>
          <w:ilvl w:val="0"/>
          <w:numId w:val="2"/>
        </w:numPr>
        <w:spacing w:after="120"/>
        <w:rPr>
          <w:sz w:val="22"/>
          <w:szCs w:val="22"/>
        </w:rPr>
      </w:pPr>
      <w:r w:rsidRPr="00323B39">
        <w:rPr>
          <w:sz w:val="22"/>
          <w:szCs w:val="22"/>
        </w:rPr>
        <w:t>International Health Cohorts Consortium. Global Cohort Atlas. </w:t>
      </w:r>
      <w:hyperlink r:id="rId17" w:tgtFrame="_blank" w:history="1">
        <w:r w:rsidRPr="00323B39">
          <w:rPr>
            <w:rStyle w:val="Hyperlink"/>
            <w:sz w:val="22"/>
            <w:szCs w:val="22"/>
          </w:rPr>
          <w:t>https://ihcc.g2mc.org</w:t>
        </w:r>
      </w:hyperlink>
      <w:r w:rsidRPr="00323B39">
        <w:rPr>
          <w:sz w:val="22"/>
          <w:szCs w:val="22"/>
        </w:rPr>
        <w:t> (accessed Dec 15, 2025).​</w:t>
      </w:r>
    </w:p>
    <w:p w14:paraId="73853F3B" w14:textId="77777777" w:rsidR="00323B39" w:rsidRPr="00323B39" w:rsidRDefault="00323B39" w:rsidP="00323B39">
      <w:pPr>
        <w:numPr>
          <w:ilvl w:val="0"/>
          <w:numId w:val="2"/>
        </w:numPr>
        <w:spacing w:after="120"/>
        <w:rPr>
          <w:sz w:val="22"/>
          <w:szCs w:val="22"/>
        </w:rPr>
      </w:pPr>
      <w:r w:rsidRPr="00323B39">
        <w:rPr>
          <w:sz w:val="22"/>
          <w:szCs w:val="22"/>
        </w:rPr>
        <w:t>GBD 2021 Diseases and Injuries Collaborators. Global burden of 369 diseases and injuries in 204 countries and territories, 1990–2021: a systematic analysis for the Global Burden of Disease Study 2021. Lancet 2024; 403: 2133–61.​</w:t>
      </w:r>
    </w:p>
    <w:p w14:paraId="59D79D90" w14:textId="77777777" w:rsidR="00323B39" w:rsidRPr="00323B39" w:rsidRDefault="00323B39" w:rsidP="00323B39">
      <w:pPr>
        <w:numPr>
          <w:ilvl w:val="0"/>
          <w:numId w:val="2"/>
        </w:numPr>
        <w:spacing w:after="120"/>
        <w:rPr>
          <w:sz w:val="22"/>
          <w:szCs w:val="22"/>
        </w:rPr>
      </w:pPr>
      <w:proofErr w:type="spellStart"/>
      <w:r w:rsidRPr="00323B39">
        <w:rPr>
          <w:sz w:val="22"/>
          <w:szCs w:val="22"/>
        </w:rPr>
        <w:t>Pedrique</w:t>
      </w:r>
      <w:proofErr w:type="spellEnd"/>
      <w:r w:rsidRPr="00323B39">
        <w:rPr>
          <w:sz w:val="22"/>
          <w:szCs w:val="22"/>
        </w:rPr>
        <w:t xml:space="preserve"> B, Strub-</w:t>
      </w:r>
      <w:proofErr w:type="spellStart"/>
      <w:r w:rsidRPr="00323B39">
        <w:rPr>
          <w:sz w:val="22"/>
          <w:szCs w:val="22"/>
        </w:rPr>
        <w:t>Wourgaft</w:t>
      </w:r>
      <w:proofErr w:type="spellEnd"/>
      <w:r w:rsidRPr="00323B39">
        <w:rPr>
          <w:sz w:val="22"/>
          <w:szCs w:val="22"/>
        </w:rPr>
        <w:t xml:space="preserve"> N, Some C, et al. The drug and vaccine landscape for neglected diseases (2000–11): a systematic assessment. Lancet Glob Health 2013; 1: e371–9.</w:t>
      </w:r>
    </w:p>
    <w:p w14:paraId="3DACBACD" w14:textId="1B25FAC4" w:rsidR="000D174D" w:rsidRDefault="000D174D" w:rsidP="00323B39">
      <w:pPr>
        <w:spacing w:after="120"/>
      </w:pPr>
    </w:p>
    <w:sectPr w:rsidR="000D174D">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E4846" w14:textId="77777777" w:rsidR="001A79B7" w:rsidRDefault="001A79B7">
      <w:r>
        <w:separator/>
      </w:r>
    </w:p>
  </w:endnote>
  <w:endnote w:type="continuationSeparator" w:id="0">
    <w:p w14:paraId="36E7AE15" w14:textId="77777777" w:rsidR="001A79B7" w:rsidRDefault="001A7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D42C" w14:textId="77777777" w:rsidR="000D174D"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2378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073D" w14:textId="77777777" w:rsidR="001A79B7" w:rsidRDefault="001A79B7">
      <w:r>
        <w:separator/>
      </w:r>
    </w:p>
  </w:footnote>
  <w:footnote w:type="continuationSeparator" w:id="0">
    <w:p w14:paraId="7DD5D6ED" w14:textId="77777777" w:rsidR="001A79B7" w:rsidRDefault="001A7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13B2" w14:textId="77777777" w:rsidR="000D174D" w:rsidRDefault="00000000">
    <w:pPr>
      <w:jc w:val="right"/>
    </w:pPr>
    <w:r>
      <w:rPr>
        <w:i/>
        <w:iCs/>
        <w:sz w:val="20"/>
        <w:szCs w:val="20"/>
      </w:rPr>
      <w:t>HEIM Framework — Integrated Manuscript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2C81"/>
    <w:multiLevelType w:val="hybridMultilevel"/>
    <w:tmpl w:val="189A320E"/>
    <w:lvl w:ilvl="0" w:tplc="D3C255EE">
      <w:start w:val="1"/>
      <w:numFmt w:val="bullet"/>
      <w:lvlText w:val="●"/>
      <w:lvlJc w:val="left"/>
      <w:pPr>
        <w:ind w:left="720" w:hanging="360"/>
      </w:pPr>
    </w:lvl>
    <w:lvl w:ilvl="1" w:tplc="E5BE42A6">
      <w:start w:val="1"/>
      <w:numFmt w:val="bullet"/>
      <w:lvlText w:val="○"/>
      <w:lvlJc w:val="left"/>
      <w:pPr>
        <w:ind w:left="1440" w:hanging="360"/>
      </w:pPr>
    </w:lvl>
    <w:lvl w:ilvl="2" w:tplc="4520316E">
      <w:start w:val="1"/>
      <w:numFmt w:val="bullet"/>
      <w:lvlText w:val="■"/>
      <w:lvlJc w:val="left"/>
      <w:pPr>
        <w:ind w:left="2160" w:hanging="360"/>
      </w:pPr>
    </w:lvl>
    <w:lvl w:ilvl="3" w:tplc="C48A8C52">
      <w:start w:val="1"/>
      <w:numFmt w:val="bullet"/>
      <w:lvlText w:val="●"/>
      <w:lvlJc w:val="left"/>
      <w:pPr>
        <w:ind w:left="2880" w:hanging="360"/>
      </w:pPr>
    </w:lvl>
    <w:lvl w:ilvl="4" w:tplc="CD0CBECE">
      <w:start w:val="1"/>
      <w:numFmt w:val="bullet"/>
      <w:lvlText w:val="○"/>
      <w:lvlJc w:val="left"/>
      <w:pPr>
        <w:ind w:left="3600" w:hanging="360"/>
      </w:pPr>
    </w:lvl>
    <w:lvl w:ilvl="5" w:tplc="7D42F208">
      <w:start w:val="1"/>
      <w:numFmt w:val="bullet"/>
      <w:lvlText w:val="■"/>
      <w:lvlJc w:val="left"/>
      <w:pPr>
        <w:ind w:left="4320" w:hanging="360"/>
      </w:pPr>
    </w:lvl>
    <w:lvl w:ilvl="6" w:tplc="D6A2832A">
      <w:start w:val="1"/>
      <w:numFmt w:val="bullet"/>
      <w:lvlText w:val="●"/>
      <w:lvlJc w:val="left"/>
      <w:pPr>
        <w:ind w:left="5040" w:hanging="360"/>
      </w:pPr>
    </w:lvl>
    <w:lvl w:ilvl="7" w:tplc="8542CDEE">
      <w:start w:val="1"/>
      <w:numFmt w:val="bullet"/>
      <w:lvlText w:val="●"/>
      <w:lvlJc w:val="left"/>
      <w:pPr>
        <w:ind w:left="5760" w:hanging="360"/>
      </w:pPr>
    </w:lvl>
    <w:lvl w:ilvl="8" w:tplc="DF1248E8">
      <w:start w:val="1"/>
      <w:numFmt w:val="bullet"/>
      <w:lvlText w:val="●"/>
      <w:lvlJc w:val="left"/>
      <w:pPr>
        <w:ind w:left="6480" w:hanging="360"/>
      </w:pPr>
    </w:lvl>
  </w:abstractNum>
  <w:abstractNum w:abstractNumId="1" w15:restartNumberingAfterBreak="0">
    <w:nsid w:val="7FA3523C"/>
    <w:multiLevelType w:val="multilevel"/>
    <w:tmpl w:val="FAF2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916865">
    <w:abstractNumId w:val="0"/>
    <w:lvlOverride w:ilvl="0">
      <w:startOverride w:val="1"/>
    </w:lvlOverride>
  </w:num>
  <w:num w:numId="2" w16cid:durableId="1558280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74D"/>
    <w:rsid w:val="000420AA"/>
    <w:rsid w:val="000D174D"/>
    <w:rsid w:val="001A79B7"/>
    <w:rsid w:val="00323B39"/>
    <w:rsid w:val="004D0F1C"/>
    <w:rsid w:val="00523780"/>
    <w:rsid w:val="0093072E"/>
    <w:rsid w:val="0099293E"/>
    <w:rsid w:val="00CF3235"/>
    <w:rsid w:val="00D13008"/>
    <w:rsid w:val="00DE46D7"/>
    <w:rsid w:val="00FF27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7BAEF1"/>
  <w15:docId w15:val="{78A54EB8-BE77-0B41-AF22-078AD5CE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80" w:after="200"/>
      <w:outlineLvl w:val="1"/>
    </w:pPr>
    <w:rPr>
      <w:b/>
      <w:bCs/>
      <w:sz w:val="26"/>
      <w:szCs w:val="26"/>
    </w:rPr>
  </w:style>
  <w:style w:type="paragraph" w:styleId="Heading3">
    <w:name w:val="heading 3"/>
    <w:uiPriority w:val="9"/>
    <w:unhideWhenUsed/>
    <w:qFormat/>
    <w:pPr>
      <w:spacing w:before="240" w:after="1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23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yperlink" Target="https://ihcc.g2mc.org/" TargetMode="Externa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3917</Words>
  <Characters>25389</Characters>
  <Application>Microsoft Office Word</Application>
  <DocSecurity>0</DocSecurity>
  <Lines>540</Lines>
  <Paragraphs>308</Paragraphs>
  <ScaleCrop>false</ScaleCrop>
  <Company/>
  <LinksUpToDate>false</LinksUpToDate>
  <CharactersWithSpaces>28998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10</cp:revision>
  <dcterms:created xsi:type="dcterms:W3CDTF">2026-01-11T16:00:00Z</dcterms:created>
  <dcterms:modified xsi:type="dcterms:W3CDTF">2026-01-11T16:54:00Z</dcterms:modified>
</cp:coreProperties>
</file>