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t xml:space="preserve"/>
      </w:r>
    </w:p>
    <w:p>
      <w:pPr>
        <w:pStyle w:val="Title"/>
      </w:pPr>
      <w:r>
        <w:t xml:space="preserve">HEIM: Health Equity Informative Metrics</w:t>
      </w:r>
    </w:p>
    <w:p>
      <w:pPr>
        <w:spacing w:after="400"/>
        <w:jc w:val="center"/>
      </w:pPr>
      <w:r>
        <w:rPr>
          <w:sz w:val="28"/>
          <w:szCs w:val="28"/>
        </w:rPr>
        <w:t xml:space="preserve">A Strategic Partnership Proposal for Sidra Medicine</w:t>
      </w:r>
    </w:p>
    <w:p>
      <w:pPr>
        <w:spacing w:after="800"/>
        <w:jc w:val="center"/>
      </w:pPr>
      <w:r>
        <w:rPr>
          <w:i/>
          <w:iCs/>
          <w:sz w:val="22"/>
          <w:szCs w:val="22"/>
        </w:rPr>
        <w:t xml:space="preserve">An AI-First Framework for Measuring and Advancing Global Genomic Equity</w:t>
      </w:r>
    </w:p>
    <w:p>
      <w:pPr>
        <w:spacing w:after="80"/>
        <w:jc w:val="center"/>
      </w:pPr>
      <w:r>
        <w:rPr>
          <w:sz w:val="20"/>
          <w:szCs w:val="20"/>
        </w:rPr>
        <w:t xml:space="preserve">Submitted by:</w:t>
      </w:r>
    </w:p>
    <w:p>
      <w:pPr>
        <w:spacing w:after="40"/>
        <w:jc w:val="center"/>
      </w:pPr>
      <w:r>
        <w:rPr>
          <w:b/>
          <w:bCs/>
          <w:sz w:val="24"/>
          <w:szCs w:val="24"/>
        </w:rPr>
        <w:t xml:space="preserve">Manuel Corpas, PhD</w:t>
      </w:r>
    </w:p>
    <w:p>
      <w:pPr>
        <w:spacing w:after="40"/>
        <w:jc w:val="center"/>
      </w:pPr>
      <w:r>
        <w:rPr>
          <w:sz w:val="20"/>
          <w:szCs w:val="20"/>
        </w:rPr>
        <w:t xml:space="preserve">Fellow, The Alan Turing Institute</w:t>
      </w:r>
    </w:p>
    <w:p>
      <w:pPr>
        <w:spacing w:after="400"/>
        <w:jc w:val="center"/>
      </w:pPr>
      <w:r>
        <w:rPr>
          <w:sz w:val="20"/>
          <w:szCs w:val="20"/>
        </w:rPr>
        <w:t xml:space="preserve">Senior Lecturer, University of Westminster</w:t>
      </w:r>
    </w:p>
    <w:p>
      <w:pPr>
        <w:spacing w:after="80"/>
        <w:jc w:val="center"/>
      </w:pPr>
      <w:r>
        <w:rPr>
          <w:sz w:val="20"/>
          <w:szCs w:val="20"/>
        </w:rPr>
        <w:t xml:space="preserve">In partnership with:</w:t>
      </w:r>
    </w:p>
    <w:p>
      <w:pPr>
        <w:spacing w:after="40"/>
        <w:jc w:val="center"/>
      </w:pPr>
      <w:r>
        <w:rPr>
          <w:b/>
          <w:bCs/>
          <w:sz w:val="24"/>
          <w:szCs w:val="24"/>
        </w:rPr>
        <w:t xml:space="preserve">Prof. Khalid A. Fakhro, PhD</w:t>
      </w:r>
    </w:p>
    <w:p>
      <w:pPr>
        <w:spacing w:after="600"/>
        <w:jc w:val="center"/>
      </w:pPr>
      <w:r>
        <w:rPr>
          <w:sz w:val="20"/>
          <w:szCs w:val="20"/>
        </w:rPr>
        <w:t xml:space="preserve">Chief Research Officer, Sidra Medicine</w:t>
      </w:r>
    </w:p>
    <w:p>
      <w:pPr>
        <w:spacing w:after="200"/>
        <w:jc w:val="center"/>
      </w:pPr>
      <w:r>
        <w:rPr>
          <w:i/>
          <w:iCs/>
          <w:sz w:val="20"/>
          <w:szCs w:val="20"/>
        </w:rPr>
        <w:t xml:space="preserve">Version 2.0 | January 2026</w:t>
      </w:r>
    </w:p>
    <w:p>
      <w:pPr>
        <w:spacing w:after="120" w:line="276"/>
        <w:jc w:val="center"/>
      </w:pPr>
      <w:r>
        <w:rPr>
          <w:b/>
          <w:bCs/>
          <w:color w:val="C00000"/>
          <w:sz w:val="18"/>
          <w:szCs w:val="18"/>
        </w:rPr>
        <w:t xml:space="preserve">CONFIDENTIAL</w:t>
      </w:r>
    </w:p>
    <w:p>
      <w:r>
        <w:br w:type="page"/>
      </w:r>
    </w:p>
    <w:p>
      <w:pPr>
        <w:pStyle w:val="Heading1"/>
      </w:pPr>
      <w:r>
        <w:t xml:space="preserve">Executive Summary</w:t>
      </w:r>
    </w:p>
    <w:p>
      <w:pPr>
        <w:spacing w:after="120" w:line="276"/>
      </w:pPr>
      <w:r>
        <w:rPr>
          <w:b/>
          <w:bCs/>
        </w:rPr>
        <w:t xml:space="preserve">The Opportunity: </w:t>
      </w:r>
      <w:r>
        <w:t xml:space="preserve">Genomic equity is a stated global priority, yet it remains unmeasured. The World Health Organization, major research funders, and leading journals have called for accountability in ensuring genomic research benefits all populations. However, no standardised framework exists to evaluate whether research output aligns with disease burden across regions and populations. The institution that provides the definitive measurement framework will shape how equity is assessed, reported, and incentivised across the global genomics enterprise.</w:t>
      </w:r>
    </w:p>
    <w:p>
      <w:pPr>
        <w:spacing w:after="120" w:line="276"/>
      </w:pPr>
      <w:r>
        <w:rPr>
          <w:b/>
          <w:bCs/>
        </w:rPr>
        <w:t xml:space="preserve">The Solution: </w:t>
      </w:r>
      <w:r>
        <w:t xml:space="preserve">The Health Equity Informative Metrics (HEIM) framework provides a quantitative, reproducible approach to measuring alignment between genomic research activity and global disease burden. A functional prototype has been developed and published (MedRxiv preprint, January 2026), demonstrating proof of concept across 27 biobanks and 75,356 publications.</w:t>
      </w:r>
    </w:p>
    <w:p>
      <w:pPr>
        <w:spacing w:after="120" w:line="276"/>
      </w:pPr>
      <w:r>
        <w:rPr>
          <w:b/>
          <w:bCs/>
        </w:rPr>
        <w:t xml:space="preserve">The Partnership: </w:t>
      </w:r>
      <w:r>
        <w:t xml:space="preserve">Sidra Medicine is uniquely positioned to serve as the founding validation environment for HEIM. With its combination of high-quality genomic data, clinical integration, national biobank partnerships, and alignment with Qatar National Vision 2030, Sidra offers the ideal context for operationalising and stress-testing this framework at scale.</w:t>
      </w:r>
    </w:p>
    <w:p>
      <w:pPr>
        <w:spacing w:after="120" w:line="276"/>
      </w:pPr>
      <w:r>
        <w:rPr>
          <w:b/>
          <w:bCs/>
        </w:rPr>
        <w:t xml:space="preserve">The Ask: </w:t>
      </w:r>
      <w:r>
        <w:t xml:space="preserve">An 18-month partnership with total investment of $650,000, comprising two dedicated research engineers, secure cloud infrastructure, and stakeholder engagement resources. In return, Sidra gains co-authorship on foundational publications, recognition as the institution where HEIM was proven at scale, and strategic positioning as a global leader in genomic equity measurement.</w:t>
      </w:r>
    </w:p>
    <w:p>
      <w:pPr>
        <w:pStyle w:val="Heading2"/>
      </w:pPr>
      <w:r>
        <w:t xml:space="preserve">Key Deliverables</w:t>
      </w:r>
    </w:p>
    <w:p>
      <w:pPr>
        <w:pStyle w:val="ListParagraph"/>
        <w:numPr>
          <w:ilvl w:val="0"/>
          <w:numId w:val="2"/>
        </w:numPr>
        <w:spacing w:after="80" w:line="276"/>
      </w:pPr>
      <w:r>
        <w:t xml:space="preserve">Production-ready HEIM framework analysing 50+ global biobanks</w:t>
      </w:r>
    </w:p>
    <w:p>
      <w:pPr>
        <w:pStyle w:val="ListParagraph"/>
        <w:numPr>
          <w:ilvl w:val="0"/>
          <w:numId w:val="2"/>
        </w:numPr>
        <w:spacing w:after="80" w:line="276"/>
      </w:pPr>
      <w:r>
        <w:t xml:space="preserve">First public Global Equity Alignment ranking</w:t>
      </w:r>
    </w:p>
    <w:p>
      <w:pPr>
        <w:pStyle w:val="ListParagraph"/>
        <w:numPr>
          <w:ilvl w:val="0"/>
          <w:numId w:val="2"/>
        </w:numPr>
        <w:spacing w:after="80" w:line="276"/>
      </w:pPr>
      <w:r>
        <w:t xml:space="preserve">Methodology publication in high-impact journal (target: Nature Medicine or Lancet Digital Health)</w:t>
      </w:r>
    </w:p>
    <w:p>
      <w:pPr>
        <w:pStyle w:val="ListParagraph"/>
        <w:numPr>
          <w:ilvl w:val="0"/>
          <w:numId w:val="2"/>
        </w:numPr>
        <w:spacing w:after="80" w:line="276"/>
      </w:pPr>
      <w:r>
        <w:t xml:space="preserve">Interactive dashboard with real-time equity metrics</w:t>
      </w:r>
    </w:p>
    <w:p>
      <w:pPr>
        <w:pStyle w:val="ListParagraph"/>
        <w:numPr>
          <w:ilvl w:val="0"/>
          <w:numId w:val="2"/>
        </w:numPr>
        <w:spacing w:after="80" w:line="276"/>
      </w:pPr>
      <w:r>
        <w:t xml:space="preserve">Adoption or formal reference by at least one major funder (NIH, Wellcome, or Gates Foundation)</w:t>
      </w:r>
    </w:p>
    <w:p>
      <w:r>
        <w:br w:type="page"/>
      </w:r>
    </w:p>
    <w:p>
      <w:pPr>
        <w:pStyle w:val="Heading1"/>
      </w:pPr>
      <w:r>
        <w:t xml:space="preserve">1. The Problem: Unmeasured Inequity in Genomic Research</w:t>
      </w:r>
    </w:p>
    <w:p>
      <w:pPr>
        <w:pStyle w:val="Heading2"/>
      </w:pPr>
      <w:r>
        <w:t xml:space="preserve">1.1 The Scale of the Challenge</w:t>
      </w:r>
    </w:p>
    <w:p>
      <w:pPr>
        <w:spacing w:after="120" w:line="276"/>
      </w:pPr>
      <w:r>
        <w:t xml:space="preserve">Despite representing approximately 85% of the world's population, low- and middle-income countries (LMICs) contribute less than 10% of participants across genome-wide association studies, pharmacogenomics research, and clinical trials. A recent WHO report examining 6,513 genomic clinical studies (1990-2024) found that:</w:t>
      </w:r>
    </w:p>
    <w:p>
      <w:pPr>
        <w:pStyle w:val="ListParagraph"/>
        <w:numPr>
          <w:ilvl w:val="0"/>
          <w:numId w:val="2"/>
        </w:numPr>
        <w:spacing w:after="80" w:line="276"/>
      </w:pPr>
      <w:r>
        <w:t xml:space="preserve">High-income countries account for 68% of all genomic clinical studies</w:t>
      </w:r>
    </w:p>
    <w:p>
      <w:pPr>
        <w:pStyle w:val="ListParagraph"/>
        <w:numPr>
          <w:ilvl w:val="0"/>
          <w:numId w:val="2"/>
        </w:numPr>
        <w:spacing w:after="80" w:line="276"/>
      </w:pPr>
      <w:r>
        <w:t xml:space="preserve">Low-income countries contribute less than 0.5%</w:t>
      </w:r>
    </w:p>
    <w:p>
      <w:pPr>
        <w:pStyle w:val="ListParagraph"/>
        <w:numPr>
          <w:ilvl w:val="0"/>
          <w:numId w:val="2"/>
        </w:numPr>
        <w:spacing w:after="80" w:line="276"/>
      </w:pPr>
      <w:r>
        <w:t xml:space="preserve">The top 10 countries account for approximately 70% of global output</w:t>
      </w:r>
    </w:p>
    <w:p>
      <w:pPr>
        <w:pStyle w:val="ListParagraph"/>
        <w:numPr>
          <w:ilvl w:val="0"/>
          <w:numId w:val="2"/>
        </w:numPr>
        <w:spacing w:after="80" w:line="276"/>
      </w:pPr>
      <w:r>
        <w:t xml:space="preserve">The publication ratio between high-income and low-income settings is 322:1</w:t>
      </w:r>
    </w:p>
    <w:p>
      <w:pPr>
        <w:pStyle w:val="Heading2"/>
      </w:pPr>
      <w:r>
        <w:t xml:space="preserve">1.2 Consequences of Inequity</w:t>
      </w:r>
    </w:p>
    <w:p>
      <w:pPr>
        <w:spacing w:after="120" w:line="276"/>
      </w:pPr>
      <w:r>
        <w:t xml:space="preserve">This disparity has far-reaching consequences for the clinical utility of precision medicine:</w:t>
      </w:r>
    </w:p>
    <w:p>
      <w:pPr>
        <w:pStyle w:val="ListParagraph"/>
        <w:numPr>
          <w:ilvl w:val="0"/>
          <w:numId w:val="2"/>
        </w:numPr>
        <w:spacing w:after="80" w:line="276"/>
      </w:pPr>
      <w:r>
        <w:rPr>
          <w:b/>
          <w:bCs/>
        </w:rPr>
        <w:t xml:space="preserve">Polygenic Risk Scores: </w:t>
      </w:r>
      <w:r>
        <w:t xml:space="preserve">Performance decrements of 50% or greater when applied to non-European populations</w:t>
      </w:r>
    </w:p>
    <w:p>
      <w:pPr>
        <w:pStyle w:val="ListParagraph"/>
        <w:numPr>
          <w:ilvl w:val="0"/>
          <w:numId w:val="2"/>
        </w:numPr>
        <w:spacing w:after="80" w:line="276"/>
      </w:pPr>
      <w:r>
        <w:rPr>
          <w:b/>
          <w:bCs/>
        </w:rPr>
        <w:t xml:space="preserve">Variant Classification: </w:t>
      </w:r>
      <w:r>
        <w:t xml:space="preserve">Systematic bias in ClinVar toward well-studied populations, with African and Asian variants disproportionately classified as 'uncertain significance'</w:t>
      </w:r>
    </w:p>
    <w:p>
      <w:pPr>
        <w:pStyle w:val="ListParagraph"/>
        <w:numPr>
          <w:ilvl w:val="0"/>
          <w:numId w:val="2"/>
        </w:numPr>
        <w:spacing w:after="80" w:line="276"/>
      </w:pPr>
      <w:r>
        <w:rPr>
          <w:b/>
          <w:bCs/>
        </w:rPr>
        <w:t xml:space="preserve">Drug Response: </w:t>
      </w:r>
      <w:r>
        <w:t xml:space="preserve">Pharmacogenomic guidelines developed without representation from diverse populations</w:t>
      </w:r>
    </w:p>
    <w:p>
      <w:pPr>
        <w:pStyle w:val="ListParagraph"/>
        <w:numPr>
          <w:ilvl w:val="0"/>
          <w:numId w:val="2"/>
        </w:numPr>
        <w:spacing w:after="80" w:line="276"/>
      </w:pPr>
      <w:r>
        <w:rPr>
          <w:b/>
          <w:bCs/>
        </w:rPr>
        <w:t xml:space="preserve">Disease Understanding: </w:t>
      </w:r>
      <w:r>
        <w:t xml:space="preserve">High-burden conditions in LMICs remain understudied despite substantial global impact</w:t>
      </w:r>
    </w:p>
    <w:p>
      <w:pPr>
        <w:pStyle w:val="Heading2"/>
      </w:pPr>
      <w:r>
        <w:t xml:space="preserve">1.3 The Measurement Gap</w:t>
      </w:r>
    </w:p>
    <w:p>
      <w:pPr>
        <w:spacing w:after="120" w:line="276"/>
      </w:pPr>
      <w:r>
        <w:t xml:space="preserve">While the problem of genomic inequity is widely acknowledged, no standardised framework exists to:</w:t>
      </w:r>
    </w:p>
    <w:p>
      <w:pPr>
        <w:pStyle w:val="ListParagraph"/>
        <w:numPr>
          <w:ilvl w:val="0"/>
          <w:numId w:val="3"/>
        </w:numPr>
        <w:spacing w:after="80" w:line="276"/>
      </w:pPr>
      <w:r>
        <w:t xml:space="preserve">Quantify alignment between research output and disease burden at the biobank level</w:t>
      </w:r>
    </w:p>
    <w:p>
      <w:pPr>
        <w:pStyle w:val="ListParagraph"/>
        <w:numPr>
          <w:ilvl w:val="0"/>
          <w:numId w:val="3"/>
        </w:numPr>
        <w:spacing w:after="80" w:line="276"/>
      </w:pPr>
      <w:r>
        <w:t xml:space="preserve">Benchmark institutions against global health priorities</w:t>
      </w:r>
    </w:p>
    <w:p>
      <w:pPr>
        <w:pStyle w:val="ListParagraph"/>
        <w:numPr>
          <w:ilvl w:val="0"/>
          <w:numId w:val="3"/>
        </w:numPr>
        <w:spacing w:after="80" w:line="276"/>
      </w:pPr>
      <w:r>
        <w:t xml:space="preserve">Track progress over time with reproducible metrics</w:t>
      </w:r>
    </w:p>
    <w:p>
      <w:pPr>
        <w:pStyle w:val="ListParagraph"/>
        <w:numPr>
          <w:ilvl w:val="0"/>
          <w:numId w:val="3"/>
        </w:numPr>
        <w:spacing w:after="80" w:line="276"/>
      </w:pPr>
      <w:r>
        <w:t xml:space="preserve">Identify specific diseases with critical research gaps</w:t>
      </w:r>
    </w:p>
    <w:p>
      <w:pPr>
        <w:pStyle w:val="ListParagraph"/>
        <w:numPr>
          <w:ilvl w:val="0"/>
          <w:numId w:val="3"/>
        </w:numPr>
        <w:spacing w:after="80" w:line="276"/>
      </w:pPr>
      <w:r>
        <w:t xml:space="preserve">Provide actionable data for funders and policymakers</w:t>
      </w:r>
    </w:p>
    <w:p>
      <w:pPr>
        <w:spacing w:after="120" w:line="276"/>
      </w:pPr>
      <w:r>
        <w:rPr>
          <w:b/>
          <w:bCs/>
          <w:i/>
          <w:iCs/>
        </w:rPr>
        <w:t xml:space="preserve">Without measurement, equity remains aspirational rather than actionable.</w:t>
      </w:r>
    </w:p>
    <w:p>
      <w:r>
        <w:br w:type="page"/>
      </w:r>
    </w:p>
    <w:p>
      <w:pPr>
        <w:pStyle w:val="Heading1"/>
      </w:pPr>
      <w:r>
        <w:t xml:space="preserve">2. The HEIM Framework: A Quantitative Solution</w:t>
      </w:r>
    </w:p>
    <w:p>
      <w:pPr>
        <w:pStyle w:val="Heading2"/>
      </w:pPr>
      <w:r>
        <w:t xml:space="preserve">2.1 Core Architecture</w:t>
      </w:r>
    </w:p>
    <w:p>
      <w:pPr>
        <w:spacing w:after="120" w:line="276"/>
      </w:pPr>
      <w:r>
        <w:t xml:space="preserve">The Health Equity Informative Metrics (HEIM) framework operationalises equity assessment through four integrated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Component</w:t>
            </w:r>
          </w:p>
        </w:tc>
        <w:tc>
          <w:tcPr>
            <w:tcW w:type="dxa" w:w="67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Description</w:t>
            </w:r>
          </w:p>
        </w:tc>
      </w:tr>
      <w:tr>
        <w:tc>
          <w:tcPr>
            <w:tcW w:type="dxa" w:w="2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Gap Severity</w:t>
            </w:r>
          </w:p>
        </w:tc>
        <w:tc>
          <w:tcPr>
            <w:tcW w:type="dxa" w:w="67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Measures mismatch between research output and WHO-defined disease burden (DALYs). Higher scores indicate larger gaps between what is studied and what causes suffering.</w:t>
            </w:r>
          </w:p>
        </w:tc>
      </w:tr>
      <w:tr>
        <w:tc>
          <w:tcPr>
            <w:tcW w:type="dxa" w:w="2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Burden Miss</w:t>
            </w:r>
          </w:p>
        </w:tc>
        <w:tc>
          <w:tcPr>
            <w:tcW w:type="dxa" w:w="67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Identifies high-burden diseases with inadequate genomic research coverage. Flags conditions affecting millions that receive minimal research attention.</w:t>
            </w:r>
          </w:p>
        </w:tc>
      </w:tr>
      <w:tr>
        <w:tc>
          <w:tcPr>
            <w:tcW w:type="dxa" w:w="2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Capacity Penalty</w:t>
            </w:r>
          </w:p>
        </w:tc>
        <w:tc>
          <w:tcPr>
            <w:tcW w:type="dxa" w:w="67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Quantifies underutilisation of research capacity in underrepresented settings. Accounts for resource constraints while highlighting opportunity for impact.</w:t>
            </w:r>
          </w:p>
        </w:tc>
      </w:tr>
      <w:tr>
        <w:tc>
          <w:tcPr>
            <w:tcW w:type="dxa" w:w="2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Equity Alignment Score</w:t>
            </w:r>
          </w:p>
        </w:tc>
        <w:tc>
          <w:tcPr>
            <w:tcW w:type="dxa" w:w="67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Composite metric (0-100) enabling comparative assessment of biobanks against global health priorities. Enables benchmarking and longitudinal tracking.</w:t>
            </w:r>
          </w:p>
        </w:tc>
      </w:tr>
    </w:tbl>
    <w:p>
      <w:pPr>
        <w:spacing w:after="0"/>
      </w:pPr>
      <w:r>
        <w:t xml:space="preserve"/>
      </w:r>
    </w:p>
    <w:p>
      <w:pPr>
        <w:pStyle w:val="Heading2"/>
      </w:pPr>
      <w:r>
        <w:t xml:space="preserve">2.2 Methodological Foundation</w:t>
      </w:r>
    </w:p>
    <w:p>
      <w:pPr>
        <w:spacing w:after="120" w:line="276"/>
      </w:pPr>
      <w:r>
        <w:t xml:space="preserve">HEIM is built on established, reproducible data sources:</w:t>
      </w:r>
    </w:p>
    <w:p>
      <w:pPr>
        <w:pStyle w:val="ListParagraph"/>
        <w:numPr>
          <w:ilvl w:val="0"/>
          <w:numId w:val="2"/>
        </w:numPr>
        <w:spacing w:after="80" w:line="276"/>
      </w:pPr>
      <w:r>
        <w:rPr>
          <w:b/>
          <w:bCs/>
        </w:rPr>
        <w:t xml:space="preserve">Disease Burden: </w:t>
      </w:r>
      <w:r>
        <w:t xml:space="preserve">WHO Global Burden of Disease Study 2021, providing DALYs for 369 diseases across 204 countries</w:t>
      </w:r>
    </w:p>
    <w:p>
      <w:pPr>
        <w:pStyle w:val="ListParagraph"/>
        <w:numPr>
          <w:ilvl w:val="0"/>
          <w:numId w:val="2"/>
        </w:numPr>
        <w:spacing w:after="80" w:line="276"/>
      </w:pPr>
      <w:r>
        <w:rPr>
          <w:b/>
          <w:bCs/>
        </w:rPr>
        <w:t xml:space="preserve">Publication Data: </w:t>
      </w:r>
      <w:r>
        <w:t xml:space="preserve">PubMed-indexed publications with MeSH term extraction, mapped to GBD disease categories</w:t>
      </w:r>
    </w:p>
    <w:p>
      <w:pPr>
        <w:pStyle w:val="ListParagraph"/>
        <w:numPr>
          <w:ilvl w:val="0"/>
          <w:numId w:val="2"/>
        </w:numPr>
        <w:spacing w:after="80" w:line="276"/>
      </w:pPr>
      <w:r>
        <w:rPr>
          <w:b/>
          <w:bCs/>
        </w:rPr>
        <w:t xml:space="preserve">Biobank Registry: </w:t>
      </w:r>
      <w:r>
        <w:t xml:space="preserve">Curated database of 50+ global biobanks with linked EHR capabilities</w:t>
      </w:r>
    </w:p>
    <w:p>
      <w:pPr>
        <w:pStyle w:val="ListParagraph"/>
        <w:numPr>
          <w:ilvl w:val="0"/>
          <w:numId w:val="2"/>
        </w:numPr>
        <w:spacing w:after="80" w:line="276"/>
      </w:pPr>
      <w:r>
        <w:rPr>
          <w:b/>
          <w:bCs/>
        </w:rPr>
        <w:t xml:space="preserve">Validation: </w:t>
      </w:r>
      <w:r>
        <w:t xml:space="preserve">85.2% concordance between automated MeSH-to-GBD mapping and manual classification</w:t>
      </w:r>
    </w:p>
    <w:p>
      <w:pPr>
        <w:pStyle w:val="Heading2"/>
      </w:pPr>
      <w:r>
        <w:t xml:space="preserve">2.3 Proof of Concept</w:t>
      </w:r>
    </w:p>
    <w:p>
      <w:pPr>
        <w:spacing w:after="120" w:line="276"/>
      </w:pPr>
      <w:r>
        <w:t xml:space="preserve">The HEIM prototype (published MedRxiv, January 2026) demonstrates feasibility:</w:t>
      </w:r>
    </w:p>
    <w:p>
      <w:pPr>
        <w:pStyle w:val="ListParagraph"/>
        <w:numPr>
          <w:ilvl w:val="0"/>
          <w:numId w:val="2"/>
        </w:numPr>
        <w:spacing w:after="80" w:line="276"/>
      </w:pPr>
      <w:r>
        <w:t xml:space="preserve">Analysed 75,356 publications from 27 biobanks across 19 countries</w:t>
      </w:r>
    </w:p>
    <w:p>
      <w:pPr>
        <w:pStyle w:val="ListParagraph"/>
        <w:numPr>
          <w:ilvl w:val="0"/>
          <w:numId w:val="2"/>
        </w:numPr>
        <w:spacing w:after="80" w:line="276"/>
      </w:pPr>
      <w:r>
        <w:t xml:space="preserve">Mapped publications to 179 disease categories</w:t>
      </w:r>
    </w:p>
    <w:p>
      <w:pPr>
        <w:pStyle w:val="ListParagraph"/>
        <w:numPr>
          <w:ilvl w:val="0"/>
          <w:numId w:val="2"/>
        </w:numPr>
        <w:spacing w:after="80" w:line="276"/>
      </w:pPr>
      <w:r>
        <w:t xml:space="preserve">Identified 23 diseases (13%) with critical or high-severity research gaps</w:t>
      </w:r>
    </w:p>
    <w:p>
      <w:pPr>
        <w:pStyle w:val="ListParagraph"/>
        <w:numPr>
          <w:ilvl w:val="0"/>
          <w:numId w:val="2"/>
        </w:numPr>
        <w:spacing w:after="80" w:line="276"/>
      </w:pPr>
      <w:r>
        <w:t xml:space="preserve">Found only 4 of 27 biobanks (15%) achieved 'Strong' or 'Moderate' equity alignment</w:t>
      </w:r>
    </w:p>
    <w:p>
      <w:pPr>
        <w:pStyle w:val="ListParagraph"/>
        <w:numPr>
          <w:ilvl w:val="0"/>
          <w:numId w:val="2"/>
        </w:numPr>
        <w:spacing w:after="80" w:line="276"/>
      </w:pPr>
      <w:r>
        <w:t xml:space="preserve">Documented 322:1 HIC-to-LMIC research intensity ratio</w:t>
      </w:r>
    </w:p>
    <w:p>
      <w:pPr>
        <w:spacing w:after="120" w:line="276"/>
      </w:pPr>
      <w:r>
        <w:rPr>
          <w:i/>
          <w:iCs/>
        </w:rPr>
        <w:t xml:space="preserve">The prototype validates the concept. The next phase requires production-grade infrastructure and institutional validation.</w:t>
      </w:r>
    </w:p>
    <w:p>
      <w:r>
        <w:br w:type="page"/>
      </w:r>
    </w:p>
    <w:p>
      <w:pPr>
        <w:pStyle w:val="Heading1"/>
      </w:pPr>
      <w:r>
        <w:t xml:space="preserve">3. Competitive Landscape and Differentiation</w:t>
      </w:r>
    </w:p>
    <w:p>
      <w:pPr>
        <w:pStyle w:val="Heading2"/>
      </w:pPr>
      <w:r>
        <w:t xml:space="preserve">3.1 Existing Initiatives</w:t>
      </w:r>
    </w:p>
    <w:p>
      <w:pPr>
        <w:spacing w:after="120" w:line="276"/>
      </w:pPr>
      <w:r>
        <w:t xml:space="preserve">Several initiatives address aspects of genomic equity, but none provide comprehensive, biobank-level measurement: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Initiative</w:t>
            </w:r>
          </w:p>
        </w:tc>
        <w:tc>
          <w:tcPr>
            <w:tcW w:type="dxa" w:w="4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Focus</w:t>
            </w:r>
          </w:p>
        </w:tc>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Limitation</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IHME GBD Tools</w:t>
            </w:r>
          </w:p>
        </w:tc>
        <w:tc>
          <w:tcPr>
            <w:tcW w:type="dxa" w:w="4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Disease burden visualisation and comparison</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No link to research output or biobank activity</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GA4GH Equity Work</w:t>
            </w:r>
          </w:p>
        </w:tc>
        <w:tc>
          <w:tcPr>
            <w:tcW w:type="dxa" w:w="4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Data sharing standards and policy frameworks</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Focuses on access, not research-burden alignment</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GWAS Diversity Monitor</w:t>
            </w:r>
          </w:p>
        </w:tc>
        <w:tc>
          <w:tcPr>
            <w:tcW w:type="dxa" w:w="4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Ancestry representation in published GWAS</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Limited to ancestry; no disease burden integration</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WHO Genomics Reports</w:t>
            </w:r>
          </w:p>
        </w:tc>
        <w:tc>
          <w:tcPr>
            <w:tcW w:type="dxa" w:w="4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Policy guidance and situation analysis</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Descriptive, not operational measurement</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Journal Diversity Policies</w:t>
            </w:r>
          </w:p>
        </w:tc>
        <w:tc>
          <w:tcPr>
            <w:tcW w:type="dxa" w:w="4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Submission requirements for ancestry reporting</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No systematic tracking or benchmarking</w:t>
            </w:r>
          </w:p>
        </w:tc>
      </w:tr>
    </w:tbl>
    <w:p>
      <w:pPr>
        <w:spacing w:after="0"/>
      </w:pPr>
      <w:r>
        <w:t xml:space="preserve"/>
      </w:r>
    </w:p>
    <w:p>
      <w:pPr>
        <w:pStyle w:val="Heading2"/>
      </w:pPr>
      <w:r>
        <w:t xml:space="preserve">3.2 HEIM's Unique Position</w:t>
      </w:r>
    </w:p>
    <w:p>
      <w:pPr>
        <w:spacing w:after="120" w:line="276"/>
      </w:pPr>
      <w:r>
        <w:t xml:space="preserve">HEIM fills a specific gap that no existing initiative addresses:</w:t>
      </w:r>
    </w:p>
    <w:p>
      <w:pPr>
        <w:pStyle w:val="ListParagraph"/>
        <w:numPr>
          <w:ilvl w:val="0"/>
          <w:numId w:val="4"/>
        </w:numPr>
        <w:spacing w:after="80" w:line="276"/>
      </w:pPr>
      <w:r>
        <w:rPr>
          <w:b/>
          <w:bCs/>
        </w:rPr>
        <w:t xml:space="preserve">Biobank-Level Granularity: </w:t>
      </w:r>
      <w:r>
        <w:t xml:space="preserve">Enables institutional benchmarking, not just aggregate statistics</w:t>
      </w:r>
    </w:p>
    <w:p>
      <w:pPr>
        <w:pStyle w:val="ListParagraph"/>
        <w:numPr>
          <w:ilvl w:val="0"/>
          <w:numId w:val="4"/>
        </w:numPr>
        <w:spacing w:after="80" w:line="276"/>
      </w:pPr>
      <w:r>
        <w:rPr>
          <w:b/>
          <w:bCs/>
        </w:rPr>
        <w:t xml:space="preserve">Disease Burden Integration: </w:t>
      </w:r>
      <w:r>
        <w:t xml:space="preserve">Links research output directly to WHO DALYs, creating actionable metrics</w:t>
      </w:r>
    </w:p>
    <w:p>
      <w:pPr>
        <w:pStyle w:val="ListParagraph"/>
        <w:numPr>
          <w:ilvl w:val="0"/>
          <w:numId w:val="4"/>
        </w:numPr>
        <w:spacing w:after="80" w:line="276"/>
      </w:pPr>
      <w:r>
        <w:rPr>
          <w:b/>
          <w:bCs/>
        </w:rPr>
        <w:t xml:space="preserve">Longitudinal Tracking: </w:t>
      </w:r>
      <w:r>
        <w:t xml:space="preserve">Annual rankings enable progress monitoring and accountability</w:t>
      </w:r>
    </w:p>
    <w:p>
      <w:pPr>
        <w:pStyle w:val="ListParagraph"/>
        <w:numPr>
          <w:ilvl w:val="0"/>
          <w:numId w:val="4"/>
        </w:numPr>
        <w:spacing w:after="80" w:line="276"/>
      </w:pPr>
      <w:r>
        <w:rPr>
          <w:b/>
          <w:bCs/>
        </w:rPr>
        <w:t xml:space="preserve">Operational Focus: </w:t>
      </w:r>
      <w:r>
        <w:t xml:space="preserve">Designed for use by funders, institutions, and policymakers, not just researchers</w:t>
      </w:r>
    </w:p>
    <w:p>
      <w:pPr>
        <w:pStyle w:val="ListParagraph"/>
        <w:numPr>
          <w:ilvl w:val="0"/>
          <w:numId w:val="4"/>
        </w:numPr>
        <w:spacing w:after="80" w:line="276"/>
      </w:pPr>
      <w:r>
        <w:rPr>
          <w:b/>
          <w:bCs/>
        </w:rPr>
        <w:t xml:space="preserve">AI-First Architecture: </w:t>
      </w:r>
      <w:r>
        <w:t xml:space="preserve">Scalable infrastructure enabling real-time updates and expansion</w:t>
      </w:r>
    </w:p>
    <w:p>
      <w:pPr>
        <w:pStyle w:val="Heading2"/>
      </w:pPr>
      <w:r>
        <w:t xml:space="preserve">3.3 Why HEIM Will Succeed</w:t>
      </w:r>
    </w:p>
    <w:p>
      <w:pPr>
        <w:pStyle w:val="ListParagraph"/>
        <w:numPr>
          <w:ilvl w:val="0"/>
          <w:numId w:val="2"/>
        </w:numPr>
        <w:spacing w:after="80" w:line="276"/>
      </w:pPr>
      <w:r>
        <w:rPr>
          <w:b/>
          <w:bCs/>
        </w:rPr>
        <w:t xml:space="preserve">Timing: </w:t>
      </w:r>
      <w:r>
        <w:t xml:space="preserve">WHO genomics reports have created policy momentum; funders are actively seeking accountability mechanisms</w:t>
      </w:r>
    </w:p>
    <w:p>
      <w:pPr>
        <w:pStyle w:val="ListParagraph"/>
        <w:numPr>
          <w:ilvl w:val="0"/>
          <w:numId w:val="2"/>
        </w:numPr>
        <w:spacing w:after="80" w:line="276"/>
      </w:pPr>
      <w:r>
        <w:rPr>
          <w:b/>
          <w:bCs/>
        </w:rPr>
        <w:t xml:space="preserve">Simplicity: </w:t>
      </w:r>
      <w:r>
        <w:t xml:space="preserve">Single composite score (EAS) enables clear communication and comparison</w:t>
      </w:r>
    </w:p>
    <w:p>
      <w:pPr>
        <w:pStyle w:val="ListParagraph"/>
        <w:numPr>
          <w:ilvl w:val="0"/>
          <w:numId w:val="2"/>
        </w:numPr>
        <w:spacing w:after="80" w:line="276"/>
      </w:pPr>
      <w:r>
        <w:rPr>
          <w:b/>
          <w:bCs/>
        </w:rPr>
        <w:t xml:space="preserve">Transparency: </w:t>
      </w:r>
      <w:r>
        <w:t xml:space="preserve">Open methodology, reproducible data sources, public dashboard</w:t>
      </w:r>
    </w:p>
    <w:p>
      <w:pPr>
        <w:pStyle w:val="ListParagraph"/>
        <w:numPr>
          <w:ilvl w:val="0"/>
          <w:numId w:val="2"/>
        </w:numPr>
        <w:spacing w:after="80" w:line="276"/>
      </w:pPr>
      <w:r>
        <w:rPr>
          <w:b/>
          <w:bCs/>
        </w:rPr>
        <w:t xml:space="preserve">Credibility: </w:t>
      </w:r>
      <w:r>
        <w:t xml:space="preserve">Validation in a respected clinical environment (Sidra) establishes institutional trust</w:t>
      </w:r>
    </w:p>
    <w:p>
      <w:pPr>
        <w:pStyle w:val="ListParagraph"/>
        <w:numPr>
          <w:ilvl w:val="0"/>
          <w:numId w:val="2"/>
        </w:numPr>
        <w:spacing w:after="80" w:line="276"/>
      </w:pPr>
      <w:r>
        <w:rPr>
          <w:b/>
          <w:bCs/>
        </w:rPr>
        <w:t xml:space="preserve">Utility: </w:t>
      </w:r>
      <w:r>
        <w:t xml:space="preserve">Identifies specific actionable gaps, not just abstract inequities</w:t>
      </w:r>
    </w:p>
    <w:p>
      <w:r>
        <w:br w:type="page"/>
      </w:r>
    </w:p>
    <w:p>
      <w:pPr>
        <w:pStyle w:val="Heading1"/>
      </w:pPr>
      <w:r>
        <w:t xml:space="preserve">4. Strategic Value for Sidra Medicine</w:t>
      </w:r>
    </w:p>
    <w:p>
      <w:pPr>
        <w:pStyle w:val="Heading2"/>
      </w:pPr>
      <w:r>
        <w:t xml:space="preserve">4.1 Alignment with Qatar National Vision 2030</w:t>
      </w:r>
    </w:p>
    <w:p>
      <w:pPr>
        <w:spacing w:after="120" w:line="276"/>
      </w:pPr>
      <w:r>
        <w:t xml:space="preserve">Qatar National Vision 2030 establishes four pillars for national development. HEIM directly supports three: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QNV 2030 Pillar</w:t>
            </w:r>
          </w:p>
        </w:tc>
        <w:tc>
          <w:tcPr>
            <w:tcW w:type="dxa" w:w="7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HEIM Contribution</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Human Development</w:t>
            </w:r>
          </w:p>
        </w:tc>
        <w:tc>
          <w:tcPr>
            <w:tcW w:type="dxa" w:w="7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Advances Qatar's position as a knowledge economy leader; creates training opportunities for Qatari researchers in health equity analytics; establishes intellectual frameworks exportable to the region</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Economic Development</w:t>
            </w:r>
          </w:p>
        </w:tc>
        <w:tc>
          <w:tcPr>
            <w:tcW w:type="dxa" w:w="7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Positions Qatar at the forefront of precision medicine ethics; creates potential for consultancy and advisory services; supports Qatar's ambition to become a regional healthcare hub</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Environmental Development</w:t>
            </w:r>
          </w:p>
        </w:tc>
        <w:tc>
          <w:tcPr>
            <w:tcW w:type="dxa" w:w="7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Enables assessment of research gaps in environment-related diseases relevant to the Gulf region (heat-related illness, respiratory conditions)</w:t>
            </w:r>
          </w:p>
        </w:tc>
      </w:tr>
    </w:tbl>
    <w:p>
      <w:pPr>
        <w:spacing w:after="0"/>
      </w:pPr>
      <w:r>
        <w:t xml:space="preserve"/>
      </w:r>
    </w:p>
    <w:p>
      <w:pPr>
        <w:pStyle w:val="Heading2"/>
      </w:pPr>
      <w:r>
        <w:t xml:space="preserve">4.2 Integration with Qatar's Genomic Ecosystem</w:t>
      </w:r>
    </w:p>
    <w:p>
      <w:pPr>
        <w:spacing w:after="120" w:line="276"/>
      </w:pPr>
      <w:r>
        <w:t xml:space="preserve">HEIM will interface with Qatar's existing precision medicine infrastructure:</w:t>
      </w:r>
    </w:p>
    <w:p>
      <w:pPr>
        <w:pStyle w:val="ListParagraph"/>
        <w:numPr>
          <w:ilvl w:val="0"/>
          <w:numId w:val="2"/>
        </w:numPr>
        <w:spacing w:after="80" w:line="276"/>
      </w:pPr>
      <w:r>
        <w:rPr>
          <w:b/>
          <w:bCs/>
        </w:rPr>
        <w:t xml:space="preserve">Qatar Biobank: </w:t>
      </w:r>
      <w:r>
        <w:t xml:space="preserve">HEIM can assess Qatar Biobank's global contribution and identify opportunities for expanded disease coverage</w:t>
      </w:r>
    </w:p>
    <w:p>
      <w:pPr>
        <w:pStyle w:val="ListParagraph"/>
        <w:numPr>
          <w:ilvl w:val="0"/>
          <w:numId w:val="2"/>
        </w:numPr>
        <w:spacing w:after="80" w:line="276"/>
      </w:pPr>
      <w:r>
        <w:rPr>
          <w:b/>
          <w:bCs/>
        </w:rPr>
        <w:t xml:space="preserve">Qatar Genome Programme (QGP): </w:t>
      </w:r>
      <w:r>
        <w:t xml:space="preserve">HEIM metrics can demonstrate QGP's role in addressing regional research gaps</w:t>
      </w:r>
    </w:p>
    <w:p>
      <w:pPr>
        <w:pStyle w:val="ListParagraph"/>
        <w:numPr>
          <w:ilvl w:val="0"/>
          <w:numId w:val="2"/>
        </w:numPr>
        <w:spacing w:after="80" w:line="276"/>
      </w:pPr>
      <w:r>
        <w:rPr>
          <w:b/>
          <w:bCs/>
        </w:rPr>
        <w:t xml:space="preserve">Qatar Precision Medicine Institute (QPMI): </w:t>
      </w:r>
      <w:r>
        <w:t xml:space="preserve">HEIM aligns with QPMI's mission to translate genomic discoveries into clinical benefit for underserved populations</w:t>
      </w:r>
    </w:p>
    <w:p>
      <w:pPr>
        <w:pStyle w:val="ListParagraph"/>
        <w:numPr>
          <w:ilvl w:val="0"/>
          <w:numId w:val="2"/>
        </w:numPr>
        <w:spacing w:after="80" w:line="276"/>
      </w:pPr>
      <w:r>
        <w:rPr>
          <w:b/>
          <w:bCs/>
        </w:rPr>
        <w:t xml:space="preserve">Sidra Precision Medicine Programme: </w:t>
      </w:r>
      <w:r>
        <w:t xml:space="preserve">HEIM provides evidence base for Sidra's strategic focus on diseases affecting women and children in the region</w:t>
      </w:r>
    </w:p>
    <w:p>
      <w:pPr>
        <w:pStyle w:val="Heading2"/>
      </w:pPr>
      <w:r>
        <w:t xml:space="preserve">4.3 Tangible Institutional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Benefit Category</w:t>
            </w:r>
          </w:p>
        </w:tc>
        <w:tc>
          <w:tcPr>
            <w:tcW w:type="dxa" w:w="6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Specific Deliverable</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Publication Portfolio</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Co-authorship on HEIM methodology papers in Nature Medicine, Lancet Digital Health, or equivalent. Estimated 3-5 high-impact publications over 24 months.</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Global Visibility</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Recognition as the institution where HEIM was validated at scale. Press coverage, conference keynotes, WHO engagement opportunities.</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Funder Relations</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Early adoption credit if NIH, Wellcome, or Gates Foundation reference HEIM in equity reporting requirements. Strategic positioning for future funding.</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Regional Leadership</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No institution in the Middle East currently leads in genomic equity measurement. HEIM positions Sidra as the regional authority.</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Clinical Impact</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Framework to demonstrate Sidra's contribution to understudied diseases affecting women and children in the Gulf region.</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Capacity Building</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Training pipeline for Qatari researchers in health equity analytics, AI/ML applications in biomedical research.</w:t>
            </w:r>
          </w:p>
        </w:tc>
      </w:tr>
    </w:tbl>
    <w:p>
      <w:pPr>
        <w:spacing w:after="0"/>
      </w:pPr>
      <w:r>
        <w:t xml:space="preserve"/>
      </w:r>
    </w:p>
    <w:p>
      <w:pPr>
        <w:pStyle w:val="Heading2"/>
      </w:pPr>
      <w:r>
        <w:t xml:space="preserve">4.4 Return on Investment</w:t>
      </w:r>
    </w:p>
    <w:p>
      <w:pPr>
        <w:spacing w:after="120" w:line="276"/>
      </w:pPr>
      <w:r>
        <w:t xml:space="preserve">For an 18-month investment of approximately $650,000, Sidra receives:</w:t>
      </w:r>
    </w:p>
    <w:p>
      <w:pPr>
        <w:pStyle w:val="ListParagraph"/>
        <w:numPr>
          <w:ilvl w:val="0"/>
          <w:numId w:val="2"/>
        </w:numPr>
        <w:spacing w:after="80" w:line="276"/>
      </w:pPr>
      <w:r>
        <w:t xml:space="preserve">3-5 high-impact publications with Sidra co-authorship</w:t>
      </w:r>
    </w:p>
    <w:p>
      <w:pPr>
        <w:pStyle w:val="ListParagraph"/>
        <w:numPr>
          <w:ilvl w:val="0"/>
          <w:numId w:val="2"/>
        </w:numPr>
        <w:spacing w:after="80" w:line="276"/>
      </w:pPr>
      <w:r>
        <w:t xml:space="preserve">Global recognition as a leader in genomic equity</w:t>
      </w:r>
    </w:p>
    <w:p>
      <w:pPr>
        <w:pStyle w:val="ListParagraph"/>
        <w:numPr>
          <w:ilvl w:val="0"/>
          <w:numId w:val="2"/>
        </w:numPr>
        <w:spacing w:after="80" w:line="276"/>
      </w:pPr>
      <w:r>
        <w:t xml:space="preserve">Strategic positioning for future precision medicine funding</w:t>
      </w:r>
    </w:p>
    <w:p>
      <w:pPr>
        <w:pStyle w:val="ListParagraph"/>
        <w:numPr>
          <w:ilvl w:val="0"/>
          <w:numId w:val="2"/>
        </w:numPr>
        <w:spacing w:after="80" w:line="276"/>
      </w:pPr>
      <w:r>
        <w:t xml:space="preserve">Trained personnel with transferable skills</w:t>
      </w:r>
    </w:p>
    <w:p>
      <w:pPr>
        <w:pStyle w:val="ListParagraph"/>
        <w:numPr>
          <w:ilvl w:val="0"/>
          <w:numId w:val="2"/>
        </w:numPr>
        <w:spacing w:after="80" w:line="276"/>
      </w:pPr>
      <w:r>
        <w:t xml:space="preserve">Operational framework applicable to Sidra's own research portfolio</w:t>
      </w:r>
    </w:p>
    <w:p>
      <w:pPr>
        <w:pStyle w:val="ListParagraph"/>
        <w:numPr>
          <w:ilvl w:val="0"/>
          <w:numId w:val="2"/>
        </w:numPr>
        <w:spacing w:after="80" w:line="276"/>
      </w:pPr>
      <w:r>
        <w:t xml:space="preserve">Enhanced relationships with WHO, major funders, and global biobank community</w:t>
      </w:r>
    </w:p>
    <w:p>
      <w:r>
        <w:br w:type="page"/>
      </w:r>
    </w:p>
    <w:p>
      <w:pPr>
        <w:pStyle w:val="Heading1"/>
      </w:pPr>
      <w:r>
        <w:t xml:space="preserve">5. Governance and Independence</w:t>
      </w:r>
    </w:p>
    <w:p>
      <w:pPr>
        <w:pStyle w:val="Heading2"/>
      </w:pPr>
      <w:r>
        <w:t xml:space="preserve">5.1 Foundational Principle</w:t>
      </w:r>
    </w:p>
    <w:p>
      <w:pPr>
        <w:spacing w:after="120" w:line="276"/>
      </w:pPr>
      <w:r>
        <w:rPr>
          <w:b/>
          <w:bCs/>
        </w:rPr>
        <w:t xml:space="preserve">HEIM's global credibility depends on methodological independence.</w:t>
      </w:r>
      <w:r>
        <w:t xml:space="preserve"> Sidra's role is as a founding partner and validation environment, not an owner or controller of the framework. This separation protects both HEIM's scientific integrity and Sidra's reputation.</w:t>
      </w:r>
    </w:p>
    <w:p>
      <w:pPr>
        <w:pStyle w:val="Heading2"/>
      </w:pPr>
      <w:r>
        <w:t xml:space="preserve">5.2 Governance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Domain</w:t>
            </w:r>
          </w:p>
        </w:tc>
        <w:tc>
          <w:tcPr>
            <w:tcW w:type="dxa" w:w="3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HEIM Authority</w:t>
            </w:r>
          </w:p>
        </w:tc>
        <w:tc>
          <w:tcPr>
            <w:tcW w:type="dxa" w:w="3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Sidra Role</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Methodology</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Full control over scoring logic, disease mappings, and analytical methods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Advisory input; no veto power</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Rankings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Independent determination of biobank scores and rankings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No pre-publication review of rankings</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Publications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Primary authorship on methodology papers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Co-authorship on validation studies; independent publication rights</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Infrastructure</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Technical architecture decisions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Provision of compute resources; compliance oversight</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Data</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Access to aggregate metrics for validation</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Full control over Sidra patient data; no individual-level data sharing</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External Communications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HEIM messaging and branding</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Joint approval for communications involving Sidra</w:t>
            </w:r>
          </w:p>
        </w:tc>
      </w:tr>
    </w:tbl>
    <w:p>
      <w:pPr>
        <w:spacing w:after="0"/>
      </w:pPr>
      <w:r>
        <w:t xml:space="preserve"/>
      </w:r>
    </w:p>
    <w:p>
      <w:pPr>
        <w:pStyle w:val="Heading2"/>
      </w:pPr>
      <w:r>
        <w:t xml:space="preserve">5.3 Intellectual Property</w:t>
      </w:r>
    </w:p>
    <w:p>
      <w:pPr>
        <w:pStyle w:val="ListParagraph"/>
        <w:numPr>
          <w:ilvl w:val="0"/>
          <w:numId w:val="2"/>
        </w:numPr>
        <w:spacing w:after="80" w:line="276"/>
      </w:pPr>
      <w:r>
        <w:rPr>
          <w:b/>
          <w:bCs/>
        </w:rPr>
        <w:t xml:space="preserve">HEIM Framework: </w:t>
      </w:r>
      <w:r>
        <w:t xml:space="preserve">Open methodology; freely available for academic and non-commercial use</w:t>
      </w:r>
    </w:p>
    <w:p>
      <w:pPr>
        <w:pStyle w:val="ListParagraph"/>
        <w:numPr>
          <w:ilvl w:val="0"/>
          <w:numId w:val="2"/>
        </w:numPr>
        <w:spacing w:after="80" w:line="276"/>
      </w:pPr>
      <w:r>
        <w:rPr>
          <w:b/>
          <w:bCs/>
        </w:rPr>
        <w:t xml:space="preserve">Software/Code: </w:t>
      </w:r>
      <w:r>
        <w:t xml:space="preserve">Open source (MIT or Apache 2.0 license); hosted on GitHub</w:t>
      </w:r>
    </w:p>
    <w:p>
      <w:pPr>
        <w:pStyle w:val="ListParagraph"/>
        <w:numPr>
          <w:ilvl w:val="0"/>
          <w:numId w:val="2"/>
        </w:numPr>
        <w:spacing w:after="80" w:line="276"/>
      </w:pPr>
      <w:r>
        <w:rPr>
          <w:b/>
          <w:bCs/>
        </w:rPr>
        <w:t xml:space="preserve">Data Products: </w:t>
      </w:r>
      <w:r>
        <w:t xml:space="preserve">Rankings and dashboards publicly accessible; API available for integration</w:t>
      </w:r>
    </w:p>
    <w:p>
      <w:pPr>
        <w:pStyle w:val="ListParagraph"/>
        <w:numPr>
          <w:ilvl w:val="0"/>
          <w:numId w:val="2"/>
        </w:numPr>
        <w:spacing w:after="80" w:line="276"/>
      </w:pPr>
      <w:r>
        <w:rPr>
          <w:b/>
          <w:bCs/>
        </w:rPr>
        <w:t xml:space="preserve">Derived Tools: </w:t>
      </w:r>
      <w:r>
        <w:t xml:space="preserve">Sidra retains rights to any internal tools developed using HEIM methodology</w:t>
      </w:r>
    </w:p>
    <w:p>
      <w:pPr>
        <w:pStyle w:val="ListParagraph"/>
        <w:numPr>
          <w:ilvl w:val="0"/>
          <w:numId w:val="2"/>
        </w:numPr>
        <w:spacing w:after="80" w:line="276"/>
      </w:pPr>
      <w:r>
        <w:rPr>
          <w:b/>
          <w:bCs/>
        </w:rPr>
        <w:t xml:space="preserve">Commercial Use: </w:t>
      </w:r>
      <w:r>
        <w:t xml:space="preserve">Any commercial licensing requires joint approval and revenue sharing</w:t>
      </w:r>
    </w:p>
    <w:p>
      <w:pPr>
        <w:pStyle w:val="Heading2"/>
      </w:pPr>
      <w:r>
        <w:t xml:space="preserve">5.4 Conflict Resolution</w:t>
      </w:r>
    </w:p>
    <w:p>
      <w:pPr>
        <w:spacing w:after="120" w:line="276"/>
      </w:pPr>
      <w:r>
        <w:t xml:space="preserve">In the event of disagreement between HEIM scientific leadership and Sidra:</w:t>
      </w:r>
    </w:p>
    <w:p>
      <w:pPr>
        <w:pStyle w:val="ListParagraph"/>
        <w:numPr>
          <w:ilvl w:val="0"/>
          <w:numId w:val="5"/>
        </w:numPr>
        <w:spacing w:after="80" w:line="276"/>
      </w:pPr>
      <w:r>
        <w:t xml:space="preserve">Parties attempt resolution through direct discussion (14-day period)</w:t>
      </w:r>
    </w:p>
    <w:p>
      <w:pPr>
        <w:pStyle w:val="ListParagraph"/>
        <w:numPr>
          <w:ilvl w:val="0"/>
          <w:numId w:val="5"/>
        </w:numPr>
        <w:spacing w:after="80" w:line="276"/>
      </w:pPr>
      <w:r>
        <w:t xml:space="preserve">If unresolved, matter escalates to joint advisory committee (14-day period)</w:t>
      </w:r>
    </w:p>
    <w:p>
      <w:pPr>
        <w:pStyle w:val="ListParagraph"/>
        <w:numPr>
          <w:ilvl w:val="0"/>
          <w:numId w:val="5"/>
        </w:numPr>
        <w:spacing w:after="80" w:line="276"/>
      </w:pPr>
      <w:r>
        <w:t xml:space="preserve">Final arbitration by mutually agreed independent scientific advisor</w:t>
      </w:r>
    </w:p>
    <w:p>
      <w:pPr>
        <w:pStyle w:val="ListParagraph"/>
        <w:numPr>
          <w:ilvl w:val="0"/>
          <w:numId w:val="5"/>
        </w:numPr>
        <w:spacing w:after="80" w:line="276"/>
      </w:pPr>
      <w:r>
        <w:t xml:space="preserve">Either party may terminate partnership with 90-day notice if conflict is fundamental</w:t>
      </w:r>
    </w:p>
    <w:p>
      <w:r>
        <w:br w:type="page"/>
      </w:r>
    </w:p>
    <w:p>
      <w:pPr>
        <w:pStyle w:val="Heading1"/>
      </w:pPr>
      <w:r>
        <w:t xml:space="preserve">6. Data Architecture and Compliance</w:t>
      </w:r>
    </w:p>
    <w:p>
      <w:pPr>
        <w:pStyle w:val="Heading2"/>
      </w:pPr>
      <w:r>
        <w:t xml:space="preserve">6.1 Data Flow Overview</w:t>
      </w:r>
    </w:p>
    <w:p>
      <w:pPr>
        <w:spacing w:after="120" w:line="276"/>
      </w:pPr>
      <w:r>
        <w:t xml:space="preserve">HEIM processes three categories of data, with clear boundaries around each: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Data Category</w:t>
            </w:r>
          </w:p>
        </w:tc>
        <w:tc>
          <w:tcPr>
            <w:tcW w:type="dxa" w:w="3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Source</w:t>
            </w:r>
          </w:p>
        </w:tc>
        <w:tc>
          <w:tcPr>
            <w:tcW w:type="dxa" w:w="3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Processing Location</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Publication Metadata</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PubMed API (publicly available)</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HEIM cloud infrastructure</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Disease Burden Statistics</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IHME GBD 2021 (publicly available)</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HEIM cloud infrastructure</w:t>
            </w:r>
          </w:p>
        </w:tc>
      </w:tr>
      <w:tr>
        <w:tc>
          <w:tcPr>
            <w:tcW w:type="dxa" w:w="2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Sidra Validation Data</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Sidra aggregate metrics (de-identified)</w:t>
            </w:r>
          </w:p>
        </w:tc>
        <w:tc>
          <w:tcPr>
            <w:tcW w:type="dxa" w:w="3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Sidra secure environment only</w:t>
            </w:r>
          </w:p>
        </w:tc>
      </w:tr>
    </w:tbl>
    <w:p>
      <w:pPr>
        <w:spacing w:after="0"/>
      </w:pPr>
      <w:r>
        <w:t xml:space="preserve"/>
      </w:r>
    </w:p>
    <w:p>
      <w:pPr>
        <w:pStyle w:val="Heading2"/>
      </w:pPr>
      <w:r>
        <w:t xml:space="preserve">6.2 Data Principles</w:t>
      </w:r>
    </w:p>
    <w:p>
      <w:pPr>
        <w:pStyle w:val="ListParagraph"/>
        <w:numPr>
          <w:ilvl w:val="0"/>
          <w:numId w:val="6"/>
        </w:numPr>
        <w:spacing w:after="80" w:line="276"/>
      </w:pPr>
      <w:r>
        <w:rPr>
          <w:b/>
          <w:bCs/>
        </w:rPr>
        <w:t xml:space="preserve">No Individual Patient Data: </w:t>
      </w:r>
      <w:r>
        <w:t xml:space="preserve">HEIM never accesses, processes, or stores individual-level patient data from Sidra or any other source</w:t>
      </w:r>
    </w:p>
    <w:p>
      <w:pPr>
        <w:pStyle w:val="ListParagraph"/>
        <w:numPr>
          <w:ilvl w:val="0"/>
          <w:numId w:val="6"/>
        </w:numPr>
        <w:spacing w:after="80" w:line="276"/>
      </w:pPr>
      <w:r>
        <w:rPr>
          <w:b/>
          <w:bCs/>
        </w:rPr>
        <w:t xml:space="preserve">Aggregate Metrics Only: </w:t>
      </w:r>
      <w:r>
        <w:t xml:space="preserve">Sidra validation uses only pre-computed, de-identified statistics (e.g., publication counts by disease category)</w:t>
      </w:r>
    </w:p>
    <w:p>
      <w:pPr>
        <w:pStyle w:val="ListParagraph"/>
        <w:numPr>
          <w:ilvl w:val="0"/>
          <w:numId w:val="6"/>
        </w:numPr>
        <w:spacing w:after="80" w:line="276"/>
      </w:pPr>
      <w:r>
        <w:rPr>
          <w:b/>
          <w:bCs/>
        </w:rPr>
        <w:t xml:space="preserve">No Data Export: </w:t>
      </w:r>
      <w:r>
        <w:t xml:space="preserve">Sidra-specific data never leaves Sidra's secure infrastructure; only validation results (approved metrics) are shared</w:t>
      </w:r>
    </w:p>
    <w:p>
      <w:pPr>
        <w:pStyle w:val="ListParagraph"/>
        <w:numPr>
          <w:ilvl w:val="0"/>
          <w:numId w:val="6"/>
        </w:numPr>
        <w:spacing w:after="80" w:line="276"/>
      </w:pPr>
      <w:r>
        <w:rPr>
          <w:b/>
          <w:bCs/>
        </w:rPr>
        <w:t xml:space="preserve">Public Data Primacy: </w:t>
      </w:r>
      <w:r>
        <w:t xml:space="preserve">Core HEIM analyses rely exclusively on publicly available data sources</w:t>
      </w:r>
    </w:p>
    <w:p>
      <w:pPr>
        <w:pStyle w:val="ListParagraph"/>
        <w:numPr>
          <w:ilvl w:val="0"/>
          <w:numId w:val="6"/>
        </w:numPr>
        <w:spacing w:after="80" w:line="276"/>
      </w:pPr>
      <w:r>
        <w:rPr>
          <w:b/>
          <w:bCs/>
        </w:rPr>
        <w:t xml:space="preserve">Audit Trail: </w:t>
      </w:r>
      <w:r>
        <w:t xml:space="preserve">All data access logged and auditable for compliance verification</w:t>
      </w:r>
    </w:p>
    <w:p>
      <w:pPr>
        <w:pStyle w:val="Heading2"/>
      </w:pPr>
      <w:r>
        <w:t xml:space="preserve">6.3 Regulatory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Regulation</w:t>
            </w:r>
          </w:p>
        </w:tc>
        <w:tc>
          <w:tcPr>
            <w:tcW w:type="dxa" w:w="6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Compliance Approach</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Qatar Data Protection Law (Law No. 13 of 2016)</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No personal data processed; Sidra data remains within Qatar jurisdiction; data minimisation principles applied</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Sidra IRB Requirements</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Protocol submitted for ethics review prior to any Sidra data access; annual renewal as required</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GDPR (for European biobank data)</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Analysis uses only publicly indexed publications; no access to EU biobank participant data</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HIPAA (for US biobank data)</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Analysis uses only publicly indexed publications; no access to US biobank patient records</w:t>
            </w:r>
          </w:p>
        </w:tc>
      </w:tr>
    </w:tbl>
    <w:p>
      <w:pPr>
        <w:spacing w:after="0"/>
      </w:pPr>
      <w:r>
        <w:t xml:space="preserve"/>
      </w:r>
    </w:p>
    <w:p>
      <w:pPr>
        <w:pStyle w:val="Heading2"/>
      </w:pPr>
      <w:r>
        <w:t xml:space="preserve">6.4 Security Architecture</w:t>
      </w:r>
    </w:p>
    <w:p>
      <w:pPr>
        <w:pStyle w:val="ListParagraph"/>
        <w:numPr>
          <w:ilvl w:val="0"/>
          <w:numId w:val="2"/>
        </w:numPr>
        <w:spacing w:after="80" w:line="276"/>
      </w:pPr>
      <w:r>
        <w:rPr>
          <w:b/>
          <w:bCs/>
        </w:rPr>
        <w:t xml:space="preserve">Cloud Infrastructure: </w:t>
      </w:r>
      <w:r>
        <w:t xml:space="preserve">Azure (preferred for Sidra compatibility) with data residency in approved regions</w:t>
      </w:r>
    </w:p>
    <w:p>
      <w:pPr>
        <w:pStyle w:val="ListParagraph"/>
        <w:numPr>
          <w:ilvl w:val="0"/>
          <w:numId w:val="2"/>
        </w:numPr>
        <w:spacing w:after="80" w:line="276"/>
      </w:pPr>
      <w:r>
        <w:rPr>
          <w:b/>
          <w:bCs/>
        </w:rPr>
        <w:t xml:space="preserve">Access Control: </w:t>
      </w:r>
      <w:r>
        <w:t xml:space="preserve">Role-based access; multi-factor authentication; principle of least privilege</w:t>
      </w:r>
    </w:p>
    <w:p>
      <w:pPr>
        <w:pStyle w:val="ListParagraph"/>
        <w:numPr>
          <w:ilvl w:val="0"/>
          <w:numId w:val="2"/>
        </w:numPr>
        <w:spacing w:after="80" w:line="276"/>
      </w:pPr>
      <w:r>
        <w:rPr>
          <w:b/>
          <w:bCs/>
        </w:rPr>
        <w:t xml:space="preserve">Encryption: </w:t>
      </w:r>
      <w:r>
        <w:t xml:space="preserve">Data encrypted at rest (AES-256) and in transit (TLS 1.3)</w:t>
      </w:r>
    </w:p>
    <w:p>
      <w:pPr>
        <w:pStyle w:val="ListParagraph"/>
        <w:numPr>
          <w:ilvl w:val="0"/>
          <w:numId w:val="2"/>
        </w:numPr>
        <w:spacing w:after="80" w:line="276"/>
      </w:pPr>
      <w:r>
        <w:rPr>
          <w:b/>
          <w:bCs/>
        </w:rPr>
        <w:t xml:space="preserve">Monitoring: </w:t>
      </w:r>
      <w:r>
        <w:t xml:space="preserve">Continuous security monitoring; automated alerting for anomalous access patterns</w:t>
      </w:r>
    </w:p>
    <w:p>
      <w:pPr>
        <w:pStyle w:val="ListParagraph"/>
        <w:numPr>
          <w:ilvl w:val="0"/>
          <w:numId w:val="2"/>
        </w:numPr>
        <w:spacing w:after="80" w:line="276"/>
      </w:pPr>
      <w:r>
        <w:rPr>
          <w:b/>
          <w:bCs/>
        </w:rPr>
        <w:t xml:space="preserve">Backup: </w:t>
      </w:r>
      <w:r>
        <w:t xml:space="preserve">Daily automated backups; disaster recovery plan with 4-hour RTO</w:t>
      </w:r>
    </w:p>
    <w:p>
      <w:r>
        <w:br w:type="page"/>
      </w:r>
    </w:p>
    <w:p>
      <w:pPr>
        <w:pStyle w:val="Heading1"/>
      </w:pPr>
      <w:r>
        <w:t xml:space="preserve">7. Technical Requirements and Infrastructure</w:t>
      </w:r>
    </w:p>
    <w:p>
      <w:pPr>
        <w:pStyle w:val="Heading2"/>
      </w:pPr>
      <w:r>
        <w:t xml:space="preserve">7.1 Personnel</w:t>
      </w:r>
    </w:p>
    <w:p>
      <w:pPr>
        <w:pStyle w:val="Heading3"/>
      </w:pPr>
      <w:r>
        <w:t xml:space="preserve">Senior Research Engineer (1 FTE)</w:t>
      </w:r>
    </w:p>
    <w:p>
      <w:pPr>
        <w:spacing w:after="120" w:line="276"/>
      </w:pPr>
      <w:r>
        <w:rPr>
          <w:b/>
          <w:bCs/>
        </w:rPr>
        <w:t xml:space="preserve">Qualifications: </w:t>
      </w:r>
      <w:r>
        <w:t xml:space="preserve">PhD in biomedical informatics, computational biology, or equivalent; 5+ years experience</w:t>
      </w:r>
    </w:p>
    <w:p>
      <w:pPr>
        <w:spacing w:after="120" w:line="276"/>
      </w:pPr>
      <w:r>
        <w:rPr>
          <w:b/>
          <w:bCs/>
        </w:rPr>
        <w:t xml:space="preserve">Responsibilities:</w:t>
      </w:r>
    </w:p>
    <w:p>
      <w:pPr>
        <w:pStyle w:val="ListParagraph"/>
        <w:numPr>
          <w:ilvl w:val="0"/>
          <w:numId w:val="7"/>
        </w:numPr>
        <w:spacing w:after="80" w:line="276"/>
      </w:pPr>
      <w:r>
        <w:t xml:space="preserve">Lead technical architecture and API development</w:t>
      </w:r>
    </w:p>
    <w:p>
      <w:pPr>
        <w:pStyle w:val="ListParagraph"/>
        <w:numPr>
          <w:ilvl w:val="0"/>
          <w:numId w:val="7"/>
        </w:numPr>
        <w:spacing w:after="80" w:line="276"/>
      </w:pPr>
      <w:r>
        <w:t xml:space="preserve">Design and implement MeSH-to-GBD mapping algorithms</w:t>
      </w:r>
    </w:p>
    <w:p>
      <w:pPr>
        <w:pStyle w:val="ListParagraph"/>
        <w:numPr>
          <w:ilvl w:val="0"/>
          <w:numId w:val="7"/>
        </w:numPr>
        <w:spacing w:after="80" w:line="276"/>
      </w:pPr>
      <w:r>
        <w:t xml:space="preserve">Oversee cloud infrastructure and security</w:t>
      </w:r>
    </w:p>
    <w:p>
      <w:pPr>
        <w:pStyle w:val="ListParagraph"/>
        <w:numPr>
          <w:ilvl w:val="0"/>
          <w:numId w:val="7"/>
        </w:numPr>
        <w:spacing w:after="80" w:line="276"/>
      </w:pPr>
      <w:r>
        <w:t xml:space="preserve">Coordinate with Sidra IT for integration requirements</w:t>
      </w:r>
    </w:p>
    <w:p>
      <w:pPr>
        <w:pStyle w:val="ListParagraph"/>
        <w:numPr>
          <w:ilvl w:val="0"/>
          <w:numId w:val="7"/>
        </w:numPr>
        <w:spacing w:after="80" w:line="276"/>
      </w:pPr>
      <w:r>
        <w:t xml:space="preserve">Contribute to methodology publications</w:t>
      </w:r>
    </w:p>
    <w:p>
      <w:pPr>
        <w:pStyle w:val="Heading3"/>
      </w:pPr>
      <w:r>
        <w:t xml:space="preserve">Research Engineer (1 FTE)</w:t>
      </w:r>
    </w:p>
    <w:p>
      <w:pPr>
        <w:spacing w:after="120" w:line="276"/>
      </w:pPr>
      <w:r>
        <w:rPr>
          <w:b/>
          <w:bCs/>
        </w:rPr>
        <w:t xml:space="preserve">Qualifications: </w:t>
      </w:r>
      <w:r>
        <w:t xml:space="preserve">MSc in data science, bioinformatics, or equivalent; 2+ years experience</w:t>
      </w:r>
    </w:p>
    <w:p>
      <w:pPr>
        <w:spacing w:after="120" w:line="276"/>
      </w:pPr>
      <w:r>
        <w:rPr>
          <w:b/>
          <w:bCs/>
        </w:rPr>
        <w:t xml:space="preserve">Responsibilities:</w:t>
      </w:r>
    </w:p>
    <w:p>
      <w:pPr>
        <w:pStyle w:val="ListParagraph"/>
        <w:numPr>
          <w:ilvl w:val="0"/>
          <w:numId w:val="7"/>
        </w:numPr>
        <w:spacing w:after="80" w:line="276"/>
      </w:pPr>
      <w:r>
        <w:t xml:space="preserve">Develop data pipelines for publication retrieval and processing</w:t>
      </w:r>
    </w:p>
    <w:p>
      <w:pPr>
        <w:pStyle w:val="ListParagraph"/>
        <w:numPr>
          <w:ilvl w:val="0"/>
          <w:numId w:val="7"/>
        </w:numPr>
        <w:spacing w:after="80" w:line="276"/>
      </w:pPr>
      <w:r>
        <w:t xml:space="preserve">Build interactive dashboard and visualisation tools</w:t>
      </w:r>
    </w:p>
    <w:p>
      <w:pPr>
        <w:pStyle w:val="ListParagraph"/>
        <w:numPr>
          <w:ilvl w:val="0"/>
          <w:numId w:val="7"/>
        </w:numPr>
        <w:spacing w:after="80" w:line="276"/>
      </w:pPr>
      <w:r>
        <w:t xml:space="preserve">Implement ML models for disease classification</w:t>
      </w:r>
    </w:p>
    <w:p>
      <w:pPr>
        <w:pStyle w:val="ListParagraph"/>
        <w:numPr>
          <w:ilvl w:val="0"/>
          <w:numId w:val="7"/>
        </w:numPr>
        <w:spacing w:after="80" w:line="276"/>
      </w:pPr>
      <w:r>
        <w:t xml:space="preserve">Maintain documentation and user support</w:t>
      </w:r>
    </w:p>
    <w:p>
      <w:pPr>
        <w:pStyle w:val="ListParagraph"/>
        <w:numPr>
          <w:ilvl w:val="0"/>
          <w:numId w:val="7"/>
        </w:numPr>
        <w:spacing w:after="80" w:line="276"/>
      </w:pPr>
      <w:r>
        <w:t xml:space="preserve">Support validation analyses</w:t>
      </w:r>
    </w:p>
    <w:p>
      <w:pPr>
        <w:pStyle w:val="Heading2"/>
      </w:pPr>
      <w:r>
        <w:t xml:space="preserve">7.2 Infrastructure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Component</w:t>
            </w:r>
          </w:p>
        </w:tc>
        <w:tc>
          <w:tcPr>
            <w:tcW w:type="dxa" w:w="6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Specification</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Cloud Platform</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Microsoft Azure (preferred) or AWS; Sidra-compatible security configuration</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Compute</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Standard tier: 8-core VMs for API and pipeline processing; GPU tier: A100 equivalent for ML training</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Storage</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5TB initial allocation; blob storage for publication corpus; database for processed metrics</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Database</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PostgreSQL for relational data; Elasticsearch for publication search</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API Gateway</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Azure API Management or AWS API Gateway; rate limiting; authentication</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Dashboard</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React/Next.js frontend; hosted on Azure Static Web Apps or equivalent</w:t>
            </w:r>
          </w:p>
        </w:tc>
      </w:tr>
    </w:tbl>
    <w:p>
      <w:pPr>
        <w:spacing w:after="0"/>
      </w:pPr>
      <w:r>
        <w:t xml:space="preserve"/>
      </w:r>
    </w:p>
    <w:p>
      <w:pPr>
        <w:pStyle w:val="Heading2"/>
      </w:pPr>
      <w:r>
        <w:t xml:space="preserve">7.3 Integration Points</w:t>
      </w:r>
    </w:p>
    <w:p>
      <w:pPr>
        <w:pStyle w:val="ListParagraph"/>
        <w:numPr>
          <w:ilvl w:val="0"/>
          <w:numId w:val="2"/>
        </w:numPr>
        <w:spacing w:after="80" w:line="276"/>
      </w:pPr>
      <w:r>
        <w:rPr>
          <w:b/>
          <w:bCs/>
        </w:rPr>
        <w:t xml:space="preserve">PubMed API: </w:t>
      </w:r>
      <w:r>
        <w:t xml:space="preserve">Automated daily retrieval of new publications; batch processing for historical data</w:t>
      </w:r>
    </w:p>
    <w:p>
      <w:pPr>
        <w:pStyle w:val="ListParagraph"/>
        <w:numPr>
          <w:ilvl w:val="0"/>
          <w:numId w:val="2"/>
        </w:numPr>
        <w:spacing w:after="80" w:line="276"/>
      </w:pPr>
      <w:r>
        <w:rPr>
          <w:b/>
          <w:bCs/>
        </w:rPr>
        <w:t xml:space="preserve">IHME GBD: </w:t>
      </w:r>
      <w:r>
        <w:t xml:space="preserve">Annual update cycle aligned with GBD release schedule</w:t>
      </w:r>
    </w:p>
    <w:p>
      <w:pPr>
        <w:pStyle w:val="ListParagraph"/>
        <w:numPr>
          <w:ilvl w:val="0"/>
          <w:numId w:val="2"/>
        </w:numPr>
        <w:spacing w:after="80" w:line="276"/>
      </w:pPr>
      <w:r>
        <w:rPr>
          <w:b/>
          <w:bCs/>
        </w:rPr>
        <w:t xml:space="preserve">Sidra Systems: </w:t>
      </w:r>
      <w:r>
        <w:t xml:space="preserve">Read-only access to approved aggregate metrics via secure API</w:t>
      </w:r>
    </w:p>
    <w:p>
      <w:pPr>
        <w:pStyle w:val="ListParagraph"/>
        <w:numPr>
          <w:ilvl w:val="0"/>
          <w:numId w:val="2"/>
        </w:numPr>
        <w:spacing w:after="80" w:line="276"/>
      </w:pPr>
      <w:r>
        <w:rPr>
          <w:b/>
          <w:bCs/>
        </w:rPr>
        <w:t xml:space="preserve">External Biobanks: </w:t>
      </w:r>
      <w:r>
        <w:t xml:space="preserve">API endpoints for voluntary data submission (publication lists, disease coverage)</w:t>
      </w:r>
    </w:p>
    <w:p>
      <w:r>
        <w:br w:type="page"/>
      </w:r>
    </w:p>
    <w:p>
      <w:pPr>
        <w:pStyle w:val="Heading1"/>
      </w:pPr>
      <w:r>
        <w:t xml:space="preserve">8. Execution Timeline and Milestones</w:t>
      </w:r>
    </w:p>
    <w:p>
      <w:pPr>
        <w:pStyle w:val="Heading2"/>
      </w:pPr>
      <w:r>
        <w:t xml:space="preserve">8.1 Phase 1: Foundation (Months 1-6)</w:t>
      </w:r>
    </w:p>
    <w:p>
      <w:pPr>
        <w:spacing w:after="120" w:line="276"/>
      </w:pPr>
      <w:r>
        <w:rPr>
          <w:b/>
          <w:bCs/>
        </w:rPr>
        <w:t xml:space="preserve">Objective: </w:t>
      </w:r>
      <w:r>
        <w:t xml:space="preserve">Establish production infrastructure and complete first internal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000"/>
      </w:tblGrid>
      <w:tr>
        <w:trPr>
          <w:tblHeader/>
        </w:trPr>
        <w:tc>
          <w:tcPr>
            <w:tcW w:type="dxa" w:w="15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Month</w:t>
            </w:r>
          </w:p>
        </w:tc>
        <w:tc>
          <w:tcPr>
            <w:tcW w:type="dxa" w:w="5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Activities</w:t>
            </w:r>
          </w:p>
        </w:tc>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Deliverables</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1-2</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Personnel recruitment; cloud infrastructure setup; Sidra IT onboarding; IRB submission</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Team in place; infrastructure operational; IRB approved</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3-4</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API development; publication retrieval pipeline; MeSH mapping refinement</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Core pipeline operational; 50+ biobanks indexed</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5-6</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Qatar Biobank integration; Sidra validation dataset; first EAS calculations</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Internal validation complete; Qatar-specific analysis</w:t>
            </w:r>
          </w:p>
        </w:tc>
      </w:tr>
    </w:tbl>
    <w:p>
      <w:pPr>
        <w:spacing w:after="0"/>
      </w:pPr>
      <w:r>
        <w:t xml:space="preserve"/>
      </w:r>
    </w:p>
    <w:p>
      <w:pPr>
        <w:spacing w:after="120" w:line="276"/>
      </w:pPr>
      <w:r>
        <w:rPr>
          <w:b/>
          <w:bCs/>
        </w:rPr>
        <w:t xml:space="preserve">Phase 1 Success Criteria:</w:t>
      </w:r>
    </w:p>
    <w:p>
      <w:pPr>
        <w:pStyle w:val="ListParagraph"/>
        <w:numPr>
          <w:ilvl w:val="0"/>
          <w:numId w:val="2"/>
        </w:numPr>
        <w:spacing w:after="80" w:line="276"/>
      </w:pPr>
      <w:r>
        <w:t xml:space="preserve">Production pipeline processing 50+ biobanks</w:t>
      </w:r>
    </w:p>
    <w:p>
      <w:pPr>
        <w:pStyle w:val="ListParagraph"/>
        <w:numPr>
          <w:ilvl w:val="0"/>
          <w:numId w:val="2"/>
        </w:numPr>
        <w:spacing w:after="80" w:line="276"/>
      </w:pPr>
      <w:r>
        <w:t xml:space="preserve">Qatar Biobank and Sidra publications mapped</w:t>
      </w:r>
    </w:p>
    <w:p>
      <w:pPr>
        <w:pStyle w:val="ListParagraph"/>
        <w:numPr>
          <w:ilvl w:val="0"/>
          <w:numId w:val="2"/>
        </w:numPr>
        <w:spacing w:after="80" w:line="276"/>
      </w:pPr>
      <w:r>
        <w:t xml:space="preserve">EAS scores calculated and internally reviewed</w:t>
      </w:r>
    </w:p>
    <w:p>
      <w:pPr>
        <w:pStyle w:val="ListParagraph"/>
        <w:numPr>
          <w:ilvl w:val="0"/>
          <w:numId w:val="2"/>
        </w:numPr>
        <w:spacing w:after="80" w:line="276"/>
      </w:pPr>
      <w:r>
        <w:t xml:space="preserve">IRB approval obtained</w:t>
      </w:r>
    </w:p>
    <w:p>
      <w:pPr>
        <w:pStyle w:val="Heading2"/>
      </w:pPr>
      <w:r>
        <w:t xml:space="preserve">8.2 Phase 2: Validation (Months 7-12)</w:t>
      </w:r>
    </w:p>
    <w:p>
      <w:pPr>
        <w:spacing w:after="120" w:line="276"/>
      </w:pPr>
      <w:r>
        <w:rPr>
          <w:b/>
          <w:bCs/>
        </w:rPr>
        <w:t xml:space="preserve">Objective: </w:t>
      </w:r>
      <w:r>
        <w:t xml:space="preserve">External validation, methodology publication, and stakeholder engagement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000"/>
      </w:tblGrid>
      <w:tr>
        <w:trPr>
          <w:tblHeader/>
        </w:trPr>
        <w:tc>
          <w:tcPr>
            <w:tcW w:type="dxa" w:w="15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Month</w:t>
            </w:r>
          </w:p>
        </w:tc>
        <w:tc>
          <w:tcPr>
            <w:tcW w:type="dxa" w:w="5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Activities</w:t>
            </w:r>
          </w:p>
        </w:tc>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Deliverables</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7-8</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Methodology paper drafting; external biobank outreach; beta dashboard development</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Paper draft complete; 5+ biobanks engaged</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9-10</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Paper submission; funder engagement (NIH, Wellcome, Gates); dashboard refinement</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Paper submitted; funder meetings scheduled</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11-12</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Paper revision; public beta launch; WHO engagement; sustainability planning</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Beta dashboard live; methodology accepted</w:t>
            </w:r>
          </w:p>
        </w:tc>
      </w:tr>
    </w:tbl>
    <w:p>
      <w:pPr>
        <w:spacing w:after="0"/>
      </w:pPr>
      <w:r>
        <w:t xml:space="preserve"/>
      </w:r>
    </w:p>
    <w:p>
      <w:pPr>
        <w:spacing w:after="120" w:line="276"/>
      </w:pPr>
      <w:r>
        <w:rPr>
          <w:b/>
          <w:bCs/>
        </w:rPr>
        <w:t xml:space="preserve">Phase 2 Success Criteria:</w:t>
      </w:r>
    </w:p>
    <w:p>
      <w:pPr>
        <w:pStyle w:val="ListParagraph"/>
        <w:numPr>
          <w:ilvl w:val="0"/>
          <w:numId w:val="2"/>
        </w:numPr>
        <w:spacing w:after="80" w:line="276"/>
      </w:pPr>
      <w:r>
        <w:t xml:space="preserve">Methodology paper accepted at high-impact journal</w:t>
      </w:r>
    </w:p>
    <w:p>
      <w:pPr>
        <w:pStyle w:val="ListParagraph"/>
        <w:numPr>
          <w:ilvl w:val="0"/>
          <w:numId w:val="2"/>
        </w:numPr>
        <w:spacing w:after="80" w:line="276"/>
      </w:pPr>
      <w:r>
        <w:t xml:space="preserve">Public beta dashboard operational</w:t>
      </w:r>
    </w:p>
    <w:p>
      <w:pPr>
        <w:pStyle w:val="ListParagraph"/>
        <w:numPr>
          <w:ilvl w:val="0"/>
          <w:numId w:val="2"/>
        </w:numPr>
        <w:spacing w:after="80" w:line="276"/>
      </w:pPr>
      <w:r>
        <w:t xml:space="preserve">Formal engagement with at least one major funder</w:t>
      </w:r>
    </w:p>
    <w:p>
      <w:pPr>
        <w:pStyle w:val="ListParagraph"/>
        <w:numPr>
          <w:ilvl w:val="0"/>
          <w:numId w:val="2"/>
        </w:numPr>
        <w:spacing w:after="80" w:line="276"/>
      </w:pPr>
      <w:r>
        <w:t xml:space="preserve">External validation from 3+ biobanks</w:t>
      </w:r>
    </w:p>
    <w:p>
      <w:pPr>
        <w:pStyle w:val="Heading2"/>
      </w:pPr>
      <w:r>
        <w:t xml:space="preserve">8.3 Phase 3: Launch (Months 13-18)</w:t>
      </w:r>
    </w:p>
    <w:p>
      <w:pPr>
        <w:spacing w:after="120" w:line="276"/>
      </w:pPr>
      <w:r>
        <w:rPr>
          <w:b/>
          <w:bCs/>
        </w:rPr>
        <w:t xml:space="preserve">Objective: </w:t>
      </w:r>
      <w:r>
        <w:t xml:space="preserve">Public ranking release, adoption milestones, and sustainability confirmation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000"/>
      </w:tblGrid>
      <w:tr>
        <w:trPr>
          <w:tblHeader/>
        </w:trPr>
        <w:tc>
          <w:tcPr>
            <w:tcW w:type="dxa" w:w="15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Month</w:t>
            </w:r>
          </w:p>
        </w:tc>
        <w:tc>
          <w:tcPr>
            <w:tcW w:type="dxa" w:w="5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Activities</w:t>
            </w:r>
          </w:p>
        </w:tc>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Deliverables</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13-14</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Final ranking preparation; press strategy; stakeholder preview</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Rankings finalised; communications plan ready</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15-16</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Public launch; media engagement; conference presentations</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First Global Equity Alignment ranking published</w:t>
            </w:r>
          </w:p>
        </w:tc>
      </w:tr>
      <w:tr>
        <w:tc>
          <w:tcPr>
            <w:tcW w:type="dxa" w:w="1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17-18</w:t>
            </w:r>
          </w:p>
        </w:tc>
        <w:tc>
          <w:tcPr>
            <w:tcW w:type="dxa" w:w="5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Adoption tracking; sustainability model confirmation; Phase 2 planning</w:t>
            </w:r>
          </w:p>
        </w:tc>
        <w:tc>
          <w:tcPr>
            <w:tcW w:type="dxa" w:w="30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Sustainability confirmed; adoption metrics documented</w:t>
            </w:r>
          </w:p>
        </w:tc>
      </w:tr>
    </w:tbl>
    <w:p>
      <w:pPr>
        <w:spacing w:after="0"/>
      </w:pPr>
      <w:r>
        <w:t xml:space="preserve"/>
      </w:r>
    </w:p>
    <w:p>
      <w:pPr>
        <w:spacing w:after="120" w:line="276"/>
      </w:pPr>
      <w:r>
        <w:rPr>
          <w:b/>
          <w:bCs/>
        </w:rPr>
        <w:t xml:space="preserve">Phase 3 Success Criteria:</w:t>
      </w:r>
    </w:p>
    <w:p>
      <w:pPr>
        <w:pStyle w:val="ListParagraph"/>
        <w:numPr>
          <w:ilvl w:val="0"/>
          <w:numId w:val="2"/>
        </w:numPr>
        <w:spacing w:after="80" w:line="276"/>
      </w:pPr>
      <w:r>
        <w:t xml:space="preserve">First public Global Equity Alignment ranking published</w:t>
      </w:r>
    </w:p>
    <w:p>
      <w:pPr>
        <w:pStyle w:val="ListParagraph"/>
        <w:numPr>
          <w:ilvl w:val="0"/>
          <w:numId w:val="2"/>
        </w:numPr>
        <w:spacing w:after="80" w:line="276"/>
      </w:pPr>
      <w:r>
        <w:t xml:space="preserve">Citation or reference by WHO, major funder, or journal</w:t>
      </w:r>
    </w:p>
    <w:p>
      <w:pPr>
        <w:pStyle w:val="ListParagraph"/>
        <w:numPr>
          <w:ilvl w:val="0"/>
          <w:numId w:val="2"/>
        </w:numPr>
        <w:spacing w:after="80" w:line="276"/>
      </w:pPr>
      <w:r>
        <w:t xml:space="preserve">Confirmed sustainability model (consortium, WHO hosting, or equivalent)</w:t>
      </w:r>
    </w:p>
    <w:p>
      <w:pPr>
        <w:pStyle w:val="ListParagraph"/>
        <w:numPr>
          <w:ilvl w:val="0"/>
          <w:numId w:val="2"/>
        </w:numPr>
        <w:spacing w:after="80" w:line="276"/>
      </w:pPr>
      <w:r>
        <w:t xml:space="preserve">Recognition of Sidra's role in 3+ high-visibility venues</w:t>
      </w:r>
    </w:p>
    <w:p>
      <w:r>
        <w:br w:type="page"/>
      </w:r>
    </w:p>
    <w:p>
      <w:pPr>
        <w:pStyle w:val="Heading1"/>
      </w:pPr>
      <w:r>
        <w:t xml:space="preserve">9. Risk Assessment and Mitigation</w:t>
      </w:r>
    </w:p>
    <w:p>
      <w:pPr>
        <w:pStyle w:val="Heading2"/>
      </w:pPr>
      <w:r>
        <w:t xml:space="preserve">9.1 Risk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800"/>
        <w:gridCol w:w="2100"/>
      </w:tblGrid>
      <w:tr>
        <w:trPr>
          <w:tblHeader/>
        </w:trPr>
        <w:tc>
          <w:tcPr>
            <w:tcW w:type="dxa" w:w="22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Risk</w:t>
            </w:r>
          </w:p>
        </w:tc>
        <w:tc>
          <w:tcPr>
            <w:tcW w:type="dxa" w:w="12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Likelihood</w:t>
            </w:r>
          </w:p>
        </w:tc>
        <w:tc>
          <w:tcPr>
            <w:tcW w:type="dxa" w:w="12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Impact</w:t>
            </w:r>
          </w:p>
        </w:tc>
        <w:tc>
          <w:tcPr>
            <w:tcW w:type="dxa" w:w="28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Mitigation Strategy</w:t>
            </w:r>
          </w:p>
        </w:tc>
        <w:tc>
          <w:tcPr>
            <w:tcW w:type="dxa" w:w="21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Owner</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Methodological criticism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High</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Pre-publication peer review; transparent methodology; sensitivity analyses</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HEIM Scientific Lead</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Biobank disputes ranking</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Clear appeals process; emphasis on trajectory not snapshot; pre-release engagement</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HEIM Governance</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Low funder adoption</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High</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Early engagement with Wellcome, NIH, Gates; WHO partnership; journal editorial boards</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Partnership Team</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Technical failure</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Low</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High</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Robust testing; redundant infrastructure; experienced personnel</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Senior Engineer</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Key personnel departure</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Documentation; knowledge transfer; competitive compensation</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Sidra HR</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Data quality issues</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Validation protocols; manual review sampling; clear limitations disclosure</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Research Engineer</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Reputational risk to Sidra</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Low</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High</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Clear governance separation; Sidra as partner not owner; joint communications approval</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Sidra CRO</w:t>
            </w:r>
          </w:p>
        </w:tc>
      </w:tr>
      <w:tr>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Sustainability gap post-18 months</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Medium</w:t>
            </w:r>
          </w:p>
        </w:tc>
        <w:tc>
          <w:tcPr>
            <w:tcW w:type="dxa" w:w="12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High</w:t>
            </w:r>
          </w:p>
        </w:tc>
        <w:tc>
          <w:tcPr>
            <w:tcW w:type="dxa" w:w="28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Early sustainability planning; consortium model; WHO hosting exploration</w:t>
            </w:r>
          </w:p>
        </w:tc>
        <w:tc>
          <w:tcPr>
            <w:tcW w:type="dxa" w:w="21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Joint Leadership</w:t>
            </w:r>
          </w:p>
        </w:tc>
      </w:tr>
    </w:tbl>
    <w:p>
      <w:pPr>
        <w:spacing w:after="0"/>
      </w:pPr>
      <w:r>
        <w:t xml:space="preserve"/>
      </w:r>
    </w:p>
    <w:p>
      <w:pPr>
        <w:pStyle w:val="Heading2"/>
      </w:pPr>
      <w:r>
        <w:t xml:space="preserve">9.2 Contingency Plans</w:t>
      </w:r>
    </w:p>
    <w:p>
      <w:pPr>
        <w:pStyle w:val="Heading3"/>
      </w:pPr>
      <w:r>
        <w:t xml:space="preserve">If Methodology Is Criticized</w:t>
      </w:r>
    </w:p>
    <w:p>
      <w:pPr>
        <w:pStyle w:val="ListParagraph"/>
        <w:numPr>
          <w:ilvl w:val="0"/>
          <w:numId w:val="2"/>
        </w:numPr>
        <w:spacing w:after="80" w:line="276"/>
      </w:pPr>
      <w:r>
        <w:t xml:space="preserve">Respond transparently with detailed technical documentation</w:t>
      </w:r>
    </w:p>
    <w:p>
      <w:pPr>
        <w:pStyle w:val="ListParagraph"/>
        <w:numPr>
          <w:ilvl w:val="0"/>
          <w:numId w:val="2"/>
        </w:numPr>
        <w:spacing w:after="80" w:line="276"/>
      </w:pPr>
      <w:r>
        <w:t xml:space="preserve">Convene independent review panel if criticism is substantive</w:t>
      </w:r>
    </w:p>
    <w:p>
      <w:pPr>
        <w:pStyle w:val="ListParagraph"/>
        <w:numPr>
          <w:ilvl w:val="0"/>
          <w:numId w:val="2"/>
        </w:numPr>
        <w:spacing w:after="80" w:line="276"/>
      </w:pPr>
      <w:r>
        <w:t xml:space="preserve">Publish sensitivity analyses demonstrating robustness</w:t>
      </w:r>
    </w:p>
    <w:p>
      <w:pPr>
        <w:pStyle w:val="ListParagraph"/>
        <w:numPr>
          <w:ilvl w:val="0"/>
          <w:numId w:val="2"/>
        </w:numPr>
        <w:spacing w:after="80" w:line="276"/>
      </w:pPr>
      <w:r>
        <w:t xml:space="preserve">Iterate methodology based on valid feedback</w:t>
      </w:r>
    </w:p>
    <w:p>
      <w:pPr>
        <w:pStyle w:val="Heading3"/>
      </w:pPr>
      <w:r>
        <w:t xml:space="preserve">If Rankings Generate Controversy</w:t>
      </w:r>
    </w:p>
    <w:p>
      <w:pPr>
        <w:pStyle w:val="ListParagraph"/>
        <w:numPr>
          <w:ilvl w:val="0"/>
          <w:numId w:val="2"/>
        </w:numPr>
        <w:spacing w:after="80" w:line="276"/>
      </w:pPr>
      <w:r>
        <w:t xml:space="preserve">Emphasize that rankings measure alignment, not quality</w:t>
      </w:r>
    </w:p>
    <w:p>
      <w:pPr>
        <w:pStyle w:val="ListParagraph"/>
        <w:numPr>
          <w:ilvl w:val="0"/>
          <w:numId w:val="2"/>
        </w:numPr>
        <w:spacing w:after="80" w:line="276"/>
      </w:pPr>
      <w:r>
        <w:t xml:space="preserve">Highlight improvement trajectories, not just point-in-time scores</w:t>
      </w:r>
    </w:p>
    <w:p>
      <w:pPr>
        <w:pStyle w:val="ListParagraph"/>
        <w:numPr>
          <w:ilvl w:val="0"/>
          <w:numId w:val="2"/>
        </w:numPr>
        <w:spacing w:after="80" w:line="276"/>
      </w:pPr>
      <w:r>
        <w:t xml:space="preserve">Provide biobanks opportunity to submit additional data</w:t>
      </w:r>
    </w:p>
    <w:p>
      <w:pPr>
        <w:pStyle w:val="ListParagraph"/>
        <w:numPr>
          <w:ilvl w:val="0"/>
          <w:numId w:val="2"/>
        </w:numPr>
        <w:spacing w:after="80" w:line="276"/>
      </w:pPr>
      <w:r>
        <w:t xml:space="preserve">Maintain strict independence; do not adjust scores based on pressure</w:t>
      </w:r>
    </w:p>
    <w:p>
      <w:pPr>
        <w:pStyle w:val="Heading3"/>
      </w:pPr>
      <w:r>
        <w:t xml:space="preserve">If Funder Adoption Is Slow</w:t>
      </w:r>
    </w:p>
    <w:p>
      <w:pPr>
        <w:pStyle w:val="ListParagraph"/>
        <w:numPr>
          <w:ilvl w:val="0"/>
          <w:numId w:val="2"/>
        </w:numPr>
        <w:spacing w:after="80" w:line="276"/>
      </w:pPr>
      <w:r>
        <w:t xml:space="preserve">Pivot to journal partnership strategy (editorial requirements)</w:t>
      </w:r>
    </w:p>
    <w:p>
      <w:pPr>
        <w:pStyle w:val="ListParagraph"/>
        <w:numPr>
          <w:ilvl w:val="0"/>
          <w:numId w:val="2"/>
        </w:numPr>
        <w:spacing w:after="80" w:line="276"/>
      </w:pPr>
      <w:r>
        <w:t xml:space="preserve">Engage directly with biobank community for bottom-up adoption</w:t>
      </w:r>
    </w:p>
    <w:p>
      <w:pPr>
        <w:pStyle w:val="ListParagraph"/>
        <w:numPr>
          <w:ilvl w:val="0"/>
          <w:numId w:val="2"/>
        </w:numPr>
        <w:spacing w:after="80" w:line="276"/>
      </w:pPr>
      <w:r>
        <w:t xml:space="preserve">Seek WHO endorsement as alternative credibility pathway</w:t>
      </w:r>
    </w:p>
    <w:p>
      <w:pPr>
        <w:pStyle w:val="ListParagraph"/>
        <w:numPr>
          <w:ilvl w:val="0"/>
          <w:numId w:val="2"/>
        </w:numPr>
        <w:spacing w:after="80" w:line="276"/>
      </w:pPr>
      <w:r>
        <w:t xml:space="preserve">Demonstrate value through academic citation and media coverage</w:t>
      </w:r>
    </w:p>
    <w:p>
      <w:pPr>
        <w:pStyle w:val="Heading3"/>
      </w:pPr>
      <w:r>
        <w:t xml:space="preserve">If Partnership Fails</w:t>
      </w:r>
    </w:p>
    <w:p>
      <w:pPr>
        <w:pStyle w:val="ListParagraph"/>
        <w:numPr>
          <w:ilvl w:val="0"/>
          <w:numId w:val="2"/>
        </w:numPr>
        <w:spacing w:after="80" w:line="276"/>
      </w:pPr>
      <w:r>
        <w:t xml:space="preserve">90-day termination notice allows orderly wind-down</w:t>
      </w:r>
    </w:p>
    <w:p>
      <w:pPr>
        <w:pStyle w:val="ListParagraph"/>
        <w:numPr>
          <w:ilvl w:val="0"/>
          <w:numId w:val="2"/>
        </w:numPr>
        <w:spacing w:after="80" w:line="276"/>
      </w:pPr>
      <w:r>
        <w:t xml:space="preserve">IP arrangements ensure both parties can continue independently</w:t>
      </w:r>
    </w:p>
    <w:p>
      <w:pPr>
        <w:pStyle w:val="ListParagraph"/>
        <w:numPr>
          <w:ilvl w:val="0"/>
          <w:numId w:val="2"/>
        </w:numPr>
        <w:spacing w:after="80" w:line="276"/>
      </w:pPr>
      <w:r>
        <w:t xml:space="preserve">Documentation ensures HEIM can migrate to alternative infrastructure</w:t>
      </w:r>
    </w:p>
    <w:p>
      <w:pPr>
        <w:pStyle w:val="ListParagraph"/>
        <w:numPr>
          <w:ilvl w:val="0"/>
          <w:numId w:val="2"/>
        </w:numPr>
        <w:spacing w:after="80" w:line="276"/>
      </w:pPr>
      <w:r>
        <w:t xml:space="preserve">Publications and data products remain accessible regardless of partnership status</w:t>
      </w:r>
    </w:p>
    <w:p>
      <w:r>
        <w:br w:type="page"/>
      </w:r>
    </w:p>
    <w:p>
      <w:pPr>
        <w:pStyle w:val="Heading1"/>
      </w:pPr>
      <w:r>
        <w:t xml:space="preserve">10. Budget and Resource Allocation</w:t>
      </w:r>
    </w:p>
    <w:p>
      <w:pPr>
        <w:pStyle w:val="Heading2"/>
      </w:pPr>
      <w:r>
        <w:t xml:space="preserve">10.1 18-Month Budget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Category</w:t>
            </w:r>
          </w:p>
        </w:tc>
        <w:tc>
          <w:tcPr>
            <w:tcW w:type="dxa" w:w="25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Annual Estimate</w:t>
            </w:r>
          </w:p>
        </w:tc>
        <w:tc>
          <w:tcPr>
            <w:tcW w:type="dxa" w:w="25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18-Month Total</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Personnel</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Senior Research Engineer (1 FTE)</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$180,000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$270,000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Research Engineer (1 FTE)</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$120,000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$180,000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Benefits and overhead (25%)</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$75,000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$112,500</w:t>
            </w:r>
          </w:p>
        </w:tc>
      </w:tr>
      <w:tr>
        <w:tc>
          <w:tcPr>
            <w:tcW w:type="dxa" w:w="4500"/>
            <w:tcBorders>
              <w:top w:val="single" w:color="BFBFBF" w:sz="1"/>
              <w:left w:val="single" w:color="BFBFBF" w:sz="1"/>
              <w:bottom w:val="single" w:color="BFBFBF" w:sz="1"/>
              <w:right w:val="single" w:color="BFBFBF" w:sz="1"/>
            </w:tcBorders>
          </w:tcPr>
          <w:p>
            <w:r>
              <w:rPr>
                <w:b/>
                <w:bCs/>
              </w:rPr>
              <w:t xml:space="preserve">Personnel Subtotal</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$375,000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$562,500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Infrastructure</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Cloud compute and storage</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$60,000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$90,000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GPU compute (ML training)</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$20,000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$30,000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Software licenses and APIs</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$15,000</w:t>
            </w:r>
          </w:p>
        </w:tc>
      </w:tr>
      <w:tr>
        <w:tc>
          <w:tcPr>
            <w:tcW w:type="dxa" w:w="4500"/>
            <w:tcBorders>
              <w:top w:val="single" w:color="BFBFBF" w:sz="1"/>
              <w:left w:val="single" w:color="BFBFBF" w:sz="1"/>
              <w:bottom w:val="single" w:color="BFBFBF" w:sz="1"/>
              <w:right w:val="single" w:color="BFBFBF" w:sz="1"/>
            </w:tcBorders>
          </w:tcPr>
          <w:p>
            <w:r>
              <w:rPr>
                <w:b/>
                <w:bCs/>
              </w:rPr>
              <w:t xml:space="preserve">Infrastructure Subtotal</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$90,000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$135,000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Operations</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Travel and stakeholder engagement</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$25,000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$37,500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   Publication and open access fees</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$15,000</w:t>
            </w:r>
          </w:p>
        </w:tc>
      </w:tr>
      <w:tr>
        <w:tc>
          <w:tcPr>
            <w:tcW w:type="dxa" w:w="4500"/>
            <w:tcBorders>
              <w:top w:val="single" w:color="BFBFBF" w:sz="1"/>
              <w:left w:val="single" w:color="BFBFBF" w:sz="1"/>
              <w:bottom w:val="single" w:color="BFBFBF" w:sz="1"/>
              <w:right w:val="single" w:color="BFBFBF" w:sz="1"/>
            </w:tcBorders>
          </w:tcPr>
          <w:p>
            <w:r>
              <w:rPr>
                <w:b/>
                <w:bCs/>
              </w:rPr>
              <w:t xml:space="preserve">Operations Subtotal</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$35,000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$52,500</w:t>
            </w:r>
          </w:p>
        </w:tc>
      </w:tr>
      <w:tr>
        <w:tc>
          <w:tcPr>
            <w:tcW w:type="dxa" w:w="4500"/>
            <w:tcBorders>
              <w:top w:val="single" w:color="BFBFBF" w:sz="1"/>
              <w:left w:val="single" w:color="BFBFBF" w:sz="1"/>
              <w:bottom w:val="single" w:color="BFBFBF" w:sz="1"/>
              <w:right w:val="single" w:color="BFBFBF" w:sz="1"/>
            </w:tcBorders>
          </w:tcPr>
          <w:p>
            <w:r>
              <w:rPr>
                <w:b/>
                <w:bCs/>
              </w:rPr>
              <w:t xml:space="preserve">SUBTOTAL</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$500,000</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bCs/>
                <w:color w:val="000000"/>
                <w:sz w:val="20"/>
                <w:szCs w:val="20"/>
              </w:rPr>
              <w:t xml:space="preserve">$750,000</w:t>
            </w:r>
          </w:p>
        </w:tc>
      </w:tr>
      <w:tr>
        <w:tc>
          <w:tcPr>
            <w:tcW w:type="dxa" w:w="4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Contingency (15%)</w:t>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$97,500</w:t>
            </w:r>
          </w:p>
        </w:tc>
      </w:tr>
      <w:tr>
        <w:tc>
          <w:tcPr>
            <w:tcW w:type="dxa" w:w="4500"/>
            <w:tcBorders>
              <w:top w:val="single" w:color="BFBFBF" w:sz="1"/>
              <w:left w:val="single" w:color="BFBFBF" w:sz="1"/>
              <w:bottom w:val="single" w:color="BFBFBF" w:sz="1"/>
              <w:right w:val="single" w:color="BFBFBF" w:sz="1"/>
            </w:tcBorders>
            <w:shd w:fill="F2F2F2" w:val="clear"/>
          </w:tcPr>
          <w:p>
            <w:r>
              <w:rPr>
                <w:b/>
                <w:bCs/>
                <w:sz w:val="22"/>
                <w:szCs w:val="22"/>
              </w:rPr>
              <w:t xml:space="preserve">TOTAL</w:t>
            </w:r>
          </w:p>
        </w:tc>
        <w:tc>
          <w:tcPr>
            <w:tcW w:type="dxa" w:w="2500"/>
            <w:tcBorders>
              <w:top w:val="single" w:color="BFBFBF" w:sz="1"/>
              <w:left w:val="single" w:color="BFBFBF" w:sz="1"/>
              <w:bottom w:val="single" w:color="BFBFBF" w:sz="1"/>
              <w:right w:val="single" w:color="BFBFBF" w:sz="1"/>
            </w:tcBorders>
            <w:shd w:fill="F2F2F2" w:val="clear"/>
          </w:tcPr>
          <w:p>
            <w:pPr>
              <w:spacing w:before="60" w:after="60"/>
              <w:jc w:val="center"/>
            </w:pPr>
            <w:r>
              <w:rPr>
                <w:b w:val="false"/>
                <w:bCs w:val="false"/>
                <w:color w:val="000000"/>
                <w:sz w:val="20"/>
                <w:szCs w:val="20"/>
              </w:rPr>
              <w:t xml:space="preserve"/>
            </w:r>
          </w:p>
        </w:tc>
        <w:tc>
          <w:tcPr>
            <w:tcW w:type="dxa" w:w="2500"/>
            <w:tcBorders>
              <w:top w:val="single" w:color="BFBFBF" w:sz="1"/>
              <w:left w:val="single" w:color="BFBFBF" w:sz="1"/>
              <w:bottom w:val="single" w:color="BFBFBF" w:sz="1"/>
              <w:right w:val="single" w:color="BFBFBF" w:sz="1"/>
            </w:tcBorders>
            <w:shd w:fill="F2F2F2" w:val="clear"/>
          </w:tcPr>
          <w:p>
            <w:pPr>
              <w:jc w:val="center"/>
            </w:pPr>
            <w:r>
              <w:rPr>
                <w:b/>
                <w:bCs/>
                <w:sz w:val="22"/>
                <w:szCs w:val="22"/>
              </w:rPr>
              <w:t xml:space="preserve">$650,000</w:t>
            </w:r>
          </w:p>
        </w:tc>
      </w:tr>
    </w:tbl>
    <w:p>
      <w:pPr>
        <w:spacing w:after="0"/>
      </w:pPr>
      <w:r>
        <w:t xml:space="preserve"/>
      </w:r>
    </w:p>
    <w:p>
      <w:pPr>
        <w:pStyle w:val="Heading2"/>
      </w:pPr>
      <w:r>
        <w:t xml:space="preserve">10.2 Funding Model</w:t>
      </w:r>
    </w:p>
    <w:p>
      <w:pPr>
        <w:spacing w:after="120" w:line="276"/>
      </w:pPr>
      <w:r>
        <w:rPr>
          <w:b/>
          <w:bCs/>
        </w:rPr>
        <w:t xml:space="preserve">Proposed structure: </w:t>
      </w:r>
      <w:r>
        <w:t xml:space="preserve">Sidra Medicine provides full funding for the 18-month pilot period. This investment is justified by the strategic value outlined in Section 4 and the tangible deliverables committed in Section 8.</w:t>
      </w:r>
    </w:p>
    <w:p>
      <w:pPr>
        <w:spacing w:after="120" w:line="276"/>
      </w:pPr>
      <w:r>
        <w:rPr>
          <w:b/>
          <w:bCs/>
        </w:rPr>
        <w:t xml:space="preserve">Alternative models considered:</w:t>
      </w:r>
    </w:p>
    <w:p>
      <w:pPr>
        <w:pStyle w:val="ListParagraph"/>
        <w:numPr>
          <w:ilvl w:val="0"/>
          <w:numId w:val="2"/>
        </w:numPr>
        <w:spacing w:after="80" w:line="276"/>
      </w:pPr>
      <w:r>
        <w:t xml:space="preserve">Joint funding with external grant: Extends timeline due to application cycles</w:t>
      </w:r>
    </w:p>
    <w:p>
      <w:pPr>
        <w:pStyle w:val="ListParagraph"/>
        <w:numPr>
          <w:ilvl w:val="0"/>
          <w:numId w:val="2"/>
        </w:numPr>
        <w:spacing w:after="80" w:line="276"/>
      </w:pPr>
      <w:r>
        <w:t xml:space="preserve">Phased funding: Creates execution risk and delays milestones</w:t>
      </w:r>
    </w:p>
    <w:p>
      <w:pPr>
        <w:pStyle w:val="ListParagraph"/>
        <w:numPr>
          <w:ilvl w:val="0"/>
          <w:numId w:val="2"/>
        </w:numPr>
        <w:spacing w:after="80" w:line="276"/>
      </w:pPr>
      <w:r>
        <w:t xml:space="preserve">In-kind only: Insufficient for dedicated personnel recruitment</w:t>
      </w:r>
    </w:p>
    <w:p>
      <w:pPr>
        <w:pStyle w:val="Heading2"/>
      </w:pPr>
      <w:r>
        <w:t xml:space="preserve">10.3 Sustainability Beyond 18 Months</w:t>
      </w:r>
    </w:p>
    <w:p>
      <w:pPr>
        <w:spacing w:after="120" w:line="276"/>
      </w:pPr>
      <w:r>
        <w:t xml:space="preserve">Three sustainability pathways are being actively explored:</w:t>
      </w:r>
    </w:p>
    <w:p>
      <w:pPr>
        <w:pStyle w:val="ListParagraph"/>
        <w:numPr>
          <w:ilvl w:val="0"/>
          <w:numId w:val="8"/>
        </w:numPr>
        <w:spacing w:after="80" w:line="276"/>
      </w:pPr>
      <w:r>
        <w:rPr>
          <w:b/>
          <w:bCs/>
        </w:rPr>
        <w:t xml:space="preserve">Consortium Model: </w:t>
      </w:r>
      <w:r>
        <w:t xml:space="preserve">Coalition of 10-15 biobanks contributing annual membership fees ($20-50K each) to sustain operations. HEIM governance independent of any single member.</w:t>
      </w:r>
    </w:p>
    <w:p>
      <w:pPr>
        <w:pStyle w:val="ListParagraph"/>
        <w:numPr>
          <w:ilvl w:val="0"/>
          <w:numId w:val="8"/>
        </w:numPr>
        <w:spacing w:after="80" w:line="276"/>
      </w:pPr>
      <w:r>
        <w:rPr>
          <w:b/>
          <w:bCs/>
        </w:rPr>
        <w:t xml:space="preserve">Institutional Hosting: </w:t>
      </w:r>
      <w:r>
        <w:t xml:space="preserve">WHO, IHME, or similar global health institution adopts HEIM as an official programme. Provides credibility and long-term stability.</w:t>
      </w:r>
    </w:p>
    <w:p>
      <w:pPr>
        <w:pStyle w:val="ListParagraph"/>
        <w:numPr>
          <w:ilvl w:val="0"/>
          <w:numId w:val="8"/>
        </w:numPr>
        <w:spacing w:after="80" w:line="276"/>
      </w:pPr>
      <w:r>
        <w:rPr>
          <w:b/>
          <w:bCs/>
        </w:rPr>
        <w:t xml:space="preserve">Hybrid Model: </w:t>
      </w:r>
      <w:r>
        <w:t xml:space="preserve">Core operations funded by consortium; advanced features (custom reports, API access) offered as premium services to funders and institutions.</w:t>
      </w:r>
    </w:p>
    <w:p>
      <w:pPr>
        <w:spacing w:after="120" w:line="276"/>
      </w:pPr>
      <w:r>
        <w:rPr>
          <w:b/>
          <w:bCs/>
        </w:rPr>
        <w:t xml:space="preserve">Commitment: </w:t>
      </w:r>
      <w:r>
        <w:t xml:space="preserve">Sustainability model will be confirmed by Month 15, with transition plan in place before pilot conclusion.</w:t>
      </w:r>
    </w:p>
    <w:p>
      <w:r>
        <w:br w:type="page"/>
      </w:r>
    </w:p>
    <w:p>
      <w:pPr>
        <w:pStyle w:val="Heading1"/>
      </w:pPr>
      <w:r>
        <w:t xml:space="preserve">11. Success Metrics and Evaluation</w:t>
      </w:r>
    </w:p>
    <w:p>
      <w:pPr>
        <w:pStyle w:val="Heading2"/>
      </w:pPr>
      <w:r>
        <w:t xml:space="preserve">11.1 Quantitative Milestones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300"/>
        <w:gridCol w:w="2200"/>
      </w:tblGrid>
      <w:tr>
        <w:trPr>
          <w:tblHeader/>
        </w:trPr>
        <w:tc>
          <w:tcPr>
            <w:tcW w:type="dxa" w:w="18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Timepoint</w:t>
            </w:r>
          </w:p>
        </w:tc>
        <w:tc>
          <w:tcPr>
            <w:tcW w:type="dxa" w:w="32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Metric</w:t>
            </w:r>
          </w:p>
        </w:tc>
        <w:tc>
          <w:tcPr>
            <w:tcW w:type="dxa" w:w="23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Target</w:t>
            </w:r>
          </w:p>
        </w:tc>
        <w:tc>
          <w:tcPr>
            <w:tcW w:type="dxa" w:w="22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Verification</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6</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Biobanks indexed in pipeline</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≥50</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Dashboard count</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6</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IRB approval obtained</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Yes</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Approval letter</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12</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Methodology paper submitted</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High-impact journal</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Submission receipt</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12</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Public beta dashboard</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Live and accessible</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URL verification</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12</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Funder engagement</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 formal meeting</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Meeting minutes</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18</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Methodology paper accepted</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Peer-reviewed publication</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Acceptance letter</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18</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Global ranking published</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Public release</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Press coverage</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18</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External adoption signal</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 citation/reference</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Documentation</w:t>
            </w:r>
          </w:p>
        </w:tc>
      </w:tr>
      <w:tr>
        <w:tc>
          <w:tcPr>
            <w:tcW w:type="dxa" w:w="18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Month 18</w:t>
            </w:r>
          </w:p>
        </w:tc>
        <w:tc>
          <w:tcPr>
            <w:tcW w:type="dxa" w:w="3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Sustainability model confirmed</w:t>
            </w:r>
          </w:p>
        </w:tc>
        <w:tc>
          <w:tcPr>
            <w:tcW w:type="dxa" w:w="23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Funding pathway identified</w:t>
            </w:r>
          </w:p>
        </w:tc>
        <w:tc>
          <w:tcPr>
            <w:tcW w:type="dxa" w:w="2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MOU or commitment</w:t>
            </w:r>
          </w:p>
        </w:tc>
      </w:tr>
    </w:tbl>
    <w:p>
      <w:pPr>
        <w:spacing w:after="0"/>
      </w:pPr>
      <w:r>
        <w:t xml:space="preserve"/>
      </w:r>
    </w:p>
    <w:p>
      <w:pPr>
        <w:pStyle w:val="Heading2"/>
      </w:pPr>
      <w:r>
        <w:t xml:space="preserve">11.2 Qualitative Success Indicators</w:t>
      </w:r>
    </w:p>
    <w:p>
      <w:pPr>
        <w:pStyle w:val="ListParagraph"/>
        <w:numPr>
          <w:ilvl w:val="0"/>
          <w:numId w:val="2"/>
        </w:numPr>
        <w:spacing w:after="80" w:line="276"/>
      </w:pPr>
      <w:r>
        <w:rPr>
          <w:b/>
          <w:bCs/>
        </w:rPr>
        <w:t xml:space="preserve">Scientific Credibility: </w:t>
      </w:r>
      <w:r>
        <w:t xml:space="preserve">Methodology accepted by peer review; no fundamental challenges to approach</w:t>
      </w:r>
    </w:p>
    <w:p>
      <w:pPr>
        <w:pStyle w:val="ListParagraph"/>
        <w:numPr>
          <w:ilvl w:val="0"/>
          <w:numId w:val="2"/>
        </w:numPr>
        <w:spacing w:after="80" w:line="276"/>
      </w:pPr>
      <w:r>
        <w:rPr>
          <w:b/>
          <w:bCs/>
        </w:rPr>
        <w:t xml:space="preserve">Stakeholder Trust: </w:t>
      </w:r>
      <w:r>
        <w:t xml:space="preserve">Biobanks engage constructively with rankings; no public disputes</w:t>
      </w:r>
    </w:p>
    <w:p>
      <w:pPr>
        <w:pStyle w:val="ListParagraph"/>
        <w:numPr>
          <w:ilvl w:val="0"/>
          <w:numId w:val="2"/>
        </w:numPr>
        <w:spacing w:after="80" w:line="276"/>
      </w:pPr>
      <w:r>
        <w:rPr>
          <w:b/>
          <w:bCs/>
        </w:rPr>
        <w:t xml:space="preserve">Policy Relevance: </w:t>
      </w:r>
      <w:r>
        <w:t xml:space="preserve">WHO, funders, or journals reference HEIM in official communications</w:t>
      </w:r>
    </w:p>
    <w:p>
      <w:pPr>
        <w:pStyle w:val="ListParagraph"/>
        <w:numPr>
          <w:ilvl w:val="0"/>
          <w:numId w:val="2"/>
        </w:numPr>
        <w:spacing w:after="80" w:line="276"/>
      </w:pPr>
      <w:r>
        <w:rPr>
          <w:b/>
          <w:bCs/>
        </w:rPr>
        <w:t xml:space="preserve">Sidra Recognition: </w:t>
      </w:r>
      <w:r>
        <w:t xml:space="preserve">Sidra acknowledged as validation partner in publications and media</w:t>
      </w:r>
    </w:p>
    <w:p>
      <w:pPr>
        <w:pStyle w:val="ListParagraph"/>
        <w:numPr>
          <w:ilvl w:val="0"/>
          <w:numId w:val="2"/>
        </w:numPr>
        <w:spacing w:after="80" w:line="276"/>
      </w:pPr>
      <w:r>
        <w:rPr>
          <w:b/>
          <w:bCs/>
        </w:rPr>
        <w:t xml:space="preserve">Capacity Building: </w:t>
      </w:r>
      <w:r>
        <w:t xml:space="preserve">Qatari researchers trained and contributing to HEIM development</w:t>
      </w:r>
    </w:p>
    <w:p>
      <w:pPr>
        <w:pStyle w:val="Heading2"/>
      </w:pPr>
      <w:r>
        <w:t xml:space="preserve">11.3 Evaluation and Reporting</w:t>
      </w:r>
    </w:p>
    <w:p>
      <w:pPr>
        <w:pStyle w:val="ListParagraph"/>
        <w:numPr>
          <w:ilvl w:val="0"/>
          <w:numId w:val="2"/>
        </w:numPr>
        <w:spacing w:after="80" w:line="276"/>
      </w:pPr>
      <w:r>
        <w:rPr>
          <w:b/>
          <w:bCs/>
        </w:rPr>
        <w:t xml:space="preserve">Monthly: </w:t>
      </w:r>
      <w:r>
        <w:t xml:space="preserve">Progress report to Sidra CRO (2-page summary)</w:t>
      </w:r>
    </w:p>
    <w:p>
      <w:pPr>
        <w:pStyle w:val="ListParagraph"/>
        <w:numPr>
          <w:ilvl w:val="0"/>
          <w:numId w:val="2"/>
        </w:numPr>
        <w:spacing w:after="80" w:line="276"/>
      </w:pPr>
      <w:r>
        <w:rPr>
          <w:b/>
          <w:bCs/>
        </w:rPr>
        <w:t xml:space="preserve">Quarterly: </w:t>
      </w:r>
      <w:r>
        <w:t xml:space="preserve">Formal review meeting with Sidra Research Strategy Committee</w:t>
      </w:r>
    </w:p>
    <w:p>
      <w:pPr>
        <w:pStyle w:val="ListParagraph"/>
        <w:numPr>
          <w:ilvl w:val="0"/>
          <w:numId w:val="2"/>
        </w:numPr>
        <w:spacing w:after="80" w:line="276"/>
      </w:pPr>
      <w:r>
        <w:rPr>
          <w:b/>
          <w:bCs/>
        </w:rPr>
        <w:t xml:space="preserve">Annually: </w:t>
      </w:r>
      <w:r>
        <w:t xml:space="preserve">Comprehensive evaluation against all milestones</w:t>
      </w:r>
    </w:p>
    <w:p>
      <w:pPr>
        <w:pStyle w:val="ListParagraph"/>
        <w:numPr>
          <w:ilvl w:val="0"/>
          <w:numId w:val="2"/>
        </w:numPr>
        <w:spacing w:after="80" w:line="276"/>
      </w:pPr>
      <w:r>
        <w:rPr>
          <w:b/>
          <w:bCs/>
        </w:rPr>
        <w:t xml:space="preserve">Ad hoc: </w:t>
      </w:r>
      <w:r>
        <w:t xml:space="preserve">Immediate notification of significant risks or opportunities</w:t>
      </w:r>
    </w:p>
    <w:p>
      <w:r>
        <w:br w:type="page"/>
      </w:r>
    </w:p>
    <w:p>
      <w:pPr>
        <w:pStyle w:val="Heading1"/>
      </w:pPr>
      <w:r>
        <w:t xml:space="preserve">12. Next Steps and Timeline for Decision</w:t>
      </w:r>
    </w:p>
    <w:p>
      <w:pPr>
        <w:pStyle w:val="Heading2"/>
      </w:pPr>
      <w:r>
        <w:t xml:space="preserve">12.1 Immediate Actions Required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500"/>
        <w:gridCol w:w="2000"/>
      </w:tblGrid>
      <w:tr>
        <w:trPr>
          <w:tblHeader/>
        </w:trPr>
        <w:tc>
          <w:tcPr>
            <w:tcW w:type="dxa" w:w="8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w:t>
            </w:r>
          </w:p>
        </w:tc>
        <w:tc>
          <w:tcPr>
            <w:tcW w:type="dxa" w:w="42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Action</w:t>
            </w:r>
          </w:p>
        </w:tc>
        <w:tc>
          <w:tcPr>
            <w:tcW w:type="dxa" w:w="2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Responsible Party</w:t>
            </w:r>
          </w:p>
        </w:tc>
        <w:tc>
          <w:tcPr>
            <w:tcW w:type="dxa" w:w="2000"/>
            <w:tcBorders>
              <w:top w:val="single" w:color="BFBFBF" w:sz="1"/>
              <w:left w:val="single" w:color="BFBFBF" w:sz="1"/>
              <w:bottom w:val="single" w:color="BFBFBF" w:sz="1"/>
              <w:right w:val="single" w:color="BFBFBF" w:sz="1"/>
            </w:tcBorders>
            <w:shd w:fill="1F4E79" w:val="clear"/>
          </w:tcPr>
          <w:p>
            <w:pPr>
              <w:spacing w:before="60" w:after="60"/>
              <w:jc w:val="center"/>
            </w:pPr>
            <w:r>
              <w:rPr>
                <w:b/>
                <w:bCs/>
                <w:color w:val="FFFFFF"/>
                <w:sz w:val="20"/>
                <w:szCs w:val="20"/>
              </w:rPr>
              <w:t xml:space="preserve">Target Date</w:t>
            </w:r>
          </w:p>
        </w:tc>
      </w:tr>
      <w:tr>
        <w:tc>
          <w:tcPr>
            <w:tcW w:type="dxa" w:w="8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1</w:t>
            </w:r>
          </w:p>
        </w:tc>
        <w:tc>
          <w:tcPr>
            <w:tcW w:type="dxa" w:w="4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Review and feedback on this proposal</w:t>
            </w:r>
          </w:p>
        </w:tc>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Prof. Fakhro / Sidra Research</w:t>
            </w:r>
          </w:p>
        </w:tc>
        <w:tc>
          <w:tcPr>
            <w:tcW w:type="dxa" w:w="20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Feb 1, 2026</w:t>
            </w:r>
          </w:p>
        </w:tc>
      </w:tr>
      <w:tr>
        <w:tc>
          <w:tcPr>
            <w:tcW w:type="dxa" w:w="8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2</w:t>
            </w:r>
          </w:p>
        </w:tc>
        <w:tc>
          <w:tcPr>
            <w:tcW w:type="dxa" w:w="4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Presentation to Research Strategy Committee</w:t>
            </w:r>
          </w:p>
        </w:tc>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 Corpas / Prof. Fakhro</w:t>
            </w:r>
          </w:p>
        </w:tc>
        <w:tc>
          <w:tcPr>
            <w:tcW w:type="dxa" w:w="20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Feb 15, 2026</w:t>
            </w:r>
          </w:p>
        </w:tc>
      </w:tr>
      <w:tr>
        <w:tc>
          <w:tcPr>
            <w:tcW w:type="dxa" w:w="8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3</w:t>
            </w:r>
          </w:p>
        </w:tc>
        <w:tc>
          <w:tcPr>
            <w:tcW w:type="dxa" w:w="4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Committee decision on partnership</w:t>
            </w:r>
          </w:p>
        </w:tc>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Research Strategy Committee</w:t>
            </w:r>
          </w:p>
        </w:tc>
        <w:tc>
          <w:tcPr>
            <w:tcW w:type="dxa" w:w="20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Feb 28, 2026</w:t>
            </w:r>
          </w:p>
        </w:tc>
      </w:tr>
      <w:tr>
        <w:tc>
          <w:tcPr>
            <w:tcW w:type="dxa" w:w="8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4</w:t>
            </w:r>
          </w:p>
        </w:tc>
        <w:tc>
          <w:tcPr>
            <w:tcW w:type="dxa" w:w="4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MOU negotiation and signing</w:t>
            </w:r>
          </w:p>
        </w:tc>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Sidra Legal / M. Corpas</w:t>
            </w:r>
          </w:p>
        </w:tc>
        <w:tc>
          <w:tcPr>
            <w:tcW w:type="dxa" w:w="20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Mar 15, 2026</w:t>
            </w:r>
          </w:p>
        </w:tc>
      </w:tr>
      <w:tr>
        <w:tc>
          <w:tcPr>
            <w:tcW w:type="dxa" w:w="8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5</w:t>
            </w:r>
          </w:p>
        </w:tc>
        <w:tc>
          <w:tcPr>
            <w:tcW w:type="dxa" w:w="4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Personnel recruitment initiated</w:t>
            </w:r>
          </w:p>
        </w:tc>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Sidra HR / HEIM Lead</w:t>
            </w:r>
          </w:p>
        </w:tc>
        <w:tc>
          <w:tcPr>
            <w:tcW w:type="dxa" w:w="20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Mar 30, 2026</w:t>
            </w:r>
          </w:p>
        </w:tc>
      </w:tr>
      <w:tr>
        <w:tc>
          <w:tcPr>
            <w:tcW w:type="dxa" w:w="8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6</w:t>
            </w:r>
          </w:p>
        </w:tc>
        <w:tc>
          <w:tcPr>
            <w:tcW w:type="dxa" w:w="42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Project kickoff</w:t>
            </w:r>
          </w:p>
        </w:tc>
        <w:tc>
          <w:tcPr>
            <w:tcW w:type="dxa" w:w="2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All parties</w:t>
            </w:r>
          </w:p>
        </w:tc>
        <w:tc>
          <w:tcPr>
            <w:tcW w:type="dxa" w:w="2000"/>
            <w:tcBorders>
              <w:top w:val="single" w:color="BFBFBF" w:sz="1"/>
              <w:left w:val="single" w:color="BFBFBF" w:sz="1"/>
              <w:bottom w:val="single" w:color="BFBFBF" w:sz="1"/>
              <w:right w:val="single" w:color="BFBFBF" w:sz="1"/>
            </w:tcBorders>
          </w:tcPr>
          <w:p>
            <w:pPr>
              <w:spacing w:before="60" w:after="60"/>
              <w:jc w:val="center"/>
            </w:pPr>
            <w:r>
              <w:rPr>
                <w:b w:val="false"/>
                <w:bCs w:val="false"/>
                <w:color w:val="000000"/>
                <w:sz w:val="20"/>
                <w:szCs w:val="20"/>
              </w:rPr>
              <w:t xml:space="preserve">Apr 15, 2026</w:t>
            </w:r>
          </w:p>
        </w:tc>
      </w:tr>
    </w:tbl>
    <w:p>
      <w:pPr>
        <w:spacing w:after="0"/>
      </w:pPr>
      <w:r>
        <w:t xml:space="preserve"/>
      </w:r>
    </w:p>
    <w:p>
      <w:pPr>
        <w:pStyle w:val="Heading2"/>
      </w:pPr>
      <w:r>
        <w:t xml:space="preserve">12.2 Materials Available Upon Request</w:t>
      </w:r>
    </w:p>
    <w:p>
      <w:pPr>
        <w:pStyle w:val="ListParagraph"/>
        <w:numPr>
          <w:ilvl w:val="0"/>
          <w:numId w:val="2"/>
        </w:numPr>
        <w:spacing w:after="80" w:line="276"/>
      </w:pPr>
      <w:r>
        <w:t xml:space="preserve">Draft MOU template for Sidra partnership</w:t>
      </w:r>
    </w:p>
    <w:p>
      <w:pPr>
        <w:pStyle w:val="ListParagraph"/>
        <w:numPr>
          <w:ilvl w:val="0"/>
          <w:numId w:val="2"/>
        </w:numPr>
        <w:spacing w:after="80" w:line="276"/>
      </w:pPr>
      <w:r>
        <w:t xml:space="preserve">Detailed job descriptions for both personnel positions</w:t>
      </w:r>
    </w:p>
    <w:p>
      <w:pPr>
        <w:pStyle w:val="ListParagraph"/>
        <w:numPr>
          <w:ilvl w:val="0"/>
          <w:numId w:val="2"/>
        </w:numPr>
        <w:spacing w:after="80" w:line="276"/>
      </w:pPr>
      <w:r>
        <w:t xml:space="preserve">Technical architecture diagrams</w:t>
      </w:r>
    </w:p>
    <w:p>
      <w:pPr>
        <w:pStyle w:val="ListParagraph"/>
        <w:numPr>
          <w:ilvl w:val="0"/>
          <w:numId w:val="2"/>
        </w:numPr>
        <w:spacing w:after="80" w:line="276"/>
      </w:pPr>
      <w:r>
        <w:t xml:space="preserve">HEIM prototype demonstration (live dashboard)</w:t>
      </w:r>
    </w:p>
    <w:p>
      <w:pPr>
        <w:pStyle w:val="ListParagraph"/>
        <w:numPr>
          <w:ilvl w:val="0"/>
          <w:numId w:val="2"/>
        </w:numPr>
        <w:spacing w:after="80" w:line="276"/>
      </w:pPr>
      <w:r>
        <w:t xml:space="preserve">MedRxiv preprint with full methodology</w:t>
      </w:r>
    </w:p>
    <w:p>
      <w:pPr>
        <w:pStyle w:val="ListParagraph"/>
        <w:numPr>
          <w:ilvl w:val="0"/>
          <w:numId w:val="2"/>
        </w:numPr>
        <w:spacing w:after="80" w:line="276"/>
      </w:pPr>
      <w:r>
        <w:t xml:space="preserve">Letters of support from collaborating institutions</w:t>
      </w:r>
    </w:p>
    <w:p>
      <w:pPr>
        <w:pStyle w:val="Heading2"/>
      </w:pPr>
      <w:r>
        <w:t xml:space="preserve">12.3 Contact</w:t>
      </w:r>
    </w:p>
    <w:p>
      <w:pPr>
        <w:spacing w:after="120" w:line="276"/>
      </w:pPr>
      <w:r>
        <w:rPr>
          <w:b/>
          <w:bCs/>
        </w:rPr>
        <w:t xml:space="preserve">Manuel Corpas, PhD</w:t>
      </w:r>
    </w:p>
    <w:p>
      <w:pPr>
        <w:spacing w:after="120" w:line="276"/>
      </w:pPr>
      <w:r>
        <w:t xml:space="preserve">Fellow, The Alan Turing Institute</w:t>
      </w:r>
    </w:p>
    <w:p>
      <w:pPr>
        <w:spacing w:after="120" w:line="276"/>
      </w:pPr>
      <w:r>
        <w:t xml:space="preserve">Senior Lecturer, University of Westminster</w:t>
      </w:r>
    </w:p>
    <w:p>
      <w:pPr>
        <w:spacing w:after="120" w:line="276"/>
      </w:pPr>
      <w:r>
        <w:t xml:space="preserve">Email: m.corpas@westminster.ac.uk</w:t>
      </w:r>
    </w:p>
    <w:p>
      <w:pPr>
        <w:spacing w:after="120" w:line="276"/>
      </w:pPr>
      <w:r>
        <w:t xml:space="preserve">HEIM Dashboard: https://manuelcorpas.github.io/17-EHR/</w:t>
      </w:r>
    </w:p>
    <w:p>
      <w:r>
        <w:br w:type="page"/>
      </w:r>
    </w:p>
    <w:p>
      <w:pPr>
        <w:pStyle w:val="Heading1"/>
      </w:pPr>
      <w:r>
        <w:t xml:space="preserve">Appendix A: Glossary of Key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Term</w:t>
            </w:r>
          </w:p>
        </w:tc>
        <w:tc>
          <w:tcPr>
            <w:tcW w:type="dxa" w:w="6500"/>
            <w:tcBorders>
              <w:top w:val="single" w:color="BFBFBF" w:sz="1"/>
              <w:left w:val="single" w:color="BFBFBF" w:sz="1"/>
              <w:bottom w:val="single" w:color="BFBFBF" w:sz="1"/>
              <w:right w:val="single" w:color="BFBFBF" w:sz="1"/>
            </w:tcBorders>
            <w:shd w:fill="1F4E79" w:val="clear"/>
          </w:tcPr>
          <w:p>
            <w:pPr>
              <w:spacing w:before="60" w:after="60"/>
              <w:jc w:val="left"/>
            </w:pPr>
            <w:r>
              <w:rPr>
                <w:b/>
                <w:bCs/>
                <w:color w:val="FFFFFF"/>
                <w:sz w:val="20"/>
                <w:szCs w:val="20"/>
              </w:rPr>
              <w:t xml:space="preserve">Definition</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DALYs</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Disability-Adjusted Life Years. A measure of overall disease burden, combining years of life lost due to premature mortality and years lived with disability.</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EAS</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Equity Alignment Score. HEIM's composite metric (0-100) assessing how well a biobank's research portfolio aligns with global disease burden.</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GBD</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Global Burden of Disease Study. WHO/IHME initiative providing standardised estimates of disease burden across 369 diseases and 204 countries.</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HEIM</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Health Equity Informative Metrics. The framework developed in this proposal for measuring genomic research equity.</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HIC</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High-Income Country. World Bank classification based on gross national income per capita.</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LMIC</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Low- and Middle-Income Country. Includes low-income, lower-middle-income, and upper-middle-income World Bank categories.</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MeSH</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Medical Subject Headings. NLM's controlled vocabulary for indexing biomedical literature in PubMed.</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QPMI</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Qatar Precision Medicine Institute. National initiative coordinating precision medicine strategy in Qatar.</w:t>
            </w:r>
          </w:p>
        </w:tc>
      </w:tr>
      <w:tr>
        <w:tc>
          <w:tcPr>
            <w:tcW w:type="dxa" w:w="3000"/>
            <w:tcBorders>
              <w:top w:val="single" w:color="BFBFBF" w:sz="1"/>
              <w:left w:val="single" w:color="BFBFBF" w:sz="1"/>
              <w:bottom w:val="single" w:color="BFBFBF" w:sz="1"/>
              <w:right w:val="single" w:color="BFBFBF" w:sz="1"/>
            </w:tcBorders>
          </w:tcPr>
          <w:p>
            <w:pPr>
              <w:spacing w:before="60" w:after="60"/>
              <w:jc w:val="left"/>
            </w:pPr>
            <w:r>
              <w:rPr>
                <w:b/>
                <w:bCs/>
                <w:color w:val="000000"/>
                <w:sz w:val="20"/>
                <w:szCs w:val="20"/>
              </w:rPr>
              <w:t xml:space="preserve">QGP</w:t>
            </w:r>
          </w:p>
        </w:tc>
        <w:tc>
          <w:tcPr>
            <w:tcW w:type="dxa" w:w="6500"/>
            <w:tcBorders>
              <w:top w:val="single" w:color="BFBFBF" w:sz="1"/>
              <w:left w:val="single" w:color="BFBFBF" w:sz="1"/>
              <w:bottom w:val="single" w:color="BFBFBF" w:sz="1"/>
              <w:right w:val="single" w:color="BFBFBF" w:sz="1"/>
            </w:tcBorders>
          </w:tcPr>
          <w:p>
            <w:pPr>
              <w:spacing w:before="60" w:after="60"/>
              <w:jc w:val="left"/>
            </w:pPr>
            <w:r>
              <w:rPr>
                <w:b w:val="false"/>
                <w:bCs w:val="false"/>
                <w:color w:val="000000"/>
                <w:sz w:val="20"/>
                <w:szCs w:val="20"/>
              </w:rPr>
              <w:t xml:space="preserve">Qatar Genome Programme. National initiative to sequence Qatari genomes and build population-specific reference data.</w:t>
            </w:r>
          </w:p>
        </w:tc>
      </w:tr>
    </w:tbl>
    <w:p>
      <w:pPr>
        <w:spacing w:after="0"/>
      </w:pPr>
      <w:r>
        <w:t xml:space="preserve"/>
      </w:r>
    </w:p>
    <w:p>
      <w:pPr>
        <w:spacing w:after="0"/>
      </w:pPr>
      <w:r>
        <w:t xml:space="preserve"/>
      </w:r>
    </w:p>
    <w:p>
      <w:pPr>
        <w:spacing w:before="400"/>
        <w:jc w:val="center"/>
      </w:pPr>
      <w:r>
        <w:rPr>
          <w:i/>
          <w:iCs/>
        </w:rPr>
        <w:t xml:space="preserve">— End of Proposal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HEIM Partnership Proposal | Sidra Medicine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1F4E79"/>
      <w:sz w:val="44"/>
      <w:szCs w:val="44"/>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2026-01-06T08:16:16.348Z</dcterms:created>
  <dcterms:modified xsi:type="dcterms:W3CDTF">2026-01-06T08:16:16.349Z</dcterms:modified>
</cp:coreProperties>
</file>

<file path=docProps/custom.xml><?xml version="1.0" encoding="utf-8"?>
<Properties xmlns="http://schemas.openxmlformats.org/officeDocument/2006/custom-properties" xmlns:vt="http://schemas.openxmlformats.org/officeDocument/2006/docPropsVTypes"/>
</file>