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422002" w14:textId="168059CF" w:rsidR="0038510A" w:rsidRPr="000E73ED" w:rsidRDefault="004130CE" w:rsidP="00CE080B">
      <w:pPr>
        <w:rPr>
          <w:b/>
          <w:sz w:val="32"/>
          <w:lang w:val="en-US"/>
        </w:rPr>
      </w:pPr>
      <w:r w:rsidRPr="000E73ED">
        <w:rPr>
          <w:b/>
          <w:sz w:val="32"/>
          <w:lang w:val="en-US"/>
        </w:rPr>
        <w:t>T</w:t>
      </w:r>
      <w:r w:rsidR="0038510A" w:rsidRPr="000E73ED">
        <w:rPr>
          <w:b/>
          <w:sz w:val="32"/>
          <w:lang w:val="en-US"/>
        </w:rPr>
        <w:t>he</w:t>
      </w:r>
      <w:r w:rsidRPr="000E73ED">
        <w:rPr>
          <w:b/>
          <w:sz w:val="32"/>
          <w:lang w:val="en-US"/>
        </w:rPr>
        <w:t xml:space="preserve"> Evolving</w:t>
      </w:r>
      <w:r w:rsidR="0038510A" w:rsidRPr="000E73ED">
        <w:rPr>
          <w:b/>
          <w:sz w:val="32"/>
          <w:lang w:val="en-US"/>
        </w:rPr>
        <w:t xml:space="preserve"> Landscape of Global E</w:t>
      </w:r>
      <w:r w:rsidRPr="000E73ED">
        <w:rPr>
          <w:b/>
          <w:sz w:val="32"/>
          <w:lang w:val="en-US"/>
        </w:rPr>
        <w:t>lectronic Health Record</w:t>
      </w:r>
      <w:r w:rsidR="0038510A" w:rsidRPr="000E73ED">
        <w:rPr>
          <w:b/>
          <w:sz w:val="32"/>
          <w:lang w:val="en-US"/>
        </w:rPr>
        <w:t xml:space="preserve">-Linked Biobanks </w:t>
      </w:r>
    </w:p>
    <w:p w14:paraId="7AD2D6F9" w14:textId="77777777" w:rsidR="00424C6E" w:rsidRPr="000E73ED" w:rsidRDefault="00424C6E">
      <w:pPr>
        <w:rPr>
          <w:lang w:val="en-US"/>
        </w:rPr>
      </w:pPr>
    </w:p>
    <w:p w14:paraId="058DFE07" w14:textId="77777777" w:rsidR="0038510A" w:rsidRPr="000E73ED" w:rsidRDefault="0038510A">
      <w:pPr>
        <w:rPr>
          <w:lang w:val="en-US"/>
        </w:rPr>
      </w:pPr>
    </w:p>
    <w:p w14:paraId="335717DA" w14:textId="77777777" w:rsidR="0083280A" w:rsidRPr="000E73ED" w:rsidRDefault="0083280A" w:rsidP="0083280A">
      <w:pPr>
        <w:rPr>
          <w:rFonts w:eastAsiaTheme="minorHAnsi" w:cstheme="minorBidi"/>
          <w:b/>
          <w:bCs/>
          <w:lang w:val="en-US"/>
        </w:rPr>
      </w:pPr>
    </w:p>
    <w:p w14:paraId="2F3AE0B6" w14:textId="77777777" w:rsidR="004911BF" w:rsidRPr="000E73ED" w:rsidRDefault="004911BF" w:rsidP="008742FA">
      <w:pPr>
        <w:pStyle w:val="Heading1"/>
        <w:rPr>
          <w:lang w:val="en-US"/>
        </w:rPr>
      </w:pPr>
      <w:r w:rsidRPr="000E73ED">
        <w:rPr>
          <w:lang w:val="en-US"/>
        </w:rPr>
        <w:t>Methods</w:t>
      </w:r>
    </w:p>
    <w:p w14:paraId="00CB69C8" w14:textId="77777777" w:rsidR="000C0333" w:rsidRPr="000E73ED" w:rsidRDefault="000C0333" w:rsidP="000C0333">
      <w:pPr>
        <w:pStyle w:val="Heading2"/>
        <w:rPr>
          <w:lang w:val="en-US"/>
        </w:rPr>
      </w:pPr>
      <w:r w:rsidRPr="000E73ED">
        <w:rPr>
          <w:lang w:val="en-US"/>
        </w:rPr>
        <w:t>Data Collection and Processing</w:t>
      </w:r>
    </w:p>
    <w:p w14:paraId="16A5D1F6" w14:textId="77777777" w:rsidR="000C0333" w:rsidRPr="000E73ED" w:rsidRDefault="000C0333" w:rsidP="000C0333">
      <w:pPr>
        <w:rPr>
          <w:lang w:val="en-US"/>
        </w:rPr>
      </w:pPr>
      <w:r w:rsidRPr="000E73ED">
        <w:rPr>
          <w:lang w:val="en-US"/>
        </w:rPr>
        <w:t xml:space="preserve">We conducted a systematic analysis of scientific literature at the intersection of biobanking, electronic health records (EHRs), and biomedical informatics. Our investigation focused on five major biobank initiatives: UK Biobank, All of Us, </w:t>
      </w:r>
      <w:proofErr w:type="spellStart"/>
      <w:r w:rsidRPr="000E73ED">
        <w:rPr>
          <w:lang w:val="en-US"/>
        </w:rPr>
        <w:t>FinnGen</w:t>
      </w:r>
      <w:proofErr w:type="spellEnd"/>
      <w:r w:rsidRPr="000E73ED">
        <w:rPr>
          <w:lang w:val="en-US"/>
        </w:rPr>
        <w:t>, Estonian Biobank, and the Million Veteran Program (MVP). This selection represents diverse geographical contexts, population scales, and institutional frameworks, providing a comprehensive view of global EHR-integrated biobanking.</w:t>
      </w:r>
    </w:p>
    <w:p w14:paraId="72747599" w14:textId="77777777" w:rsidR="000C0333" w:rsidRPr="000E73ED" w:rsidRDefault="000C0333" w:rsidP="000C0333">
      <w:pPr>
        <w:pStyle w:val="Heading3"/>
        <w:rPr>
          <w:lang w:val="en-US"/>
        </w:rPr>
      </w:pPr>
      <w:r w:rsidRPr="000E73ED">
        <w:rPr>
          <w:lang w:val="en-US"/>
        </w:rPr>
        <w:t>Publication Retrieval and Indexing</w:t>
      </w:r>
    </w:p>
    <w:p w14:paraId="78D072DD" w14:textId="77777777" w:rsidR="000C0333" w:rsidRPr="000E73ED" w:rsidRDefault="000C0333" w:rsidP="00DC4991">
      <w:pPr>
        <w:rPr>
          <w:lang w:val="en-US"/>
        </w:rPr>
      </w:pPr>
      <w:r w:rsidRPr="000E73ED">
        <w:rPr>
          <w:lang w:val="en-US"/>
        </w:rPr>
        <w:t xml:space="preserve">Using the NCBI Entrez API via the </w:t>
      </w:r>
      <w:proofErr w:type="spellStart"/>
      <w:r w:rsidRPr="000E73ED">
        <w:rPr>
          <w:lang w:val="en-US"/>
        </w:rPr>
        <w:t>Biopython</w:t>
      </w:r>
      <w:proofErr w:type="spellEnd"/>
      <w:r w:rsidRPr="000E73ED">
        <w:rPr>
          <w:lang w:val="en-US"/>
        </w:rPr>
        <w:t xml:space="preserve"> library, we implemented a </w:t>
      </w:r>
      <w:r w:rsidR="00DC4991" w:rsidRPr="000E73ED">
        <w:rPr>
          <w:lang w:val="en-US"/>
        </w:rPr>
        <w:t>comprehensive</w:t>
      </w:r>
      <w:r w:rsidRPr="000E73ED">
        <w:rPr>
          <w:lang w:val="en-US"/>
        </w:rPr>
        <w:t xml:space="preserve"> search strategy to identify PubMed articles mentioning both biobank concepts and electronic health records. Our approach employed year-by-year queries, </w:t>
      </w:r>
      <w:r w:rsidR="00DC4991" w:rsidRPr="000E73ED">
        <w:rPr>
          <w:lang w:val="en-US"/>
        </w:rPr>
        <w:t xml:space="preserve">starting in 2000 up to 2025. </w:t>
      </w:r>
      <w:r w:rsidRPr="000E73ED">
        <w:rPr>
          <w:lang w:val="en-US"/>
        </w:rPr>
        <w:t xml:space="preserve">For each paper, we extracted metadata including publication identifiers, title, abstract, author information, institutional affiliations, journal details, publication dates, </w:t>
      </w:r>
      <w:proofErr w:type="spellStart"/>
      <w:r w:rsidRPr="000E73ED">
        <w:rPr>
          <w:lang w:val="en-US"/>
        </w:rPr>
        <w:t>MeSH</w:t>
      </w:r>
      <w:proofErr w:type="spellEnd"/>
      <w:r w:rsidRPr="000E73ED">
        <w:rPr>
          <w:lang w:val="en-US"/>
        </w:rPr>
        <w:t xml:space="preserve"> terms, and author-supplied keywords. </w:t>
      </w:r>
    </w:p>
    <w:p w14:paraId="6FD38FAE" w14:textId="77777777" w:rsidR="00DC4991" w:rsidRPr="000E73ED" w:rsidRDefault="00DC4991" w:rsidP="00DC4991">
      <w:pPr>
        <w:rPr>
          <w:lang w:val="en-US"/>
        </w:rPr>
      </w:pPr>
    </w:p>
    <w:p w14:paraId="223BE8BE" w14:textId="77777777" w:rsidR="000C0333" w:rsidRPr="000E73ED" w:rsidRDefault="000C0333" w:rsidP="00DC4991">
      <w:pPr>
        <w:rPr>
          <w:lang w:val="en-US"/>
        </w:rPr>
      </w:pPr>
      <w:r w:rsidRPr="000E73ED">
        <w:rPr>
          <w:lang w:val="en-US"/>
        </w:rPr>
        <w:t>To handle the computational challenges of large-scale bibliometric analysis, we developed a batched processing pipeline that retrieved records in manageable segments (500 articles per batch). All data was stored in structured CSV format with consistent encoding to preserve special characters in multiple languages.</w:t>
      </w:r>
    </w:p>
    <w:p w14:paraId="6F5C9577" w14:textId="77777777" w:rsidR="000C0333" w:rsidRPr="000E73ED" w:rsidRDefault="000C0333" w:rsidP="000C0333">
      <w:pPr>
        <w:pStyle w:val="Heading3"/>
        <w:rPr>
          <w:lang w:val="en-US"/>
        </w:rPr>
      </w:pPr>
      <w:r w:rsidRPr="000E73ED">
        <w:rPr>
          <w:lang w:val="en-US"/>
        </w:rPr>
        <w:t>Citation Impact Analysis</w:t>
      </w:r>
    </w:p>
    <w:p w14:paraId="4DDEEB45" w14:textId="77777777" w:rsidR="000C0333" w:rsidRPr="000E73ED" w:rsidRDefault="000C0333" w:rsidP="00DC4991">
      <w:pPr>
        <w:rPr>
          <w:lang w:val="en-US"/>
        </w:rPr>
      </w:pPr>
      <w:r w:rsidRPr="000E73ED">
        <w:rPr>
          <w:lang w:val="en-US"/>
        </w:rPr>
        <w:t>To assess scholarly influence, we implemented a two-tiered citation analysis approach. Base citation metrics were extracted directly from PubMed's internal reference tracking system. For each biobank, papers were ranked by citation count to identify the most influential publications, with results saved in both human-readable HTML and machine-processable CSV formats. This methodology allowed us to quantify the relative scholarly impact of different research threads within and across biobanks.</w:t>
      </w:r>
    </w:p>
    <w:p w14:paraId="7BF4856A" w14:textId="77777777" w:rsidR="000C0333" w:rsidRPr="000E73ED" w:rsidRDefault="000C0333" w:rsidP="000C0333">
      <w:pPr>
        <w:pStyle w:val="Heading3"/>
        <w:rPr>
          <w:lang w:val="en-US"/>
        </w:rPr>
      </w:pPr>
      <w:r w:rsidRPr="000E73ED">
        <w:rPr>
          <w:lang w:val="en-US"/>
        </w:rPr>
        <w:t>Institutional Contribution Mapping</w:t>
      </w:r>
    </w:p>
    <w:p w14:paraId="6EAF1B0E" w14:textId="77777777" w:rsidR="000C0333" w:rsidRPr="000E73ED" w:rsidRDefault="000C0333" w:rsidP="00DC4991">
      <w:pPr>
        <w:rPr>
          <w:lang w:val="en-US"/>
        </w:rPr>
      </w:pPr>
      <w:r w:rsidRPr="000E73ED">
        <w:rPr>
          <w:lang w:val="en-US"/>
        </w:rPr>
        <w:t xml:space="preserve">Institutional affiliations presented significant normalization challenges due to inconsistent naming conventions. We developed an enhanced institution extraction algorithm that identified organizational entities within affiliation strings using both </w:t>
      </w:r>
      <w:proofErr w:type="gramStart"/>
      <w:r w:rsidRPr="000E73ED">
        <w:rPr>
          <w:lang w:val="en-US"/>
        </w:rPr>
        <w:t>pattern</w:t>
      </w:r>
      <w:proofErr w:type="gramEnd"/>
      <w:r w:rsidRPr="000E73ED">
        <w:rPr>
          <w:lang w:val="en-US"/>
        </w:rPr>
        <w:t xml:space="preserve"> matching and contextual analysis. Our system recognized common institutional indicators (e.g., </w:t>
      </w:r>
      <w:r w:rsidRPr="000E73ED">
        <w:rPr>
          <w:lang w:val="en-US"/>
        </w:rPr>
        <w:lastRenderedPageBreak/>
        <w:t>"university," "institute," "hospital") and applied normalization rules to standardize variant forms of the same organization. This approach enabled more accurate attribution of research contributions across the institutional landscape.</w:t>
      </w:r>
    </w:p>
    <w:p w14:paraId="4EADE97D" w14:textId="77777777" w:rsidR="000C0333" w:rsidRPr="000E73ED" w:rsidRDefault="000C0333" w:rsidP="000C0333">
      <w:pPr>
        <w:pStyle w:val="Heading2"/>
        <w:rPr>
          <w:lang w:val="en-US"/>
        </w:rPr>
      </w:pPr>
      <w:r w:rsidRPr="000E73ED">
        <w:rPr>
          <w:lang w:val="en-US"/>
        </w:rPr>
        <w:t>Analytical Framework</w:t>
      </w:r>
    </w:p>
    <w:p w14:paraId="00E32E91" w14:textId="77777777" w:rsidR="000C0333" w:rsidRPr="000E73ED" w:rsidRDefault="000C0333" w:rsidP="000C0333">
      <w:pPr>
        <w:pStyle w:val="Heading3"/>
        <w:rPr>
          <w:lang w:val="en-US"/>
        </w:rPr>
      </w:pPr>
      <w:r w:rsidRPr="000E73ED">
        <w:rPr>
          <w:lang w:val="en-US"/>
        </w:rPr>
        <w:t>Keyword Normalization and Thematic Analysis</w:t>
      </w:r>
    </w:p>
    <w:p w14:paraId="267E0F19" w14:textId="77777777" w:rsidR="000C0333" w:rsidRPr="000E73ED" w:rsidRDefault="000C0333" w:rsidP="007766CA">
      <w:pPr>
        <w:rPr>
          <w:lang w:val="en-US"/>
        </w:rPr>
      </w:pPr>
      <w:r w:rsidRPr="000E73ED">
        <w:rPr>
          <w:lang w:val="en-US"/>
        </w:rPr>
        <w:t>Author-supplied keywords provided critical insights into research focus areas but required normalization to account for terminological variations. We implemented a multi-stage normalization process that standardized case, removed filler words, and consolidated variant forms of equivalent concepts. Our keyword processor included special handling for complex terms like "Mendelian randomization" and biobank names, ensuring consistent representation across the dataset.</w:t>
      </w:r>
    </w:p>
    <w:p w14:paraId="4D16022E" w14:textId="77777777" w:rsidR="007766CA" w:rsidRPr="000E73ED" w:rsidRDefault="007766CA" w:rsidP="007766CA">
      <w:pPr>
        <w:rPr>
          <w:lang w:val="en-US"/>
        </w:rPr>
      </w:pPr>
    </w:p>
    <w:p w14:paraId="605E8AB8" w14:textId="77777777" w:rsidR="000C0333" w:rsidRPr="000E73ED" w:rsidRDefault="000C0333" w:rsidP="007766CA">
      <w:pPr>
        <w:rPr>
          <w:lang w:val="en-US"/>
        </w:rPr>
      </w:pPr>
      <w:r w:rsidRPr="000E73ED">
        <w:rPr>
          <w:lang w:val="en-US"/>
        </w:rPr>
        <w:t xml:space="preserve">When analyzing </w:t>
      </w:r>
      <w:proofErr w:type="spellStart"/>
      <w:r w:rsidRPr="000E73ED">
        <w:rPr>
          <w:lang w:val="en-US"/>
        </w:rPr>
        <w:t>MeSH</w:t>
      </w:r>
      <w:proofErr w:type="spellEnd"/>
      <w:r w:rsidRPr="000E73ED">
        <w:rPr>
          <w:lang w:val="en-US"/>
        </w:rPr>
        <w:t xml:space="preserve"> terms, we preserved the controlled vocabulary structure inherent in PubMed's indexing system. For each biobank, we identified the most frequently occurring </w:t>
      </w:r>
      <w:proofErr w:type="spellStart"/>
      <w:r w:rsidRPr="000E73ED">
        <w:rPr>
          <w:lang w:val="en-US"/>
        </w:rPr>
        <w:t>MeSH</w:t>
      </w:r>
      <w:proofErr w:type="spellEnd"/>
      <w:r w:rsidRPr="000E73ED">
        <w:rPr>
          <w:lang w:val="en-US"/>
        </w:rPr>
        <w:t xml:space="preserve"> terms and keywords, generating frequency distributions that revealed distinctive research priorities and methodological approaches.</w:t>
      </w:r>
    </w:p>
    <w:p w14:paraId="25FC9B7F" w14:textId="77777777" w:rsidR="000C0333" w:rsidRPr="000E73ED" w:rsidRDefault="000C0333" w:rsidP="000C0333">
      <w:pPr>
        <w:pStyle w:val="Heading3"/>
        <w:rPr>
          <w:lang w:val="en-US"/>
        </w:rPr>
      </w:pPr>
      <w:proofErr w:type="spellStart"/>
      <w:r w:rsidRPr="000E73ED">
        <w:rPr>
          <w:lang w:val="en-US"/>
        </w:rPr>
        <w:t>MeSH</w:t>
      </w:r>
      <w:proofErr w:type="spellEnd"/>
      <w:r w:rsidRPr="000E73ED">
        <w:rPr>
          <w:lang w:val="en-US"/>
        </w:rPr>
        <w:t xml:space="preserve"> Co-occurrence Analysis</w:t>
      </w:r>
    </w:p>
    <w:p w14:paraId="66E62B21" w14:textId="77777777" w:rsidR="000C0333" w:rsidRPr="000E73ED" w:rsidRDefault="000C0333" w:rsidP="007766CA">
      <w:pPr>
        <w:rPr>
          <w:lang w:val="en-US"/>
        </w:rPr>
      </w:pPr>
      <w:r w:rsidRPr="000E73ED">
        <w:rPr>
          <w:lang w:val="en-US"/>
        </w:rPr>
        <w:t xml:space="preserve">To uncover latent thematic patterns, we conducted </w:t>
      </w:r>
      <w:proofErr w:type="spellStart"/>
      <w:r w:rsidRPr="000E73ED">
        <w:rPr>
          <w:lang w:val="en-US"/>
        </w:rPr>
        <w:t>MeSH</w:t>
      </w:r>
      <w:proofErr w:type="spellEnd"/>
      <w:r w:rsidRPr="000E73ED">
        <w:rPr>
          <w:lang w:val="en-US"/>
        </w:rPr>
        <w:t xml:space="preserve"> term co-occurrence analysis for each biobank. Using the top 100 most frequent terms in each corpus, we constructed co-occurrence matrices that captured how often terms appeared together in the same publication. We then applied Principal Component Analysis (PCA) to reduce dimensionality, followed by K-means clustering (with k=10) to identify coherent topic clusters.</w:t>
      </w:r>
      <w:r w:rsidR="007766CA" w:rsidRPr="000E73ED">
        <w:rPr>
          <w:lang w:val="en-US"/>
        </w:rPr>
        <w:t xml:space="preserve"> </w:t>
      </w:r>
      <w:r w:rsidRPr="000E73ED">
        <w:rPr>
          <w:lang w:val="en-US"/>
        </w:rPr>
        <w:t>For each identified cluster, we extracted the most representative terms based on frequency within the cluster and documented potential interpretations of the thematic focus. This approach revealed both shared infrastructural concepts across biobanks and distinctive thematic signatures unique to each initiative.</w:t>
      </w:r>
    </w:p>
    <w:p w14:paraId="27118295" w14:textId="77777777" w:rsidR="000C0333" w:rsidRPr="000E73ED" w:rsidRDefault="000C0333" w:rsidP="000C0333">
      <w:pPr>
        <w:pStyle w:val="Heading3"/>
        <w:rPr>
          <w:lang w:val="en-US"/>
        </w:rPr>
      </w:pPr>
      <w:r w:rsidRPr="000E73ED">
        <w:rPr>
          <w:lang w:val="en-US"/>
        </w:rPr>
        <w:t>Comparative Literature Profiles</w:t>
      </w:r>
    </w:p>
    <w:p w14:paraId="65CB4FB0" w14:textId="77777777" w:rsidR="000C0333" w:rsidRPr="000E73ED" w:rsidRDefault="000C0333" w:rsidP="007766CA">
      <w:pPr>
        <w:rPr>
          <w:lang w:val="en-US"/>
        </w:rPr>
      </w:pPr>
      <w:r w:rsidRPr="000E73ED">
        <w:rPr>
          <w:lang w:val="en-US"/>
        </w:rPr>
        <w:t>To enable direct comparison between biobanks, we implemented several comparative analyses:</w:t>
      </w:r>
    </w:p>
    <w:p w14:paraId="43BD10AB" w14:textId="77777777" w:rsidR="000C0333" w:rsidRPr="000E73ED" w:rsidRDefault="000C0333" w:rsidP="007766CA">
      <w:pPr>
        <w:pStyle w:val="ListParagraph"/>
        <w:numPr>
          <w:ilvl w:val="0"/>
          <w:numId w:val="24"/>
        </w:numPr>
        <w:rPr>
          <w:lang w:val="en-US"/>
        </w:rPr>
      </w:pPr>
      <w:r w:rsidRPr="000E73ED">
        <w:rPr>
          <w:rStyle w:val="Strong"/>
          <w:lang w:val="en-US"/>
        </w:rPr>
        <w:t>Thematic Classification</w:t>
      </w:r>
      <w:r w:rsidRPr="000E73ED">
        <w:rPr>
          <w:lang w:val="en-US"/>
        </w:rPr>
        <w:t>: We categorized normalized keywords into conceptual domains including Genetics, Clinical Applications, Data Science, Epidemiology, Methodology, Diversity &amp; Equity, Informatics, and Disease-Specific Research. This classification quantified the relative emphasis each biobank places on different research domains.</w:t>
      </w:r>
    </w:p>
    <w:p w14:paraId="47354205" w14:textId="77777777" w:rsidR="000C0333" w:rsidRPr="000E73ED" w:rsidRDefault="000C0333" w:rsidP="007766CA">
      <w:pPr>
        <w:pStyle w:val="ListParagraph"/>
        <w:numPr>
          <w:ilvl w:val="0"/>
          <w:numId w:val="24"/>
        </w:numPr>
        <w:rPr>
          <w:lang w:val="en-US"/>
        </w:rPr>
      </w:pPr>
      <w:r w:rsidRPr="000E73ED">
        <w:rPr>
          <w:rStyle w:val="Strong"/>
          <w:lang w:val="en-US"/>
        </w:rPr>
        <w:t>Distinctiveness Metrics</w:t>
      </w:r>
      <w:r w:rsidRPr="000E73ED">
        <w:rPr>
          <w:lang w:val="en-US"/>
        </w:rPr>
        <w:t>: We calculated distinctiveness scores for each keyword, defined as the ratio between its prevalence within a specific biobank's literature and its mean prevalence across all other biobanks. Keywords with high distinctiveness scores (&gt;2) and substantial frequency (&gt;10 occurrences) were identified as characteristic research themes.</w:t>
      </w:r>
    </w:p>
    <w:p w14:paraId="613281BF" w14:textId="77777777" w:rsidR="000C0333" w:rsidRPr="000E73ED" w:rsidRDefault="000C0333" w:rsidP="007766CA">
      <w:pPr>
        <w:pStyle w:val="ListParagraph"/>
        <w:numPr>
          <w:ilvl w:val="0"/>
          <w:numId w:val="24"/>
        </w:numPr>
        <w:rPr>
          <w:lang w:val="en-US"/>
        </w:rPr>
      </w:pPr>
      <w:r w:rsidRPr="000E73ED">
        <w:rPr>
          <w:rStyle w:val="Strong"/>
          <w:lang w:val="en-US"/>
        </w:rPr>
        <w:lastRenderedPageBreak/>
        <w:t>Cross-Biobank Collaboration Networks</w:t>
      </w:r>
      <w:r w:rsidRPr="000E73ED">
        <w:rPr>
          <w:lang w:val="en-US"/>
        </w:rPr>
        <w:t>: We identified researchers publishing across multiple biobanks, creating a network representation of cross-initiative collaboration. Authors were ranked by both total publication count and the number of distinct biobanks in their work.</w:t>
      </w:r>
    </w:p>
    <w:p w14:paraId="69A8649C" w14:textId="5F8FC17E" w:rsidR="0038510A" w:rsidRPr="000E73ED" w:rsidRDefault="0038510A" w:rsidP="00CE080B">
      <w:pPr>
        <w:pStyle w:val="Heading1"/>
        <w:rPr>
          <w:rFonts w:eastAsia="Times New Roman"/>
          <w:lang w:val="en-US"/>
        </w:rPr>
      </w:pPr>
      <w:r w:rsidRPr="000E73ED">
        <w:rPr>
          <w:rFonts w:eastAsia="Times New Roman"/>
          <w:lang w:val="en-US"/>
        </w:rPr>
        <w:t>Results</w:t>
      </w:r>
    </w:p>
    <w:p w14:paraId="092EC1C9" w14:textId="77777777" w:rsidR="000E73ED" w:rsidRPr="000E73ED" w:rsidRDefault="000E73ED" w:rsidP="000E73ED">
      <w:pPr>
        <w:rPr>
          <w:lang w:val="en-US"/>
        </w:rPr>
      </w:pPr>
    </w:p>
    <w:p w14:paraId="08C84123" w14:textId="1E5E4C0C" w:rsidR="000E73ED" w:rsidRPr="000E73ED" w:rsidRDefault="000E73ED" w:rsidP="000E73ED">
      <w:pPr>
        <w:rPr>
          <w:lang w:val="en-US"/>
        </w:rPr>
      </w:pPr>
      <w:r w:rsidRPr="000E73ED">
        <w:rPr>
          <w:lang w:val="en-US"/>
        </w:rPr>
        <w:t xml:space="preserve">We present a structured analysis of the conceptual and thematic landscape of global EHR-linked biobanks, based on a large-scale bibliometric interrogation of 17,976 PubMed-indexed publications spanning the years 2000–2025. We organize our findings in several stages. First, we provide in-depth profiles for each of the five biobanks under study—UK Biobank, All of Us Research Program, </w:t>
      </w:r>
      <w:proofErr w:type="spellStart"/>
      <w:r w:rsidRPr="000E73ED">
        <w:rPr>
          <w:lang w:val="en-US"/>
        </w:rPr>
        <w:t>FinnGen</w:t>
      </w:r>
      <w:proofErr w:type="spellEnd"/>
      <w:r w:rsidRPr="000E73ED">
        <w:rPr>
          <w:lang w:val="en-US"/>
        </w:rPr>
        <w:t xml:space="preserve">, Million Veteran Program (MVP), and the Estonian Biobank—summarizing their publication volume, thematic concentrations (via </w:t>
      </w:r>
      <w:proofErr w:type="spellStart"/>
      <w:r w:rsidRPr="000E73ED">
        <w:rPr>
          <w:lang w:val="en-US"/>
        </w:rPr>
        <w:t>MeSH</w:t>
      </w:r>
      <w:proofErr w:type="spellEnd"/>
      <w:r w:rsidRPr="000E73ED">
        <w:rPr>
          <w:lang w:val="en-US"/>
        </w:rPr>
        <w:t xml:space="preserve"> terms and author keywords), institutional affiliations, and contributor dynamics. Second, we offer a comparative synthesis that integrates cross-biobank patterns, quantifies research domain emphases, identifies distinctive thematic niches through keyword distinctiveness metrics, and characterizes patterns of author-level collaboration across initiatives. </w:t>
      </w:r>
      <w:r w:rsidRPr="000E73ED">
        <w:rPr>
          <w:highlight w:val="yellow"/>
          <w:lang w:val="en-US"/>
        </w:rPr>
        <w:t>Third…</w:t>
      </w:r>
    </w:p>
    <w:p w14:paraId="05B5F1A3" w14:textId="77777777" w:rsidR="000E73ED" w:rsidRPr="000E73ED" w:rsidRDefault="000E73ED" w:rsidP="000E73ED">
      <w:pPr>
        <w:pStyle w:val="Heading2"/>
        <w:rPr>
          <w:lang w:val="en-US"/>
        </w:rPr>
      </w:pPr>
      <w:r w:rsidRPr="000E73ED">
        <w:rPr>
          <w:lang w:val="en-US"/>
        </w:rPr>
        <w:t>Individual Biobank Profiles</w:t>
      </w:r>
    </w:p>
    <w:p w14:paraId="292F17AD" w14:textId="7BA0D999" w:rsidR="000E73ED" w:rsidRPr="000E73ED" w:rsidRDefault="000E73ED" w:rsidP="000E73ED">
      <w:pPr>
        <w:pStyle w:val="Heading3"/>
        <w:rPr>
          <w:lang w:val="en-US"/>
        </w:rPr>
      </w:pPr>
      <w:r w:rsidRPr="000E73ED">
        <w:rPr>
          <w:rStyle w:val="Strong"/>
          <w:rFonts w:eastAsiaTheme="majorEastAsia"/>
          <w:b/>
          <w:bCs/>
          <w:lang w:val="en-US"/>
        </w:rPr>
        <w:t>UK Biobank</w:t>
      </w:r>
    </w:p>
    <w:p w14:paraId="30039DCF" w14:textId="473A2D6F" w:rsidR="000E73ED" w:rsidRPr="000E73ED" w:rsidRDefault="000E73ED" w:rsidP="000E73ED">
      <w:pPr>
        <w:spacing w:before="100" w:beforeAutospacing="1" w:after="100" w:afterAutospacing="1"/>
        <w:rPr>
          <w:lang w:val="en-US"/>
        </w:rPr>
      </w:pPr>
      <w:r w:rsidRPr="000E73ED">
        <w:rPr>
          <w:lang w:val="en-US"/>
        </w:rPr>
        <w:t xml:space="preserve">The UK Biobank yielded the largest literature corpus, with 11,312 publications between 2000 and 2025. The most frequent </w:t>
      </w:r>
      <w:proofErr w:type="spellStart"/>
      <w:r w:rsidRPr="000E73ED">
        <w:rPr>
          <w:lang w:val="en-US"/>
        </w:rPr>
        <w:t>MeSH</w:t>
      </w:r>
      <w:proofErr w:type="spellEnd"/>
      <w:r w:rsidRPr="000E73ED">
        <w:rPr>
          <w:lang w:val="en-US"/>
        </w:rPr>
        <w:t xml:space="preserve"> descriptors in this corpus reflect the broad, population-based nature of the cohort: </w:t>
      </w:r>
      <w:r w:rsidRPr="000E73ED">
        <w:rPr>
          <w:rStyle w:val="Emphasis"/>
          <w:lang w:val="en-US"/>
        </w:rPr>
        <w:t>Humans</w:t>
      </w:r>
      <w:r w:rsidRPr="000E73ED">
        <w:rPr>
          <w:lang w:val="en-US"/>
        </w:rPr>
        <w:t xml:space="preserve"> was tagged in the vast majority of studies, alongside common demographic terms (</w:t>
      </w:r>
      <w:r w:rsidRPr="000E73ED">
        <w:rPr>
          <w:rStyle w:val="Emphasis"/>
          <w:lang w:val="en-US"/>
        </w:rPr>
        <w:t>Female</w:t>
      </w:r>
      <w:r w:rsidRPr="000E73ED">
        <w:rPr>
          <w:lang w:val="en-US"/>
        </w:rPr>
        <w:t xml:space="preserve">, </w:t>
      </w:r>
      <w:r w:rsidRPr="000E73ED">
        <w:rPr>
          <w:rStyle w:val="Emphasis"/>
          <w:lang w:val="en-US"/>
        </w:rPr>
        <w:t>Male</w:t>
      </w:r>
      <w:r w:rsidRPr="000E73ED">
        <w:rPr>
          <w:lang w:val="en-US"/>
        </w:rPr>
        <w:t xml:space="preserve">, </w:t>
      </w:r>
      <w:r w:rsidRPr="000E73ED">
        <w:rPr>
          <w:rStyle w:val="Emphasis"/>
          <w:lang w:val="en-US"/>
        </w:rPr>
        <w:t>Middle Aged</w:t>
      </w:r>
      <w:r w:rsidRPr="000E73ED">
        <w:rPr>
          <w:lang w:val="en-US"/>
        </w:rPr>
        <w:t xml:space="preserve">) and geographic/contextual terms like </w:t>
      </w:r>
      <w:r w:rsidRPr="000E73ED">
        <w:rPr>
          <w:rStyle w:val="Emphasis"/>
          <w:lang w:val="en-US"/>
        </w:rPr>
        <w:t>United Kingdom</w:t>
      </w:r>
      <w:r w:rsidRPr="000E73ED">
        <w:rPr>
          <w:lang w:val="en-US"/>
        </w:rPr>
        <w:t xml:space="preserve">. Notably, </w:t>
      </w:r>
      <w:proofErr w:type="spellStart"/>
      <w:r w:rsidRPr="000E73ED">
        <w:rPr>
          <w:lang w:val="en-US"/>
        </w:rPr>
        <w:t>MeSH</w:t>
      </w:r>
      <w:proofErr w:type="spellEnd"/>
      <w:r w:rsidRPr="000E73ED">
        <w:rPr>
          <w:lang w:val="en-US"/>
        </w:rPr>
        <w:t xml:space="preserve"> terms related to genetic epidemiology (</w:t>
      </w:r>
      <w:r w:rsidRPr="000E73ED">
        <w:rPr>
          <w:rStyle w:val="Emphasis"/>
          <w:lang w:val="en-US"/>
        </w:rPr>
        <w:t>GWAS</w:t>
      </w:r>
      <w:r w:rsidRPr="000E73ED">
        <w:rPr>
          <w:lang w:val="en-US"/>
        </w:rPr>
        <w:t xml:space="preserve">, </w:t>
      </w:r>
      <w:r w:rsidRPr="000E73ED">
        <w:rPr>
          <w:rStyle w:val="Emphasis"/>
          <w:lang w:val="en-US"/>
        </w:rPr>
        <w:t>Polymorphism, Single Nucleotide</w:t>
      </w:r>
      <w:r w:rsidRPr="000E73ED">
        <w:rPr>
          <w:lang w:val="en-US"/>
        </w:rPr>
        <w:t>) and cohort study design (</w:t>
      </w:r>
      <w:r w:rsidRPr="000E73ED">
        <w:rPr>
          <w:rStyle w:val="Emphasis"/>
          <w:lang w:val="en-US"/>
        </w:rPr>
        <w:t>Prospective Studies</w:t>
      </w:r>
      <w:r w:rsidRPr="000E73ED">
        <w:rPr>
          <w:lang w:val="en-US"/>
        </w:rPr>
        <w:t xml:space="preserve">, </w:t>
      </w:r>
      <w:r w:rsidRPr="000E73ED">
        <w:rPr>
          <w:rStyle w:val="Emphasis"/>
          <w:lang w:val="en-US"/>
        </w:rPr>
        <w:t>Risk Factors</w:t>
      </w:r>
      <w:r w:rsidRPr="000E73ED">
        <w:rPr>
          <w:lang w:val="en-US"/>
        </w:rPr>
        <w:t xml:space="preserve">) are highly prevalent, underscoring UK Biobank’s dual role in genomic discovery and prospective population health research. Author-assigned keywords echo these themes: </w:t>
      </w:r>
      <w:r w:rsidRPr="000E73ED">
        <w:rPr>
          <w:rStyle w:val="Emphasis"/>
          <w:lang w:val="en-US"/>
        </w:rPr>
        <w:t>Mendelian randomization</w:t>
      </w:r>
      <w:r w:rsidRPr="000E73ED">
        <w:rPr>
          <w:lang w:val="en-US"/>
        </w:rPr>
        <w:t xml:space="preserve"> (1,780 occurrences) and </w:t>
      </w:r>
      <w:r w:rsidRPr="000E73ED">
        <w:rPr>
          <w:rStyle w:val="Emphasis"/>
          <w:lang w:val="en-US"/>
        </w:rPr>
        <w:t>UK Biobank</w:t>
      </w:r>
      <w:r w:rsidRPr="000E73ED">
        <w:rPr>
          <w:lang w:val="en-US"/>
        </w:rPr>
        <w:t xml:space="preserve"> (1,411) are the top keywords, followed by terms highlighting chronic disease epidemiology (e.g., </w:t>
      </w:r>
      <w:r w:rsidRPr="000E73ED">
        <w:rPr>
          <w:rStyle w:val="Emphasis"/>
          <w:lang w:val="en-US"/>
        </w:rPr>
        <w:t>cardiovascular disease</w:t>
      </w:r>
      <w:r w:rsidRPr="000E73ED">
        <w:rPr>
          <w:lang w:val="en-US"/>
        </w:rPr>
        <w:t xml:space="preserve">, </w:t>
      </w:r>
      <w:r w:rsidRPr="000E73ED">
        <w:rPr>
          <w:rStyle w:val="Emphasis"/>
          <w:lang w:val="en-US"/>
        </w:rPr>
        <w:t>dementia</w:t>
      </w:r>
      <w:r w:rsidRPr="000E73ED">
        <w:rPr>
          <w:lang w:val="en-US"/>
        </w:rPr>
        <w:t>) and analytical approaches (</w:t>
      </w:r>
      <w:r w:rsidRPr="000E73ED">
        <w:rPr>
          <w:rStyle w:val="Emphasis"/>
          <w:lang w:val="en-US"/>
        </w:rPr>
        <w:t>epidemiology</w:t>
      </w:r>
      <w:r w:rsidRPr="000E73ED">
        <w:rPr>
          <w:lang w:val="en-US"/>
        </w:rPr>
        <w:t xml:space="preserve">, </w:t>
      </w:r>
      <w:r w:rsidRPr="000E73ED">
        <w:rPr>
          <w:rStyle w:val="Emphasis"/>
          <w:lang w:val="en-US"/>
        </w:rPr>
        <w:t>machine learning</w:t>
      </w:r>
      <w:r w:rsidRPr="000E73ED">
        <w:rPr>
          <w:lang w:val="en-US"/>
        </w:rPr>
        <w:t>). This indicates a blend of genetic causation studies and broad public health investigations leveraging the UK Biobank resource.</w:t>
      </w:r>
    </w:p>
    <w:p w14:paraId="15C9CC65" w14:textId="77195C58" w:rsidR="000E73ED" w:rsidRPr="000E73ED" w:rsidRDefault="000E73ED" w:rsidP="000E73ED">
      <w:pPr>
        <w:spacing w:before="100" w:beforeAutospacing="1" w:after="100" w:afterAutospacing="1"/>
        <w:rPr>
          <w:lang w:val="en-US"/>
        </w:rPr>
      </w:pPr>
      <w:r w:rsidRPr="000E73ED">
        <w:rPr>
          <w:lang w:val="en-US"/>
        </w:rPr>
        <w:t>In terms of contributors, the UK Biobank research network is extensive. The most prolific authors have each contributed on the order of hundreds of publications – for example, the top author is credited with 518 publications, and at least five authors have over 250 publications each related to UK Bioban</w:t>
      </w:r>
      <w:r>
        <w:rPr>
          <w:lang w:val="en-US"/>
        </w:rPr>
        <w:t>k</w:t>
      </w:r>
      <w:r w:rsidRPr="000E73ED">
        <w:rPr>
          <w:lang w:val="en-US"/>
        </w:rPr>
        <w:t>. This reflects large collaborative consortia and high-throughput analytical efforts. Leading institutional affiliations are dominated by UK universities and major global research centers. The University of Oxford tops the list with ~1,800 UK Biobank papers, followed by the University of Cambridge (~1,221); notably, prominent non-UK institutions such as Massachusetts General Hospital (~1,116 publications) and Fudan University (~1,111) also rank in the top five. This mix of British and international institutions highlights the global reach and collaborative nature of UK Biobank studies.</w:t>
      </w:r>
    </w:p>
    <w:p w14:paraId="1D3EDAD0" w14:textId="540C4E01" w:rsidR="000E73ED" w:rsidRDefault="000E73ED" w:rsidP="000E73ED">
      <w:pPr>
        <w:spacing w:before="100" w:beforeAutospacing="1" w:after="100" w:afterAutospacing="1"/>
        <w:rPr>
          <w:lang w:val="en-US"/>
        </w:rPr>
      </w:pPr>
      <w:r w:rsidRPr="000E73ED">
        <w:rPr>
          <w:rStyle w:val="Strong"/>
          <w:rFonts w:eastAsiaTheme="majorEastAsia"/>
          <w:lang w:val="en-US"/>
        </w:rPr>
        <w:lastRenderedPageBreak/>
        <w:t>All of Us</w:t>
      </w:r>
    </w:p>
    <w:p w14:paraId="79B2E906" w14:textId="1BE3DC49" w:rsidR="000E73ED" w:rsidRPr="000E73ED" w:rsidRDefault="000E73ED" w:rsidP="000E73ED">
      <w:pPr>
        <w:spacing w:before="100" w:beforeAutospacing="1" w:after="100" w:afterAutospacing="1"/>
        <w:rPr>
          <w:lang w:val="en-US"/>
        </w:rPr>
      </w:pPr>
      <w:r w:rsidRPr="000E73ED">
        <w:rPr>
          <w:lang w:val="en-US"/>
        </w:rPr>
        <w:t xml:space="preserve">The All of Us initiative has a more modest publication footprint (1,493 papers), reflecting </w:t>
      </w:r>
      <w:r w:rsidR="00526DB6">
        <w:rPr>
          <w:lang w:val="en-US"/>
        </w:rPr>
        <w:t>a</w:t>
      </w:r>
      <w:r w:rsidRPr="000E73ED">
        <w:rPr>
          <w:lang w:val="en-US"/>
        </w:rPr>
        <w:t xml:space="preserve"> more recent establishment. The </w:t>
      </w:r>
      <w:proofErr w:type="spellStart"/>
      <w:r w:rsidRPr="000E73ED">
        <w:rPr>
          <w:lang w:val="en-US"/>
        </w:rPr>
        <w:t>MeSH</w:t>
      </w:r>
      <w:proofErr w:type="spellEnd"/>
      <w:r w:rsidRPr="000E73ED">
        <w:rPr>
          <w:lang w:val="en-US"/>
        </w:rPr>
        <w:t xml:space="preserve"> terms associated with All of Us papers emphasize population health and U.S. demographics: aside from </w:t>
      </w:r>
      <w:r w:rsidRPr="000E73ED">
        <w:rPr>
          <w:rStyle w:val="Emphasis"/>
          <w:lang w:val="en-US"/>
        </w:rPr>
        <w:t>Humans</w:t>
      </w:r>
      <w:r w:rsidRPr="000E73ED">
        <w:rPr>
          <w:lang w:val="en-US"/>
        </w:rPr>
        <w:t xml:space="preserve"> and basic demographics (</w:t>
      </w:r>
      <w:r w:rsidRPr="000E73ED">
        <w:rPr>
          <w:rStyle w:val="Emphasis"/>
          <w:lang w:val="en-US"/>
        </w:rPr>
        <w:t>Female</w:t>
      </w:r>
      <w:r w:rsidRPr="000E73ED">
        <w:rPr>
          <w:lang w:val="en-US"/>
        </w:rPr>
        <w:t xml:space="preserve">, </w:t>
      </w:r>
      <w:r w:rsidRPr="000E73ED">
        <w:rPr>
          <w:rStyle w:val="Emphasis"/>
          <w:lang w:val="en-US"/>
        </w:rPr>
        <w:t>Male</w:t>
      </w:r>
      <w:r w:rsidRPr="000E73ED">
        <w:rPr>
          <w:lang w:val="en-US"/>
        </w:rPr>
        <w:t xml:space="preserve">, </w:t>
      </w:r>
      <w:r w:rsidRPr="000E73ED">
        <w:rPr>
          <w:rStyle w:val="Emphasis"/>
          <w:lang w:val="en-US"/>
        </w:rPr>
        <w:t>Middle Aged</w:t>
      </w:r>
      <w:r w:rsidRPr="000E73ED">
        <w:rPr>
          <w:lang w:val="en-US"/>
        </w:rPr>
        <w:t xml:space="preserve">), a distinctive tag is </w:t>
      </w:r>
      <w:r w:rsidRPr="000E73ED">
        <w:rPr>
          <w:rStyle w:val="Emphasis"/>
          <w:lang w:val="en-US"/>
        </w:rPr>
        <w:t>United States</w:t>
      </w:r>
      <w:r w:rsidRPr="000E73ED">
        <w:rPr>
          <w:lang w:val="en-US"/>
        </w:rPr>
        <w:t xml:space="preserve"> (352 occurrences), consistent with the cohort’s national scope. Public health and epidemiological study descriptors feature prominently (e.g., </w:t>
      </w:r>
      <w:r w:rsidRPr="000E73ED">
        <w:rPr>
          <w:rStyle w:val="Emphasis"/>
          <w:lang w:val="en-US"/>
        </w:rPr>
        <w:t>Population Health</w:t>
      </w:r>
      <w:r w:rsidRPr="000E73ED">
        <w:rPr>
          <w:lang w:val="en-US"/>
        </w:rPr>
        <w:t xml:space="preserve">, </w:t>
      </w:r>
      <w:r w:rsidRPr="000E73ED">
        <w:rPr>
          <w:rStyle w:val="Emphasis"/>
          <w:lang w:val="en-US"/>
        </w:rPr>
        <w:t>Cross-Sectional Studies</w:t>
      </w:r>
      <w:r w:rsidRPr="000E73ED">
        <w:rPr>
          <w:lang w:val="en-US"/>
        </w:rPr>
        <w:t>), and terms related to data resources (</w:t>
      </w:r>
      <w:r w:rsidRPr="000E73ED">
        <w:rPr>
          <w:rStyle w:val="Emphasis"/>
          <w:lang w:val="en-US"/>
        </w:rPr>
        <w:t>Electronic Health Records</w:t>
      </w:r>
      <w:r w:rsidRPr="000E73ED">
        <w:rPr>
          <w:lang w:val="en-US"/>
        </w:rPr>
        <w:t xml:space="preserve">, </w:t>
      </w:r>
      <w:r w:rsidRPr="000E73ED">
        <w:rPr>
          <w:rStyle w:val="Emphasis"/>
          <w:lang w:val="en-US"/>
        </w:rPr>
        <w:t>Databases, Factual</w:t>
      </w:r>
      <w:r w:rsidRPr="000E73ED">
        <w:rPr>
          <w:lang w:val="en-US"/>
        </w:rPr>
        <w:t xml:space="preserve">) also appear in the top </w:t>
      </w:r>
      <w:proofErr w:type="spellStart"/>
      <w:r w:rsidRPr="000E73ED">
        <w:rPr>
          <w:lang w:val="en-US"/>
        </w:rPr>
        <w:t>MeSH</w:t>
      </w:r>
      <w:proofErr w:type="spellEnd"/>
      <w:r w:rsidRPr="000E73ED">
        <w:rPr>
          <w:lang w:val="en-US"/>
        </w:rPr>
        <w:t>, aligning with the program’s focus on electronic health record (EHR) linkag</w:t>
      </w:r>
      <w:r w:rsidR="00526DB6">
        <w:rPr>
          <w:lang w:val="en-US"/>
        </w:rPr>
        <w:t>e</w:t>
      </w:r>
      <w:r w:rsidRPr="000E73ED">
        <w:rPr>
          <w:lang w:val="en-US"/>
        </w:rPr>
        <w:t xml:space="preserve">. Author keywords further highlight All of </w:t>
      </w:r>
      <w:proofErr w:type="spellStart"/>
      <w:r w:rsidRPr="000E73ED">
        <w:rPr>
          <w:lang w:val="en-US"/>
        </w:rPr>
        <w:t>Us’s</w:t>
      </w:r>
      <w:proofErr w:type="spellEnd"/>
      <w:r w:rsidRPr="000E73ED">
        <w:rPr>
          <w:lang w:val="en-US"/>
        </w:rPr>
        <w:t xml:space="preserve"> unique orientation toward precision medicine and diversity: </w:t>
      </w:r>
      <w:r w:rsidRPr="000E73ED">
        <w:rPr>
          <w:rStyle w:val="Emphasis"/>
          <w:lang w:val="en-US"/>
        </w:rPr>
        <w:t>All of Us</w:t>
      </w:r>
      <w:r w:rsidRPr="000E73ED">
        <w:rPr>
          <w:lang w:val="en-US"/>
        </w:rPr>
        <w:t xml:space="preserve"> (and the variant </w:t>
      </w:r>
      <w:r w:rsidRPr="000E73ED">
        <w:rPr>
          <w:rStyle w:val="Emphasis"/>
          <w:lang w:val="en-US"/>
        </w:rPr>
        <w:t>All of Us Research Program</w:t>
      </w:r>
      <w:r w:rsidRPr="000E73ED">
        <w:rPr>
          <w:lang w:val="en-US"/>
        </w:rPr>
        <w:t xml:space="preserve">) are the top recurring keywords, alongside </w:t>
      </w:r>
      <w:r w:rsidRPr="000E73ED">
        <w:rPr>
          <w:rStyle w:val="Emphasis"/>
          <w:lang w:val="en-US"/>
        </w:rPr>
        <w:t>Electronic Health Records</w:t>
      </w:r>
      <w:r w:rsidRPr="000E73ED">
        <w:rPr>
          <w:lang w:val="en-US"/>
        </w:rPr>
        <w:t xml:space="preserve">, </w:t>
      </w:r>
      <w:r w:rsidRPr="000E73ED">
        <w:rPr>
          <w:rStyle w:val="Emphasis"/>
          <w:lang w:val="en-US"/>
        </w:rPr>
        <w:t>Precision Medicine</w:t>
      </w:r>
      <w:r w:rsidRPr="000E73ED">
        <w:rPr>
          <w:lang w:val="en-US"/>
        </w:rPr>
        <w:t>, and terms for health equity (</w:t>
      </w:r>
      <w:r w:rsidRPr="000E73ED">
        <w:rPr>
          <w:rStyle w:val="Emphasis"/>
          <w:lang w:val="en-US"/>
        </w:rPr>
        <w:t>Social Determinants of Health</w:t>
      </w:r>
      <w:r w:rsidRPr="000E73ED">
        <w:rPr>
          <w:lang w:val="en-US"/>
        </w:rPr>
        <w:t xml:space="preserve">, </w:t>
      </w:r>
      <w:r w:rsidRPr="000E73ED">
        <w:rPr>
          <w:rStyle w:val="Emphasis"/>
          <w:lang w:val="en-US"/>
        </w:rPr>
        <w:t>Health Disparities</w:t>
      </w:r>
      <w:r w:rsidRPr="000E73ED">
        <w:rPr>
          <w:lang w:val="en-US"/>
        </w:rPr>
        <w:t xml:space="preserve">, </w:t>
      </w:r>
      <w:r w:rsidRPr="000E73ED">
        <w:rPr>
          <w:rStyle w:val="Emphasis"/>
          <w:lang w:val="en-US"/>
        </w:rPr>
        <w:t>Diversity</w:t>
      </w:r>
      <w:r w:rsidRPr="000E73ED">
        <w:rPr>
          <w:lang w:val="en-US"/>
        </w:rPr>
        <w:t>). Notably, All of Us is the only biobank among the five with frequent keywords explicitly concerning health equity and diversity, underscoring its mandate to capture underrepresented populations.</w:t>
      </w:r>
    </w:p>
    <w:p w14:paraId="5FA27D12" w14:textId="76910FD7" w:rsidR="000E73ED" w:rsidRPr="000E73ED" w:rsidRDefault="000E73ED" w:rsidP="000E73ED">
      <w:pPr>
        <w:spacing w:before="100" w:beforeAutospacing="1" w:after="100" w:afterAutospacing="1"/>
        <w:rPr>
          <w:lang w:val="en-US"/>
        </w:rPr>
      </w:pPr>
      <w:r w:rsidRPr="000E73ED">
        <w:rPr>
          <w:lang w:val="en-US"/>
        </w:rPr>
        <w:t>The authorship and institutional profile of All of Us research is relatively diffuse, with lower publication counts per author compared to UK Biobank. The most prolific author (Cohen, J.M.) has 47 publications, and only a handful of authors have more than 20 papers. Key contributing institutions include leading American research centers. Vanderbilt University Medical Center is the top-affiliated institution (256 publications), consistent with Vanderbilt’s role in the program’s inception, followed by University of California (multiple campuses collectively, 158 publications) and the National Institutes of Health (149). Other major contributors range from Massachusetts General Hospital (134) to Baylor College of Medicine (95). This list indicates that All of Us research is largely driven by U.S. academic medical centers and federal research institutions, in line with the program’s national character.</w:t>
      </w:r>
    </w:p>
    <w:p w14:paraId="1304397B" w14:textId="2B188BEF" w:rsidR="004D1815" w:rsidRPr="004D1815" w:rsidRDefault="000E73ED" w:rsidP="004D1815">
      <w:pPr>
        <w:pStyle w:val="Heading3"/>
        <w:rPr>
          <w:b w:val="0"/>
          <w:lang w:val="en-US"/>
        </w:rPr>
      </w:pPr>
      <w:proofErr w:type="spellStart"/>
      <w:r w:rsidRPr="004D1815">
        <w:rPr>
          <w:rStyle w:val="Strong"/>
          <w:rFonts w:eastAsiaTheme="majorEastAsia"/>
          <w:b/>
          <w:lang w:val="en-US"/>
        </w:rPr>
        <w:t>FinnGen</w:t>
      </w:r>
      <w:proofErr w:type="spellEnd"/>
    </w:p>
    <w:p w14:paraId="77A4F8F9" w14:textId="11B40194" w:rsidR="000E73ED" w:rsidRPr="000E73ED" w:rsidRDefault="000E73ED" w:rsidP="000E73ED">
      <w:pPr>
        <w:spacing w:before="100" w:beforeAutospacing="1" w:after="100" w:afterAutospacing="1"/>
        <w:rPr>
          <w:lang w:val="en-US"/>
        </w:rPr>
      </w:pPr>
      <w:r w:rsidRPr="000E73ED">
        <w:rPr>
          <w:lang w:val="en-US"/>
        </w:rPr>
        <w:t xml:space="preserve">The </w:t>
      </w:r>
      <w:proofErr w:type="spellStart"/>
      <w:r w:rsidRPr="000E73ED">
        <w:rPr>
          <w:lang w:val="en-US"/>
        </w:rPr>
        <w:t>FinnGen</w:t>
      </w:r>
      <w:proofErr w:type="spellEnd"/>
      <w:r w:rsidRPr="000E73ED">
        <w:rPr>
          <w:lang w:val="en-US"/>
        </w:rPr>
        <w:t xml:space="preserve"> initiative accounts for 2,067 publications. </w:t>
      </w:r>
      <w:proofErr w:type="spellStart"/>
      <w:r w:rsidRPr="000E73ED">
        <w:rPr>
          <w:lang w:val="en-US"/>
        </w:rPr>
        <w:t>FinnGen’s</w:t>
      </w:r>
      <w:proofErr w:type="spellEnd"/>
      <w:r w:rsidRPr="000E73ED">
        <w:rPr>
          <w:lang w:val="en-US"/>
        </w:rPr>
        <w:t xml:space="preserve"> literature is heavily oriented toward genetic research and causal inference methodologies. </w:t>
      </w:r>
      <w:proofErr w:type="spellStart"/>
      <w:r w:rsidRPr="000E73ED">
        <w:rPr>
          <w:lang w:val="en-US"/>
        </w:rPr>
        <w:t>MeSH</w:t>
      </w:r>
      <w:proofErr w:type="spellEnd"/>
      <w:r w:rsidRPr="000E73ED">
        <w:rPr>
          <w:lang w:val="en-US"/>
        </w:rPr>
        <w:t xml:space="preserve"> annotations are dominated by genetic epidemiology terms: for example, </w:t>
      </w:r>
      <w:r w:rsidRPr="000E73ED">
        <w:rPr>
          <w:rStyle w:val="Emphasis"/>
          <w:lang w:val="en-US"/>
        </w:rPr>
        <w:t>Mendelian Randomization</w:t>
      </w:r>
      <w:r w:rsidRPr="000E73ED">
        <w:rPr>
          <w:lang w:val="en-US"/>
        </w:rPr>
        <w:t xml:space="preserve"> appears over 1,100 times (reflecting the prolific use of </w:t>
      </w:r>
      <w:proofErr w:type="spellStart"/>
      <w:r w:rsidRPr="000E73ED">
        <w:rPr>
          <w:lang w:val="en-US"/>
        </w:rPr>
        <w:t>FinnGen</w:t>
      </w:r>
      <w:proofErr w:type="spellEnd"/>
      <w:r w:rsidRPr="000E73ED">
        <w:rPr>
          <w:lang w:val="en-US"/>
        </w:rPr>
        <w:t xml:space="preserve"> data in causal inference studies), and </w:t>
      </w:r>
      <w:r w:rsidRPr="000E73ED">
        <w:rPr>
          <w:rStyle w:val="Emphasis"/>
          <w:lang w:val="en-US"/>
        </w:rPr>
        <w:t>Genome-Wide Association Studies (GWAS)</w:t>
      </w:r>
      <w:r w:rsidRPr="000E73ED">
        <w:rPr>
          <w:lang w:val="en-US"/>
        </w:rPr>
        <w:t xml:space="preserve"> appears in over 1,000 instances. Classic genetic terms such as </w:t>
      </w:r>
      <w:r w:rsidRPr="000E73ED">
        <w:rPr>
          <w:rStyle w:val="Emphasis"/>
          <w:lang w:val="en-US"/>
        </w:rPr>
        <w:t>Polymorphism, Single Nucleotide</w:t>
      </w:r>
      <w:r w:rsidRPr="000E73ED">
        <w:rPr>
          <w:lang w:val="en-US"/>
        </w:rPr>
        <w:t xml:space="preserve"> and </w:t>
      </w:r>
      <w:r w:rsidRPr="000E73ED">
        <w:rPr>
          <w:rStyle w:val="Emphasis"/>
          <w:lang w:val="en-US"/>
        </w:rPr>
        <w:t>Genetic Predisposition to Disease</w:t>
      </w:r>
      <w:r w:rsidRPr="000E73ED">
        <w:rPr>
          <w:lang w:val="en-US"/>
        </w:rPr>
        <w:t xml:space="preserve"> are also among the top </w:t>
      </w:r>
      <w:proofErr w:type="spellStart"/>
      <w:r w:rsidRPr="000E73ED">
        <w:rPr>
          <w:lang w:val="en-US"/>
        </w:rPr>
        <w:t>MeSH</w:t>
      </w:r>
      <w:proofErr w:type="spellEnd"/>
      <w:r w:rsidRPr="000E73ED">
        <w:rPr>
          <w:lang w:val="en-US"/>
        </w:rPr>
        <w:t xml:space="preserve">, underscoring </w:t>
      </w:r>
      <w:proofErr w:type="spellStart"/>
      <w:r w:rsidRPr="000E73ED">
        <w:rPr>
          <w:lang w:val="en-US"/>
        </w:rPr>
        <w:t>FinnGen’s</w:t>
      </w:r>
      <w:proofErr w:type="spellEnd"/>
      <w:r w:rsidRPr="000E73ED">
        <w:rPr>
          <w:lang w:val="en-US"/>
        </w:rPr>
        <w:t xml:space="preserve"> focus on variant discovery and genetic risk profiling. In contrast to UK Biobank, general epidemiological descriptors (e.g., </w:t>
      </w:r>
      <w:r w:rsidRPr="000E73ED">
        <w:rPr>
          <w:rStyle w:val="Emphasis"/>
          <w:lang w:val="en-US"/>
        </w:rPr>
        <w:t>Risk Factors</w:t>
      </w:r>
      <w:r w:rsidRPr="000E73ED">
        <w:rPr>
          <w:lang w:val="en-US"/>
        </w:rPr>
        <w:t xml:space="preserve">, </w:t>
      </w:r>
      <w:r w:rsidRPr="000E73ED">
        <w:rPr>
          <w:rStyle w:val="Emphasis"/>
          <w:lang w:val="en-US"/>
        </w:rPr>
        <w:t>Middle Aged</w:t>
      </w:r>
      <w:r w:rsidRPr="000E73ED">
        <w:rPr>
          <w:lang w:val="en-US"/>
        </w:rPr>
        <w:t xml:space="preserve">) appear less frequently in </w:t>
      </w:r>
      <w:proofErr w:type="spellStart"/>
      <w:r w:rsidRPr="000E73ED">
        <w:rPr>
          <w:lang w:val="en-US"/>
        </w:rPr>
        <w:t>FinnGen</w:t>
      </w:r>
      <w:proofErr w:type="spellEnd"/>
      <w:r w:rsidRPr="000E73ED">
        <w:rPr>
          <w:lang w:val="en-US"/>
        </w:rPr>
        <w:t xml:space="preserve">, indicating a more specialized genomic focus. The author keywords reinforce this profile: </w:t>
      </w:r>
      <w:r w:rsidRPr="000E73ED">
        <w:rPr>
          <w:rStyle w:val="Emphasis"/>
          <w:lang w:val="en-US"/>
        </w:rPr>
        <w:t>Mendelian randomization</w:t>
      </w:r>
      <w:r w:rsidRPr="000E73ED">
        <w:rPr>
          <w:lang w:val="en-US"/>
        </w:rPr>
        <w:t xml:space="preserve"> is by far the most common keyword (1,537 occurrences), followed by </w:t>
      </w:r>
      <w:r w:rsidRPr="000E73ED">
        <w:rPr>
          <w:rStyle w:val="Emphasis"/>
          <w:lang w:val="en-US"/>
        </w:rPr>
        <w:t>causal inference</w:t>
      </w:r>
      <w:r w:rsidRPr="000E73ED">
        <w:rPr>
          <w:lang w:val="en-US"/>
        </w:rPr>
        <w:t xml:space="preserve"> related terms and </w:t>
      </w:r>
      <w:r w:rsidRPr="000E73ED">
        <w:rPr>
          <w:rStyle w:val="Emphasis"/>
          <w:lang w:val="en-US"/>
        </w:rPr>
        <w:t>GWAS</w:t>
      </w:r>
      <w:r w:rsidRPr="000E73ED">
        <w:rPr>
          <w:lang w:val="en-US"/>
        </w:rPr>
        <w:t xml:space="preserve">. Uniquely, </w:t>
      </w:r>
      <w:proofErr w:type="spellStart"/>
      <w:r w:rsidRPr="000E73ED">
        <w:rPr>
          <w:lang w:val="en-US"/>
        </w:rPr>
        <w:t>FinnGen</w:t>
      </w:r>
      <w:proofErr w:type="spellEnd"/>
      <w:r w:rsidRPr="000E73ED">
        <w:rPr>
          <w:lang w:val="en-US"/>
        </w:rPr>
        <w:t xml:space="preserve"> keywords include several disease-specific terms linked to genetic studies – for example, </w:t>
      </w:r>
      <w:r w:rsidRPr="000E73ED">
        <w:rPr>
          <w:rStyle w:val="Emphasis"/>
          <w:lang w:val="en-US"/>
        </w:rPr>
        <w:t>gut microbiota</w:t>
      </w:r>
      <w:r w:rsidRPr="000E73ED">
        <w:rPr>
          <w:lang w:val="en-US"/>
        </w:rPr>
        <w:t xml:space="preserve"> and </w:t>
      </w:r>
      <w:r w:rsidRPr="000E73ED">
        <w:rPr>
          <w:rStyle w:val="Emphasis"/>
          <w:lang w:val="en-US"/>
        </w:rPr>
        <w:t>inflammatory bowel disease</w:t>
      </w:r>
      <w:r w:rsidRPr="000E73ED">
        <w:rPr>
          <w:lang w:val="en-US"/>
        </w:rPr>
        <w:t xml:space="preserve"> emerge as frequent keywords, highlighting </w:t>
      </w:r>
      <w:proofErr w:type="spellStart"/>
      <w:r w:rsidRPr="000E73ED">
        <w:rPr>
          <w:lang w:val="en-US"/>
        </w:rPr>
        <w:t>FinnGen’s</w:t>
      </w:r>
      <w:proofErr w:type="spellEnd"/>
      <w:r w:rsidRPr="000E73ED">
        <w:rPr>
          <w:lang w:val="en-US"/>
        </w:rPr>
        <w:t xml:space="preserve"> contributions to microbiome-genome research and autoimmune disease genetics. Other disease phenotypes like </w:t>
      </w:r>
      <w:r w:rsidRPr="000E73ED">
        <w:rPr>
          <w:rStyle w:val="Emphasis"/>
          <w:lang w:val="en-US"/>
        </w:rPr>
        <w:t>Rheumatoid Arthritis</w:t>
      </w:r>
      <w:r w:rsidRPr="000E73ED">
        <w:rPr>
          <w:lang w:val="en-US"/>
        </w:rPr>
        <w:t xml:space="preserve"> and </w:t>
      </w:r>
      <w:r w:rsidRPr="000E73ED">
        <w:rPr>
          <w:rStyle w:val="Emphasis"/>
          <w:lang w:val="en-US"/>
        </w:rPr>
        <w:t>Alzheimer’s Disease</w:t>
      </w:r>
      <w:r w:rsidRPr="000E73ED">
        <w:rPr>
          <w:lang w:val="en-US"/>
        </w:rPr>
        <w:t xml:space="preserve"> are also recurrent in </w:t>
      </w:r>
      <w:proofErr w:type="spellStart"/>
      <w:r w:rsidRPr="000E73ED">
        <w:rPr>
          <w:lang w:val="en-US"/>
        </w:rPr>
        <w:t>FinnGen</w:t>
      </w:r>
      <w:proofErr w:type="spellEnd"/>
      <w:r w:rsidRPr="000E73ED">
        <w:rPr>
          <w:lang w:val="en-US"/>
        </w:rPr>
        <w:t xml:space="preserve"> keywords, suggesting that </w:t>
      </w:r>
      <w:proofErr w:type="spellStart"/>
      <w:r w:rsidRPr="000E73ED">
        <w:rPr>
          <w:lang w:val="en-US"/>
        </w:rPr>
        <w:t>FinnGen</w:t>
      </w:r>
      <w:proofErr w:type="spellEnd"/>
      <w:r w:rsidRPr="000E73ED">
        <w:rPr>
          <w:lang w:val="en-US"/>
        </w:rPr>
        <w:t xml:space="preserve"> data have been instrumental in a wide range of disease-oriented genetic studies.</w:t>
      </w:r>
    </w:p>
    <w:p w14:paraId="0EF055B5" w14:textId="69500852" w:rsidR="000E73ED" w:rsidRPr="000E73ED" w:rsidRDefault="000E73ED" w:rsidP="000E73ED">
      <w:pPr>
        <w:spacing w:before="100" w:beforeAutospacing="1" w:after="100" w:afterAutospacing="1"/>
        <w:rPr>
          <w:lang w:val="en-US"/>
        </w:rPr>
      </w:pPr>
      <w:r w:rsidRPr="000E73ED">
        <w:rPr>
          <w:lang w:val="en-US"/>
        </w:rPr>
        <w:lastRenderedPageBreak/>
        <w:t xml:space="preserve">The contributor base for </w:t>
      </w:r>
      <w:proofErr w:type="spellStart"/>
      <w:r w:rsidRPr="000E73ED">
        <w:rPr>
          <w:lang w:val="en-US"/>
        </w:rPr>
        <w:t>FinnGen</w:t>
      </w:r>
      <w:proofErr w:type="spellEnd"/>
      <w:r w:rsidRPr="000E73ED">
        <w:rPr>
          <w:lang w:val="en-US"/>
        </w:rPr>
        <w:t xml:space="preserve"> is likewise international but with a strong domestic core. The most prolific authors in </w:t>
      </w:r>
      <w:proofErr w:type="spellStart"/>
      <w:r w:rsidRPr="000E73ED">
        <w:rPr>
          <w:lang w:val="en-US"/>
        </w:rPr>
        <w:t>FinnGen</w:t>
      </w:r>
      <w:proofErr w:type="spellEnd"/>
      <w:r w:rsidRPr="000E73ED">
        <w:rPr>
          <w:lang w:val="en-US"/>
        </w:rPr>
        <w:t xml:space="preserve">-related publications have output comparable to those in UK Biobank (on a smaller corpus): for example, Zhang Y authored 130 papers and Wang Y 123 papers using </w:t>
      </w:r>
      <w:proofErr w:type="spellStart"/>
      <w:r w:rsidRPr="000E73ED">
        <w:rPr>
          <w:lang w:val="en-US"/>
        </w:rPr>
        <w:t>FinnGen</w:t>
      </w:r>
      <w:proofErr w:type="spellEnd"/>
      <w:r w:rsidRPr="000E73ED">
        <w:rPr>
          <w:lang w:val="en-US"/>
        </w:rPr>
        <w:t xml:space="preserve"> data. (It should be noted that many of the top author names – e.g., Zhang, Wang, Li – are common surnames in large genomics consortia and may represent multiple individuals or groups with the same surname contributing to </w:t>
      </w:r>
      <w:proofErr w:type="spellStart"/>
      <w:r w:rsidRPr="000E73ED">
        <w:rPr>
          <w:lang w:val="en-US"/>
        </w:rPr>
        <w:t>FinnGen</w:t>
      </w:r>
      <w:proofErr w:type="spellEnd"/>
      <w:r w:rsidRPr="000E73ED">
        <w:rPr>
          <w:lang w:val="en-US"/>
        </w:rPr>
        <w:t xml:space="preserve"> analyses.) Among identifiable </w:t>
      </w:r>
      <w:proofErr w:type="spellStart"/>
      <w:r w:rsidRPr="000E73ED">
        <w:rPr>
          <w:lang w:val="en-US"/>
        </w:rPr>
        <w:t>FinnGen</w:t>
      </w:r>
      <w:proofErr w:type="spellEnd"/>
      <w:r w:rsidRPr="000E73ED">
        <w:rPr>
          <w:lang w:val="en-US"/>
        </w:rPr>
        <w:t xml:space="preserve"> leadership, we see authors like </w:t>
      </w:r>
      <w:proofErr w:type="spellStart"/>
      <w:r w:rsidRPr="000E73ED">
        <w:rPr>
          <w:lang w:val="en-US"/>
        </w:rPr>
        <w:t>Palotie</w:t>
      </w:r>
      <w:proofErr w:type="spellEnd"/>
      <w:r w:rsidRPr="000E73ED">
        <w:rPr>
          <w:lang w:val="en-US"/>
        </w:rPr>
        <w:t xml:space="preserve"> A. with 52 publications, reflecting contributions from Finnish investigators. The leading institutions for </w:t>
      </w:r>
      <w:proofErr w:type="spellStart"/>
      <w:r w:rsidRPr="000E73ED">
        <w:rPr>
          <w:lang w:val="en-US"/>
        </w:rPr>
        <w:t>FinnGen</w:t>
      </w:r>
      <w:proofErr w:type="spellEnd"/>
      <w:r w:rsidRPr="000E73ED">
        <w:rPr>
          <w:lang w:val="en-US"/>
        </w:rPr>
        <w:t xml:space="preserve"> publications are split between Finland and key international collaborators. The University of Helsinki tops the list (323 publications), anchoring the Finnish contribution. Interestingly, several of the next most frequent affiliations are Chinese institutions – Central South University (272 papers) and Sichuan University (175) – as well as a major </w:t>
      </w:r>
      <w:r w:rsidR="004D1815">
        <w:rPr>
          <w:lang w:val="en-US"/>
        </w:rPr>
        <w:t>Chinese</w:t>
      </w:r>
      <w:r w:rsidRPr="000E73ED">
        <w:rPr>
          <w:lang w:val="en-US"/>
        </w:rPr>
        <w:t xml:space="preserve"> hospital (</w:t>
      </w:r>
      <w:proofErr w:type="spellStart"/>
      <w:r w:rsidRPr="000E73ED">
        <w:rPr>
          <w:lang w:val="en-US"/>
        </w:rPr>
        <w:t>Xiangya</w:t>
      </w:r>
      <w:proofErr w:type="spellEnd"/>
      <w:r w:rsidRPr="000E73ED">
        <w:rPr>
          <w:lang w:val="en-US"/>
        </w:rPr>
        <w:t xml:space="preserve"> Hospital, 158). This indicates that, beyond Finland’s own investment, researchers in China have extensively mined </w:t>
      </w:r>
      <w:proofErr w:type="spellStart"/>
      <w:r w:rsidRPr="000E73ED">
        <w:rPr>
          <w:lang w:val="en-US"/>
        </w:rPr>
        <w:t>FinnGen</w:t>
      </w:r>
      <w:proofErr w:type="spellEnd"/>
      <w:r w:rsidRPr="000E73ED">
        <w:rPr>
          <w:lang w:val="en-US"/>
        </w:rPr>
        <w:t xml:space="preserve"> data. Other notable affiliations include Massachusetts General Hospital (130), underlining trans-Atlantic collaborations in </w:t>
      </w:r>
      <w:proofErr w:type="spellStart"/>
      <w:r w:rsidRPr="000E73ED">
        <w:rPr>
          <w:lang w:val="en-US"/>
        </w:rPr>
        <w:t>FinnGen</w:t>
      </w:r>
      <w:proofErr w:type="spellEnd"/>
      <w:r w:rsidRPr="000E73ED">
        <w:rPr>
          <w:lang w:val="en-US"/>
        </w:rPr>
        <w:t xml:space="preserve"> analyses.</w:t>
      </w:r>
    </w:p>
    <w:p w14:paraId="0DE8BD33" w14:textId="77777777" w:rsidR="004D1815" w:rsidRPr="004D1815" w:rsidRDefault="000E73ED" w:rsidP="004D1815">
      <w:pPr>
        <w:pStyle w:val="Heading3"/>
        <w:rPr>
          <w:b w:val="0"/>
          <w:lang w:val="en-US"/>
        </w:rPr>
      </w:pPr>
      <w:bookmarkStart w:id="0" w:name="_GoBack"/>
      <w:r w:rsidRPr="004D1815">
        <w:rPr>
          <w:rStyle w:val="Strong"/>
          <w:rFonts w:eastAsiaTheme="majorEastAsia"/>
          <w:b/>
          <w:lang w:val="en-US"/>
        </w:rPr>
        <w:t>Million Veteran Program (MVP)</w:t>
      </w:r>
      <w:r w:rsidRPr="004D1815">
        <w:rPr>
          <w:b w:val="0"/>
          <w:lang w:val="en-US"/>
        </w:rPr>
        <w:t xml:space="preserve"> </w:t>
      </w:r>
    </w:p>
    <w:bookmarkEnd w:id="0"/>
    <w:p w14:paraId="3514ADF0" w14:textId="71F98ED0" w:rsidR="000E73ED" w:rsidRPr="000E73ED" w:rsidRDefault="000E73ED" w:rsidP="000E73ED">
      <w:pPr>
        <w:spacing w:before="100" w:beforeAutospacing="1" w:after="100" w:afterAutospacing="1"/>
        <w:rPr>
          <w:lang w:val="en-US"/>
        </w:rPr>
      </w:pPr>
      <w:r w:rsidRPr="000E73ED">
        <w:rPr>
          <w:lang w:val="en-US"/>
        </w:rPr>
        <w:t>The Million Veteran Program’s publication count stands at 2,443</w:t>
      </w:r>
      <w:r w:rsidRPr="000E73ED">
        <w:rPr>
          <w:rStyle w:val="max-w-full"/>
          <w:lang w:val="en-US"/>
        </w:rPr>
        <w:t>file-eyukflgieijldoftsmzbim</w:t>
      </w:r>
      <w:r w:rsidRPr="000E73ED">
        <w:rPr>
          <w:lang w:val="en-US"/>
        </w:rPr>
        <w:t xml:space="preserve">. In contrast to the genomics-heavy profiles of UK Biobank and </w:t>
      </w:r>
      <w:proofErr w:type="spellStart"/>
      <w:r w:rsidRPr="000E73ED">
        <w:rPr>
          <w:lang w:val="en-US"/>
        </w:rPr>
        <w:t>FinnGen</w:t>
      </w:r>
      <w:proofErr w:type="spellEnd"/>
      <w:r w:rsidRPr="000E73ED">
        <w:rPr>
          <w:lang w:val="en-US"/>
        </w:rPr>
        <w:t xml:space="preserve">, the MVP literature has a distinctive clinical epidemiology character with a focus on veteran health issues. Generic </w:t>
      </w:r>
      <w:proofErr w:type="spellStart"/>
      <w:r w:rsidRPr="000E73ED">
        <w:rPr>
          <w:lang w:val="en-US"/>
        </w:rPr>
        <w:t>MeSH</w:t>
      </w:r>
      <w:proofErr w:type="spellEnd"/>
      <w:r w:rsidRPr="000E73ED">
        <w:rPr>
          <w:lang w:val="en-US"/>
        </w:rPr>
        <w:t xml:space="preserve"> terms (</w:t>
      </w:r>
      <w:r w:rsidRPr="000E73ED">
        <w:rPr>
          <w:rStyle w:val="Emphasis"/>
          <w:lang w:val="en-US"/>
        </w:rPr>
        <w:t>Humans</w:t>
      </w:r>
      <w:r w:rsidRPr="000E73ED">
        <w:rPr>
          <w:lang w:val="en-US"/>
        </w:rPr>
        <w:t xml:space="preserve">, </w:t>
      </w:r>
      <w:r w:rsidRPr="000E73ED">
        <w:rPr>
          <w:rStyle w:val="Emphasis"/>
          <w:lang w:val="en-US"/>
        </w:rPr>
        <w:t>Female</w:t>
      </w:r>
      <w:r w:rsidRPr="000E73ED">
        <w:rPr>
          <w:lang w:val="en-US"/>
        </w:rPr>
        <w:t xml:space="preserve">, </w:t>
      </w:r>
      <w:r w:rsidRPr="000E73ED">
        <w:rPr>
          <w:rStyle w:val="Emphasis"/>
          <w:lang w:val="en-US"/>
        </w:rPr>
        <w:t>Male</w:t>
      </w:r>
      <w:r w:rsidRPr="000E73ED">
        <w:rPr>
          <w:lang w:val="en-US"/>
        </w:rPr>
        <w:t xml:space="preserve">, </w:t>
      </w:r>
      <w:r w:rsidRPr="000E73ED">
        <w:rPr>
          <w:rStyle w:val="Emphasis"/>
          <w:lang w:val="en-US"/>
        </w:rPr>
        <w:t>Middle Aged</w:t>
      </w:r>
      <w:r w:rsidRPr="000E73ED">
        <w:rPr>
          <w:lang w:val="en-US"/>
        </w:rPr>
        <w:t xml:space="preserve">) are abundant as expected, but a striking standout is the term </w:t>
      </w:r>
      <w:r w:rsidRPr="000E73ED">
        <w:rPr>
          <w:rStyle w:val="Emphasis"/>
          <w:lang w:val="en-US"/>
        </w:rPr>
        <w:t>Mitral Valve Prolapse</w:t>
      </w:r>
      <w:r w:rsidRPr="000E73ED">
        <w:rPr>
          <w:lang w:val="en-US"/>
        </w:rPr>
        <w:t xml:space="preserve">, which appears 465 </w:t>
      </w:r>
      <w:proofErr w:type="spellStart"/>
      <w:r w:rsidRPr="000E73ED">
        <w:rPr>
          <w:lang w:val="en-US"/>
        </w:rPr>
        <w:t>times</w:t>
      </w:r>
      <w:r w:rsidRPr="000E73ED">
        <w:rPr>
          <w:rStyle w:val="max-w-full"/>
          <w:lang w:val="en-US"/>
        </w:rPr>
        <w:t>file-eyukflgieijldoftsmzbim</w:t>
      </w:r>
      <w:proofErr w:type="spellEnd"/>
      <w:r w:rsidRPr="000E73ED">
        <w:rPr>
          <w:lang w:val="en-US"/>
        </w:rPr>
        <w:t xml:space="preserve"> – it is the single most frequent </w:t>
      </w:r>
      <w:proofErr w:type="spellStart"/>
      <w:r w:rsidRPr="000E73ED">
        <w:rPr>
          <w:lang w:val="en-US"/>
        </w:rPr>
        <w:t>MeSH</w:t>
      </w:r>
      <w:proofErr w:type="spellEnd"/>
      <w:r w:rsidRPr="000E73ED">
        <w:rPr>
          <w:lang w:val="en-US"/>
        </w:rPr>
        <w:t xml:space="preserve"> term after basic demographics. This indicates a concentrated research theme in MVP around valvular heart disease. Indeed, other cardiology-related </w:t>
      </w:r>
      <w:proofErr w:type="spellStart"/>
      <w:r w:rsidRPr="000E73ED">
        <w:rPr>
          <w:lang w:val="en-US"/>
        </w:rPr>
        <w:t>MeSH</w:t>
      </w:r>
      <w:proofErr w:type="spellEnd"/>
      <w:r w:rsidRPr="000E73ED">
        <w:rPr>
          <w:lang w:val="en-US"/>
        </w:rPr>
        <w:t xml:space="preserve"> terms such as </w:t>
      </w:r>
      <w:r w:rsidRPr="000E73ED">
        <w:rPr>
          <w:rStyle w:val="Emphasis"/>
          <w:lang w:val="en-US"/>
        </w:rPr>
        <w:t>Mitral Valve (disorders)</w:t>
      </w:r>
      <w:r w:rsidRPr="000E73ED">
        <w:rPr>
          <w:lang w:val="en-US"/>
        </w:rPr>
        <w:t xml:space="preserve"> and </w:t>
      </w:r>
      <w:r w:rsidRPr="000E73ED">
        <w:rPr>
          <w:rStyle w:val="Emphasis"/>
          <w:lang w:val="en-US"/>
        </w:rPr>
        <w:t>Echocardiography</w:t>
      </w:r>
      <w:r w:rsidRPr="000E73ED">
        <w:rPr>
          <w:lang w:val="en-US"/>
        </w:rPr>
        <w:t xml:space="preserve"> are also </w:t>
      </w:r>
      <w:proofErr w:type="spellStart"/>
      <w:r w:rsidRPr="000E73ED">
        <w:rPr>
          <w:lang w:val="en-US"/>
        </w:rPr>
        <w:t>frequent</w:t>
      </w:r>
      <w:r w:rsidRPr="000E73ED">
        <w:rPr>
          <w:rStyle w:val="max-w-full"/>
          <w:lang w:val="en-US"/>
        </w:rPr>
        <w:t>file-eyukflgieijldoftsmzbim</w:t>
      </w:r>
      <w:proofErr w:type="spellEnd"/>
      <w:r w:rsidRPr="000E73ED">
        <w:rPr>
          <w:lang w:val="en-US"/>
        </w:rPr>
        <w:t xml:space="preserve">. The presence of </w:t>
      </w:r>
      <w:r w:rsidRPr="000E73ED">
        <w:rPr>
          <w:rStyle w:val="Emphasis"/>
          <w:lang w:val="en-US"/>
        </w:rPr>
        <w:t>Veterans</w:t>
      </w:r>
      <w:r w:rsidRPr="000E73ED">
        <w:rPr>
          <w:lang w:val="en-US"/>
        </w:rPr>
        <w:t xml:space="preserve"> as a </w:t>
      </w:r>
      <w:proofErr w:type="spellStart"/>
      <w:r w:rsidRPr="000E73ED">
        <w:rPr>
          <w:lang w:val="en-US"/>
        </w:rPr>
        <w:t>MeSH</w:t>
      </w:r>
      <w:proofErr w:type="spellEnd"/>
      <w:r w:rsidRPr="000E73ED">
        <w:rPr>
          <w:lang w:val="en-US"/>
        </w:rPr>
        <w:t xml:space="preserve"> term (122 occurrences) further highlights the cohort-specific focus on veteran populations and their health </w:t>
      </w:r>
      <w:proofErr w:type="spellStart"/>
      <w:r w:rsidRPr="000E73ED">
        <w:rPr>
          <w:lang w:val="en-US"/>
        </w:rPr>
        <w:t>conditions</w:t>
      </w:r>
      <w:r w:rsidRPr="000E73ED">
        <w:rPr>
          <w:rStyle w:val="max-w-full"/>
          <w:lang w:val="en-US"/>
        </w:rPr>
        <w:t>file-eyukflgieijldoftsmzbim</w:t>
      </w:r>
      <w:proofErr w:type="spellEnd"/>
      <w:r w:rsidRPr="000E73ED">
        <w:rPr>
          <w:lang w:val="en-US"/>
        </w:rPr>
        <w:t xml:space="preserve">. The author keywords mirror these trends: </w:t>
      </w:r>
      <w:r w:rsidRPr="000E73ED">
        <w:rPr>
          <w:rStyle w:val="Emphasis"/>
          <w:lang w:val="en-US"/>
        </w:rPr>
        <w:t>Mitral valve prolapse</w:t>
      </w:r>
      <w:r w:rsidRPr="000E73ED">
        <w:rPr>
          <w:lang w:val="en-US"/>
        </w:rPr>
        <w:t xml:space="preserve"> is the top author keyword (298 occurrences), far exceeding any general </w:t>
      </w:r>
      <w:proofErr w:type="spellStart"/>
      <w:r w:rsidRPr="000E73ED">
        <w:rPr>
          <w:lang w:val="en-US"/>
        </w:rPr>
        <w:t>terms</w:t>
      </w:r>
      <w:r w:rsidRPr="000E73ED">
        <w:rPr>
          <w:rStyle w:val="max-w-full"/>
          <w:lang w:val="en-US"/>
        </w:rPr>
        <w:t>file-eyukflgieijldoftsmzbim</w:t>
      </w:r>
      <w:proofErr w:type="spellEnd"/>
      <w:r w:rsidRPr="000E73ED">
        <w:rPr>
          <w:lang w:val="en-US"/>
        </w:rPr>
        <w:t xml:space="preserve">. Several of the next most common keywords are related cardiovascular terms (e.g., </w:t>
      </w:r>
      <w:r w:rsidRPr="000E73ED">
        <w:rPr>
          <w:rStyle w:val="Emphasis"/>
          <w:lang w:val="en-US"/>
        </w:rPr>
        <w:t>Mitral Regurgitation</w:t>
      </w:r>
      <w:r w:rsidRPr="000E73ED">
        <w:rPr>
          <w:lang w:val="en-US"/>
        </w:rPr>
        <w:t xml:space="preserve">, </w:t>
      </w:r>
      <w:r w:rsidRPr="000E73ED">
        <w:rPr>
          <w:rStyle w:val="Emphasis"/>
          <w:lang w:val="en-US"/>
        </w:rPr>
        <w:t>Mitral Annular Disjunction</w:t>
      </w:r>
      <w:r w:rsidRPr="000E73ED">
        <w:rPr>
          <w:lang w:val="en-US"/>
        </w:rPr>
        <w:t xml:space="preserve">, </w:t>
      </w:r>
      <w:r w:rsidRPr="000E73ED">
        <w:rPr>
          <w:rStyle w:val="Emphasis"/>
          <w:lang w:val="en-US"/>
        </w:rPr>
        <w:t xml:space="preserve">Sudden Cardiac </w:t>
      </w:r>
      <w:proofErr w:type="gramStart"/>
      <w:r w:rsidRPr="000E73ED">
        <w:rPr>
          <w:rStyle w:val="Emphasis"/>
          <w:lang w:val="en-US"/>
        </w:rPr>
        <w:t>Death</w:t>
      </w:r>
      <w:r w:rsidRPr="000E73ED">
        <w:rPr>
          <w:lang w:val="en-US"/>
        </w:rPr>
        <w:t>)</w:t>
      </w:r>
      <w:r w:rsidRPr="000E73ED">
        <w:rPr>
          <w:rStyle w:val="max-w-full"/>
          <w:lang w:val="en-US"/>
        </w:rPr>
        <w:t>file</w:t>
      </w:r>
      <w:proofErr w:type="gramEnd"/>
      <w:r w:rsidRPr="000E73ED">
        <w:rPr>
          <w:rStyle w:val="max-w-full"/>
          <w:lang w:val="en-US"/>
        </w:rPr>
        <w:t>-6lefhkudcbhw8r2zb7e95k</w:t>
      </w:r>
      <w:r w:rsidRPr="000E73ED">
        <w:rPr>
          <w:lang w:val="en-US"/>
        </w:rPr>
        <w:t xml:space="preserve">, indicating that a significant subset of MVP publications revolves around a cardiovascular genetics study unique to this cohort. Aside from cardiology, other notable keywords include </w:t>
      </w:r>
      <w:r w:rsidRPr="000E73ED">
        <w:rPr>
          <w:rStyle w:val="Emphasis"/>
          <w:lang w:val="en-US"/>
        </w:rPr>
        <w:t>Physical activity</w:t>
      </w:r>
      <w:r w:rsidRPr="000E73ED">
        <w:rPr>
          <w:lang w:val="en-US"/>
        </w:rPr>
        <w:t xml:space="preserve"> and </w:t>
      </w:r>
      <w:r w:rsidRPr="000E73ED">
        <w:rPr>
          <w:rStyle w:val="Emphasis"/>
          <w:lang w:val="en-US"/>
        </w:rPr>
        <w:t>Atrial Fibrillation</w:t>
      </w:r>
      <w:r w:rsidRPr="000E73ED">
        <w:rPr>
          <w:lang w:val="en-US"/>
        </w:rPr>
        <w:t>, suggesting additional focuses on lifestyle and arrhythmia research in MVP</w:t>
      </w:r>
      <w:r w:rsidRPr="000E73ED">
        <w:rPr>
          <w:rStyle w:val="max-w-full"/>
          <w:lang w:val="en-US"/>
        </w:rPr>
        <w:t>file-eyukflgieijldoftsmzbimfile-6lefhkudcbhw8r2zb7e95k</w:t>
      </w:r>
      <w:r w:rsidRPr="000E73ED">
        <w:rPr>
          <w:lang w:val="en-US"/>
        </w:rPr>
        <w:t xml:space="preserve">. Traditional genomics keywords like </w:t>
      </w:r>
      <w:r w:rsidRPr="000E73ED">
        <w:rPr>
          <w:rStyle w:val="Emphasis"/>
          <w:lang w:val="en-US"/>
        </w:rPr>
        <w:t>GWAS</w:t>
      </w:r>
      <w:r w:rsidRPr="000E73ED">
        <w:rPr>
          <w:lang w:val="en-US"/>
        </w:rPr>
        <w:t xml:space="preserve"> and </w:t>
      </w:r>
      <w:r w:rsidRPr="000E73ED">
        <w:rPr>
          <w:rStyle w:val="Emphasis"/>
          <w:lang w:val="en-US"/>
        </w:rPr>
        <w:t>Mendelian randomization</w:t>
      </w:r>
      <w:r w:rsidRPr="000E73ED">
        <w:rPr>
          <w:lang w:val="en-US"/>
        </w:rPr>
        <w:t xml:space="preserve"> do appear in MVP’s literature, but at much lower frequencies (on the order of 30–40 occurrences)</w:t>
      </w:r>
      <w:r w:rsidRPr="000E73ED">
        <w:rPr>
          <w:rStyle w:val="max-w-full"/>
          <w:lang w:val="en-US"/>
        </w:rPr>
        <w:t>file-</w:t>
      </w:r>
      <w:proofErr w:type="spellStart"/>
      <w:r w:rsidRPr="000E73ED">
        <w:rPr>
          <w:rStyle w:val="max-w-full"/>
          <w:lang w:val="en-US"/>
        </w:rPr>
        <w:t>eyukflgieijldoftsmzbim</w:t>
      </w:r>
      <w:proofErr w:type="spellEnd"/>
      <w:r w:rsidRPr="000E73ED">
        <w:rPr>
          <w:lang w:val="en-US"/>
        </w:rPr>
        <w:t>, underscoring that MVP’s contributions are more disease-specific and clinically oriented.</w:t>
      </w:r>
    </w:p>
    <w:p w14:paraId="756197F7" w14:textId="77777777" w:rsidR="000E73ED" w:rsidRPr="000E73ED" w:rsidRDefault="000E73ED" w:rsidP="000E73ED">
      <w:pPr>
        <w:spacing w:before="100" w:beforeAutospacing="1" w:after="100" w:afterAutospacing="1"/>
        <w:rPr>
          <w:lang w:val="en-US"/>
        </w:rPr>
      </w:pPr>
      <w:r w:rsidRPr="000E73ED">
        <w:rPr>
          <w:lang w:val="en-US"/>
        </w:rPr>
        <w:t xml:space="preserve">The author and institution profile for MVP reflects a concentrated network largely within the United States. The top contributor, </w:t>
      </w:r>
      <w:proofErr w:type="spellStart"/>
      <w:r w:rsidRPr="000E73ED">
        <w:rPr>
          <w:lang w:val="en-US"/>
        </w:rPr>
        <w:t>Gaziano</w:t>
      </w:r>
      <w:proofErr w:type="spellEnd"/>
      <w:r w:rsidRPr="000E73ED">
        <w:rPr>
          <w:lang w:val="en-US"/>
        </w:rPr>
        <w:t xml:space="preserve"> J.M., has 113 publications – a figure that stands out in the MVP context and likely corresponds to a principal investigator of the </w:t>
      </w:r>
      <w:proofErr w:type="spellStart"/>
      <w:r w:rsidRPr="000E73ED">
        <w:rPr>
          <w:lang w:val="en-US"/>
        </w:rPr>
        <w:t>consortium</w:t>
      </w:r>
      <w:r w:rsidRPr="000E73ED">
        <w:rPr>
          <w:rStyle w:val="max-w-full"/>
          <w:lang w:val="en-US"/>
        </w:rPr>
        <w:t>file-eyukflgieijldoftsmzbim</w:t>
      </w:r>
      <w:proofErr w:type="spellEnd"/>
      <w:r w:rsidRPr="000E73ED">
        <w:rPr>
          <w:lang w:val="en-US"/>
        </w:rPr>
        <w:t xml:space="preserve">. The next most prolific authors (e.g., K. Cho with 87 publications, P.S. Tsao with 65) have substantially fewer outputs, indicating that </w:t>
      </w:r>
      <w:proofErr w:type="spellStart"/>
      <w:r w:rsidRPr="000E73ED">
        <w:rPr>
          <w:lang w:val="en-US"/>
        </w:rPr>
        <w:t>Gaziano’s</w:t>
      </w:r>
      <w:proofErr w:type="spellEnd"/>
      <w:r w:rsidRPr="000E73ED">
        <w:rPr>
          <w:lang w:val="en-US"/>
        </w:rPr>
        <w:t xml:space="preserve"> leadership role yields a high author count relative to </w:t>
      </w:r>
      <w:proofErr w:type="spellStart"/>
      <w:r w:rsidRPr="000E73ED">
        <w:rPr>
          <w:lang w:val="en-US"/>
        </w:rPr>
        <w:t>others</w:t>
      </w:r>
      <w:r w:rsidRPr="000E73ED">
        <w:rPr>
          <w:rStyle w:val="max-w-full"/>
          <w:lang w:val="en-US"/>
        </w:rPr>
        <w:t>file-eyukflgieijldoftsmzbim</w:t>
      </w:r>
      <w:proofErr w:type="spellEnd"/>
      <w:r w:rsidRPr="000E73ED">
        <w:rPr>
          <w:lang w:val="en-US"/>
        </w:rPr>
        <w:t xml:space="preserve">. This </w:t>
      </w:r>
      <w:r w:rsidRPr="000E73ED">
        <w:rPr>
          <w:lang w:val="en-US"/>
        </w:rPr>
        <w:lastRenderedPageBreak/>
        <w:t xml:space="preserve">pattern suggests a tighter core group of investigators driving MVP research. Leading institutional affiliations are primarily major U.S. Veterans Affairs and academic institutions. Massachusetts General Hospital and Vanderbilt University Medical Center tie for the top affiliation (each with 187 </w:t>
      </w:r>
      <w:proofErr w:type="gramStart"/>
      <w:r w:rsidRPr="000E73ED">
        <w:rPr>
          <w:lang w:val="en-US"/>
        </w:rPr>
        <w:t>publications)</w:t>
      </w:r>
      <w:r w:rsidRPr="000E73ED">
        <w:rPr>
          <w:rStyle w:val="max-w-full"/>
          <w:lang w:val="en-US"/>
        </w:rPr>
        <w:t>file</w:t>
      </w:r>
      <w:proofErr w:type="gramEnd"/>
      <w:r w:rsidRPr="000E73ED">
        <w:rPr>
          <w:rStyle w:val="max-w-full"/>
          <w:lang w:val="en-US"/>
        </w:rPr>
        <w:t>-</w:t>
      </w:r>
      <w:proofErr w:type="spellStart"/>
      <w:r w:rsidRPr="000E73ED">
        <w:rPr>
          <w:rStyle w:val="max-w-full"/>
          <w:lang w:val="en-US"/>
        </w:rPr>
        <w:t>eyukflgieijldoftsmzbim</w:t>
      </w:r>
      <w:proofErr w:type="spellEnd"/>
      <w:r w:rsidRPr="000E73ED">
        <w:rPr>
          <w:lang w:val="en-US"/>
        </w:rPr>
        <w:t>, reflecting collaborations between the VA system and academic hospitals. They are followed closely by Brigham and Women’s Hospital (184) and the University of California, San Diego (</w:t>
      </w:r>
      <w:proofErr w:type="gramStart"/>
      <w:r w:rsidRPr="000E73ED">
        <w:rPr>
          <w:lang w:val="en-US"/>
        </w:rPr>
        <w:t>175)</w:t>
      </w:r>
      <w:r w:rsidRPr="000E73ED">
        <w:rPr>
          <w:rStyle w:val="max-w-full"/>
          <w:lang w:val="en-US"/>
        </w:rPr>
        <w:t>file</w:t>
      </w:r>
      <w:proofErr w:type="gramEnd"/>
      <w:r w:rsidRPr="000E73ED">
        <w:rPr>
          <w:rStyle w:val="max-w-full"/>
          <w:lang w:val="en-US"/>
        </w:rPr>
        <w:t>-</w:t>
      </w:r>
      <w:proofErr w:type="spellStart"/>
      <w:r w:rsidRPr="000E73ED">
        <w:rPr>
          <w:rStyle w:val="max-w-full"/>
          <w:lang w:val="en-US"/>
        </w:rPr>
        <w:t>eyukflgieijldoftsmzbim</w:t>
      </w:r>
      <w:proofErr w:type="spellEnd"/>
      <w:r w:rsidRPr="000E73ED">
        <w:rPr>
          <w:lang w:val="en-US"/>
        </w:rPr>
        <w:t>. Other prominent institutions include Stanford University (152) and the University of Pennsylvania (</w:t>
      </w:r>
      <w:proofErr w:type="gramStart"/>
      <w:r w:rsidRPr="000E73ED">
        <w:rPr>
          <w:lang w:val="en-US"/>
        </w:rPr>
        <w:t>150)</w:t>
      </w:r>
      <w:r w:rsidRPr="000E73ED">
        <w:rPr>
          <w:rStyle w:val="max-w-full"/>
          <w:lang w:val="en-US"/>
        </w:rPr>
        <w:t>file</w:t>
      </w:r>
      <w:proofErr w:type="gramEnd"/>
      <w:r w:rsidRPr="000E73ED">
        <w:rPr>
          <w:rStyle w:val="max-w-full"/>
          <w:lang w:val="en-US"/>
        </w:rPr>
        <w:t>-</w:t>
      </w:r>
      <w:proofErr w:type="spellStart"/>
      <w:r w:rsidRPr="000E73ED">
        <w:rPr>
          <w:rStyle w:val="max-w-full"/>
          <w:lang w:val="en-US"/>
        </w:rPr>
        <w:t>eyukflgieijldoftsmzbim</w:t>
      </w:r>
      <w:proofErr w:type="spellEnd"/>
      <w:r w:rsidRPr="000E73ED">
        <w:rPr>
          <w:lang w:val="en-US"/>
        </w:rPr>
        <w:t xml:space="preserve">. Notably, a dedicated VA research center – the Massachusetts Veterans Epidemiology Research and Information Center (MAVERIC) – appears with 83 </w:t>
      </w:r>
      <w:proofErr w:type="spellStart"/>
      <w:r w:rsidRPr="000E73ED">
        <w:rPr>
          <w:lang w:val="en-US"/>
        </w:rPr>
        <w:t>publications</w:t>
      </w:r>
      <w:r w:rsidRPr="000E73ED">
        <w:rPr>
          <w:rStyle w:val="max-w-full"/>
          <w:lang w:val="en-US"/>
        </w:rPr>
        <w:t>file-eyukflgieijldoftsmzbim</w:t>
      </w:r>
      <w:proofErr w:type="spellEnd"/>
      <w:r w:rsidRPr="000E73ED">
        <w:rPr>
          <w:lang w:val="en-US"/>
        </w:rPr>
        <w:t>, underscoring the VA’s internal research contributions. These institutional data confirm that MVP research is a mostly U.S.-centered effort, with strong ties between the Veterans Affairs research infrastructure and leading universities.</w:t>
      </w:r>
    </w:p>
    <w:p w14:paraId="3C0FDF62" w14:textId="77777777" w:rsidR="000E73ED" w:rsidRPr="000E73ED" w:rsidRDefault="000E73ED" w:rsidP="000E73ED">
      <w:pPr>
        <w:spacing w:before="100" w:beforeAutospacing="1" w:after="100" w:afterAutospacing="1"/>
        <w:rPr>
          <w:lang w:val="en-US"/>
        </w:rPr>
      </w:pPr>
      <w:r w:rsidRPr="000E73ED">
        <w:rPr>
          <w:rStyle w:val="Strong"/>
          <w:rFonts w:eastAsiaTheme="majorEastAsia"/>
          <w:lang w:val="en-US"/>
        </w:rPr>
        <w:t>Estonian Biobank:</w:t>
      </w:r>
      <w:r w:rsidRPr="000E73ED">
        <w:rPr>
          <w:lang w:val="en-US"/>
        </w:rPr>
        <w:t xml:space="preserve"> The Estonian Biobank has the smallest publication output among the five, with just 96 papers </w:t>
      </w:r>
      <w:proofErr w:type="spellStart"/>
      <w:r w:rsidRPr="000E73ED">
        <w:rPr>
          <w:lang w:val="en-US"/>
        </w:rPr>
        <w:t>identified</w:t>
      </w:r>
      <w:r w:rsidRPr="000E73ED">
        <w:rPr>
          <w:rStyle w:val="max-w-full"/>
          <w:lang w:val="en-US"/>
        </w:rPr>
        <w:t>file-eyukflgieijldoftsmzbim</w:t>
      </w:r>
      <w:proofErr w:type="spellEnd"/>
      <w:r w:rsidRPr="000E73ED">
        <w:rPr>
          <w:lang w:val="en-US"/>
        </w:rPr>
        <w:t xml:space="preserve">. Given this limited corpus, the thematic profile is narrower but still informative. Top </w:t>
      </w:r>
      <w:proofErr w:type="spellStart"/>
      <w:r w:rsidRPr="000E73ED">
        <w:rPr>
          <w:lang w:val="en-US"/>
        </w:rPr>
        <w:t>MeSH</w:t>
      </w:r>
      <w:proofErr w:type="spellEnd"/>
      <w:r w:rsidRPr="000E73ED">
        <w:rPr>
          <w:lang w:val="en-US"/>
        </w:rPr>
        <w:t xml:space="preserve"> terms are similar to those of larger biobanks in basic demographics (</w:t>
      </w:r>
      <w:r w:rsidRPr="000E73ED">
        <w:rPr>
          <w:rStyle w:val="Emphasis"/>
          <w:lang w:val="en-US"/>
        </w:rPr>
        <w:t>Humans</w:t>
      </w:r>
      <w:r w:rsidRPr="000E73ED">
        <w:rPr>
          <w:lang w:val="en-US"/>
        </w:rPr>
        <w:t xml:space="preserve">, </w:t>
      </w:r>
      <w:r w:rsidRPr="000E73ED">
        <w:rPr>
          <w:rStyle w:val="Emphasis"/>
          <w:lang w:val="en-US"/>
        </w:rPr>
        <w:t>Female</w:t>
      </w:r>
      <w:r w:rsidRPr="000E73ED">
        <w:rPr>
          <w:lang w:val="en-US"/>
        </w:rPr>
        <w:t xml:space="preserve">, </w:t>
      </w:r>
      <w:r w:rsidRPr="000E73ED">
        <w:rPr>
          <w:rStyle w:val="Emphasis"/>
          <w:lang w:val="en-US"/>
        </w:rPr>
        <w:t>Male</w:t>
      </w:r>
      <w:r w:rsidRPr="000E73ED">
        <w:rPr>
          <w:lang w:val="en-US"/>
        </w:rPr>
        <w:t xml:space="preserve">) but also include the country-specific term </w:t>
      </w:r>
      <w:r w:rsidRPr="000E73ED">
        <w:rPr>
          <w:rStyle w:val="Emphasis"/>
          <w:lang w:val="en-US"/>
        </w:rPr>
        <w:t>Estonia</w:t>
      </w:r>
      <w:r w:rsidRPr="000E73ED">
        <w:rPr>
          <w:lang w:val="en-US"/>
        </w:rPr>
        <w:t xml:space="preserve"> (34 </w:t>
      </w:r>
      <w:proofErr w:type="gramStart"/>
      <w:r w:rsidRPr="000E73ED">
        <w:rPr>
          <w:lang w:val="en-US"/>
        </w:rPr>
        <w:t>occurrences)</w:t>
      </w:r>
      <w:r w:rsidRPr="000E73ED">
        <w:rPr>
          <w:rStyle w:val="max-w-full"/>
          <w:lang w:val="en-US"/>
        </w:rPr>
        <w:t>file</w:t>
      </w:r>
      <w:proofErr w:type="gramEnd"/>
      <w:r w:rsidRPr="000E73ED">
        <w:rPr>
          <w:rStyle w:val="max-w-full"/>
          <w:lang w:val="en-US"/>
        </w:rPr>
        <w:t>-</w:t>
      </w:r>
      <w:proofErr w:type="spellStart"/>
      <w:r w:rsidRPr="000E73ED">
        <w:rPr>
          <w:rStyle w:val="max-w-full"/>
          <w:lang w:val="en-US"/>
        </w:rPr>
        <w:t>eyukflgieijldoftsmzbim</w:t>
      </w:r>
      <w:proofErr w:type="spellEnd"/>
      <w:r w:rsidRPr="000E73ED">
        <w:rPr>
          <w:lang w:val="en-US"/>
        </w:rPr>
        <w:t xml:space="preserve">, highlighting that many publications explicitly discuss the Estonian cohort. Genetic research terms are prominent despite the small sample of papers: </w:t>
      </w:r>
      <w:r w:rsidRPr="000E73ED">
        <w:rPr>
          <w:rStyle w:val="Emphasis"/>
          <w:lang w:val="en-US"/>
        </w:rPr>
        <w:t>GWAS</w:t>
      </w:r>
      <w:r w:rsidRPr="000E73ED">
        <w:rPr>
          <w:lang w:val="en-US"/>
        </w:rPr>
        <w:t xml:space="preserve"> appears 33 times and </w:t>
      </w:r>
      <w:r w:rsidRPr="000E73ED">
        <w:rPr>
          <w:rStyle w:val="Emphasis"/>
          <w:lang w:val="en-US"/>
        </w:rPr>
        <w:t>Polymorphism, Single Nucleotide</w:t>
      </w:r>
      <w:r w:rsidRPr="000E73ED">
        <w:rPr>
          <w:lang w:val="en-US"/>
        </w:rPr>
        <w:t xml:space="preserve"> 23 </w:t>
      </w:r>
      <w:proofErr w:type="spellStart"/>
      <w:r w:rsidRPr="000E73ED">
        <w:rPr>
          <w:lang w:val="en-US"/>
        </w:rPr>
        <w:t>times</w:t>
      </w:r>
      <w:r w:rsidRPr="000E73ED">
        <w:rPr>
          <w:rStyle w:val="max-w-full"/>
          <w:lang w:val="en-US"/>
        </w:rPr>
        <w:t>file-eyukflgieijldoftsmzbim</w:t>
      </w:r>
      <w:proofErr w:type="spellEnd"/>
      <w:r w:rsidRPr="000E73ED">
        <w:rPr>
          <w:lang w:val="en-US"/>
        </w:rPr>
        <w:t xml:space="preserve">, indicating that genomic association studies are a key focus of the Estonian Biobank literature. Notably, </w:t>
      </w:r>
      <w:r w:rsidRPr="000E73ED">
        <w:rPr>
          <w:rStyle w:val="Emphasis"/>
          <w:lang w:val="en-US"/>
        </w:rPr>
        <w:t>Biological Specimen Banks</w:t>
      </w:r>
      <w:r w:rsidRPr="000E73ED">
        <w:rPr>
          <w:lang w:val="en-US"/>
        </w:rPr>
        <w:t xml:space="preserve"> is also among the </w:t>
      </w:r>
      <w:proofErr w:type="spellStart"/>
      <w:r w:rsidRPr="000E73ED">
        <w:rPr>
          <w:lang w:val="en-US"/>
        </w:rPr>
        <w:t>MeSH</w:t>
      </w:r>
      <w:proofErr w:type="spellEnd"/>
      <w:r w:rsidRPr="000E73ED">
        <w:rPr>
          <w:lang w:val="en-US"/>
        </w:rPr>
        <w:t xml:space="preserve"> terms, suggesting meta-level discussions of biobank methods or infrastructure. The author keywords reinforce a primarily genomics and biobank-oriented agenda. </w:t>
      </w:r>
      <w:r w:rsidRPr="000E73ED">
        <w:rPr>
          <w:rStyle w:val="Emphasis"/>
          <w:lang w:val="en-US"/>
        </w:rPr>
        <w:t>Biobank</w:t>
      </w:r>
      <w:r w:rsidRPr="000E73ED">
        <w:rPr>
          <w:lang w:val="en-US"/>
        </w:rPr>
        <w:t xml:space="preserve"> itself is the most common keyword (appearing in 14 </w:t>
      </w:r>
      <w:proofErr w:type="gramStart"/>
      <w:r w:rsidRPr="000E73ED">
        <w:rPr>
          <w:lang w:val="en-US"/>
        </w:rPr>
        <w:t>papers)</w:t>
      </w:r>
      <w:r w:rsidRPr="000E73ED">
        <w:rPr>
          <w:rStyle w:val="max-w-full"/>
          <w:lang w:val="en-US"/>
        </w:rPr>
        <w:t>file</w:t>
      </w:r>
      <w:proofErr w:type="gramEnd"/>
      <w:r w:rsidRPr="000E73ED">
        <w:rPr>
          <w:rStyle w:val="max-w-full"/>
          <w:lang w:val="en-US"/>
        </w:rPr>
        <w:t>-</w:t>
      </w:r>
      <w:proofErr w:type="spellStart"/>
      <w:r w:rsidRPr="000E73ED">
        <w:rPr>
          <w:rStyle w:val="max-w-full"/>
          <w:lang w:val="en-US"/>
        </w:rPr>
        <w:t>eyukflgieijldoftsmzbim</w:t>
      </w:r>
      <w:proofErr w:type="spellEnd"/>
      <w:r w:rsidRPr="000E73ED">
        <w:rPr>
          <w:lang w:val="en-US"/>
        </w:rPr>
        <w:t xml:space="preserve">, which is distinctive to the Estonian corpus, likely reflecting that many publications describe the biobank or its research framework. Other frequent keywords include </w:t>
      </w:r>
      <w:r w:rsidRPr="000E73ED">
        <w:rPr>
          <w:rStyle w:val="Emphasis"/>
          <w:lang w:val="en-US"/>
        </w:rPr>
        <w:t>GWAS</w:t>
      </w:r>
      <w:r w:rsidRPr="000E73ED">
        <w:rPr>
          <w:lang w:val="en-US"/>
        </w:rPr>
        <w:t xml:space="preserve">, </w:t>
      </w:r>
      <w:r w:rsidRPr="000E73ED">
        <w:rPr>
          <w:rStyle w:val="Emphasis"/>
          <w:lang w:val="en-US"/>
        </w:rPr>
        <w:t>Polygenic Risk Score (PRS)</w:t>
      </w:r>
      <w:r w:rsidRPr="000E73ED">
        <w:rPr>
          <w:lang w:val="en-US"/>
        </w:rPr>
        <w:t xml:space="preserve">, and </w:t>
      </w:r>
      <w:proofErr w:type="spellStart"/>
      <w:r w:rsidRPr="000E73ED">
        <w:rPr>
          <w:rStyle w:val="Emphasis"/>
          <w:lang w:val="en-US"/>
        </w:rPr>
        <w:t>Genetics</w:t>
      </w:r>
      <w:r w:rsidRPr="000E73ED">
        <w:rPr>
          <w:rStyle w:val="max-w-full"/>
          <w:lang w:val="en-US"/>
        </w:rPr>
        <w:t>file-eyukflgieijldoftsmzbim</w:t>
      </w:r>
      <w:proofErr w:type="spellEnd"/>
      <w:r w:rsidRPr="000E73ED">
        <w:rPr>
          <w:lang w:val="en-US"/>
        </w:rPr>
        <w:t xml:space="preserve">. A few disease or trait-specific keywords do appear (e.g., </w:t>
      </w:r>
      <w:r w:rsidRPr="000E73ED">
        <w:rPr>
          <w:rStyle w:val="Emphasis"/>
          <w:lang w:val="en-US"/>
        </w:rPr>
        <w:t>Metabolomics</w:t>
      </w:r>
      <w:r w:rsidRPr="000E73ED">
        <w:rPr>
          <w:lang w:val="en-US"/>
        </w:rPr>
        <w:t xml:space="preserve">, </w:t>
      </w:r>
      <w:r w:rsidRPr="000E73ED">
        <w:rPr>
          <w:rStyle w:val="Emphasis"/>
          <w:lang w:val="en-US"/>
        </w:rPr>
        <w:t>Breast Cancer</w:t>
      </w:r>
      <w:r w:rsidRPr="000E73ED">
        <w:rPr>
          <w:lang w:val="en-US"/>
        </w:rPr>
        <w:t xml:space="preserve">, </w:t>
      </w:r>
      <w:r w:rsidRPr="000E73ED">
        <w:rPr>
          <w:rStyle w:val="Emphasis"/>
          <w:lang w:val="en-US"/>
        </w:rPr>
        <w:t>Non-alcoholic Fatty Liver Disease</w:t>
      </w:r>
      <w:r w:rsidRPr="000E73ED">
        <w:rPr>
          <w:lang w:val="en-US"/>
        </w:rPr>
        <w:t xml:space="preserve">), but each only in a handful of </w:t>
      </w:r>
      <w:proofErr w:type="spellStart"/>
      <w:r w:rsidRPr="000E73ED">
        <w:rPr>
          <w:lang w:val="en-US"/>
        </w:rPr>
        <w:t>papers</w:t>
      </w:r>
      <w:r w:rsidRPr="000E73ED">
        <w:rPr>
          <w:rStyle w:val="max-w-full"/>
          <w:lang w:val="en-US"/>
        </w:rPr>
        <w:t>file-eyukflgieijldoftsmzbim</w:t>
      </w:r>
      <w:proofErr w:type="spellEnd"/>
      <w:r w:rsidRPr="000E73ED">
        <w:rPr>
          <w:lang w:val="en-US"/>
        </w:rPr>
        <w:t>, reflecting the early-stage or exploratory nature of many studies leveraging this biobank.</w:t>
      </w:r>
    </w:p>
    <w:p w14:paraId="47F987CB" w14:textId="77777777" w:rsidR="000E73ED" w:rsidRPr="000E73ED" w:rsidRDefault="000E73ED" w:rsidP="000E73ED">
      <w:pPr>
        <w:spacing w:before="100" w:beforeAutospacing="1" w:after="100" w:afterAutospacing="1"/>
        <w:rPr>
          <w:lang w:val="en-US"/>
        </w:rPr>
      </w:pPr>
      <w:r w:rsidRPr="000E73ED">
        <w:rPr>
          <w:lang w:val="en-US"/>
        </w:rPr>
        <w:t xml:space="preserve">The authorship of Estonian Biobank papers is concentrated among a core group of Estonian scientists. The top authors – R. </w:t>
      </w:r>
      <w:proofErr w:type="spellStart"/>
      <w:r w:rsidRPr="000E73ED">
        <w:rPr>
          <w:lang w:val="en-US"/>
        </w:rPr>
        <w:t>Mägi</w:t>
      </w:r>
      <w:proofErr w:type="spellEnd"/>
      <w:r w:rsidRPr="000E73ED">
        <w:rPr>
          <w:lang w:val="en-US"/>
        </w:rPr>
        <w:t xml:space="preserve"> (30 publications), T. Esko (26), A. </w:t>
      </w:r>
      <w:proofErr w:type="spellStart"/>
      <w:r w:rsidRPr="000E73ED">
        <w:rPr>
          <w:lang w:val="en-US"/>
        </w:rPr>
        <w:t>Metspalu</w:t>
      </w:r>
      <w:proofErr w:type="spellEnd"/>
      <w:r w:rsidRPr="000E73ED">
        <w:rPr>
          <w:lang w:val="en-US"/>
        </w:rPr>
        <w:t xml:space="preserve"> (24) – are all key figures in the Estonian genomics </w:t>
      </w:r>
      <w:proofErr w:type="spellStart"/>
      <w:r w:rsidRPr="000E73ED">
        <w:rPr>
          <w:lang w:val="en-US"/>
        </w:rPr>
        <w:t>community</w:t>
      </w:r>
      <w:r w:rsidRPr="000E73ED">
        <w:rPr>
          <w:rStyle w:val="max-w-full"/>
          <w:lang w:val="en-US"/>
        </w:rPr>
        <w:t>file-eyukflgieijldoftsmzbim</w:t>
      </w:r>
      <w:proofErr w:type="spellEnd"/>
      <w:r w:rsidRPr="000E73ED">
        <w:rPr>
          <w:lang w:val="en-US"/>
        </w:rPr>
        <w:t xml:space="preserve">, and together they account for a large share of the total publication count. This indicates that much of the output is driven by the biobank’s leadership team. Correspondingly, the leading institutions are almost entirely Estonia-based. The University of Tartu is by far the top affiliation, credited in 222 publications (many papers have multiple co-authors, hence the count exceeds the total number of </w:t>
      </w:r>
      <w:proofErr w:type="gramStart"/>
      <w:r w:rsidRPr="000E73ED">
        <w:rPr>
          <w:lang w:val="en-US"/>
        </w:rPr>
        <w:t>papers)</w:t>
      </w:r>
      <w:r w:rsidRPr="000E73ED">
        <w:rPr>
          <w:rStyle w:val="max-w-full"/>
          <w:lang w:val="en-US"/>
        </w:rPr>
        <w:t>file</w:t>
      </w:r>
      <w:proofErr w:type="gramEnd"/>
      <w:r w:rsidRPr="000E73ED">
        <w:rPr>
          <w:rStyle w:val="max-w-full"/>
          <w:lang w:val="en-US"/>
        </w:rPr>
        <w:t>-</w:t>
      </w:r>
      <w:proofErr w:type="spellStart"/>
      <w:r w:rsidRPr="000E73ED">
        <w:rPr>
          <w:rStyle w:val="max-w-full"/>
          <w:lang w:val="en-US"/>
        </w:rPr>
        <w:t>eyukflgieijldoftsmzbim</w:t>
      </w:r>
      <w:proofErr w:type="spellEnd"/>
      <w:r w:rsidRPr="000E73ED">
        <w:rPr>
          <w:lang w:val="en-US"/>
        </w:rPr>
        <w:t xml:space="preserve">. The associated National Institute for Genomics at Tartu and the Estonian Genome Center (and its variant naming, </w:t>
      </w:r>
      <w:r w:rsidRPr="000E73ED">
        <w:rPr>
          <w:rStyle w:val="Emphasis"/>
          <w:lang w:val="en-US"/>
        </w:rPr>
        <w:t>Estonian Genome Centre</w:t>
      </w:r>
      <w:r w:rsidRPr="000E73ED">
        <w:rPr>
          <w:lang w:val="en-US"/>
        </w:rPr>
        <w:t xml:space="preserve">) together contribute well over a hundred </w:t>
      </w:r>
      <w:proofErr w:type="spellStart"/>
      <w:r w:rsidRPr="000E73ED">
        <w:rPr>
          <w:lang w:val="en-US"/>
        </w:rPr>
        <w:t>attributions</w:t>
      </w:r>
      <w:r w:rsidRPr="000E73ED">
        <w:rPr>
          <w:rStyle w:val="max-w-full"/>
          <w:lang w:val="en-US"/>
        </w:rPr>
        <w:t>file-eyukflgieijldoftsmzbim</w:t>
      </w:r>
      <w:proofErr w:type="spellEnd"/>
      <w:r w:rsidRPr="000E73ED">
        <w:rPr>
          <w:lang w:val="en-US"/>
        </w:rPr>
        <w:t xml:space="preserve">. A few international collaborators are evident – for instance, the University of Helsinki appears with 42 publications, and the University of Oulu (Finland) and University of Lausanne (Switzerland) each with 20+ </w:t>
      </w:r>
      <w:proofErr w:type="spellStart"/>
      <w:r w:rsidRPr="000E73ED">
        <w:rPr>
          <w:lang w:val="en-US"/>
        </w:rPr>
        <w:t>attributions</w:t>
      </w:r>
      <w:r w:rsidRPr="000E73ED">
        <w:rPr>
          <w:rStyle w:val="max-w-full"/>
          <w:lang w:val="en-US"/>
        </w:rPr>
        <w:t>file-eyukflgieijldoftsmzbim</w:t>
      </w:r>
      <w:proofErr w:type="spellEnd"/>
      <w:r w:rsidRPr="000E73ED">
        <w:rPr>
          <w:lang w:val="en-US"/>
        </w:rPr>
        <w:t xml:space="preserve"> – pointing to regional and pan-European collaborations. Overall, however, the Estonian Biobank’s research network is the </w:t>
      </w:r>
      <w:r w:rsidRPr="000E73ED">
        <w:rPr>
          <w:lang w:val="en-US"/>
        </w:rPr>
        <w:lastRenderedPageBreak/>
        <w:t>most locally contained of the five initiatives, with a tight-knit group of authors and institutions.</w:t>
      </w:r>
    </w:p>
    <w:p w14:paraId="4ADB64BE" w14:textId="77777777" w:rsidR="000E73ED" w:rsidRPr="000E73ED" w:rsidRDefault="000E73ED" w:rsidP="000E73ED">
      <w:pPr>
        <w:pStyle w:val="Heading2"/>
        <w:rPr>
          <w:lang w:val="en-US"/>
        </w:rPr>
      </w:pPr>
      <w:r w:rsidRPr="000E73ED">
        <w:rPr>
          <w:lang w:val="en-US"/>
        </w:rPr>
        <w:t>Cross-Biobank Comparative Analysis</w:t>
      </w:r>
    </w:p>
    <w:p w14:paraId="5DB49960" w14:textId="77777777" w:rsidR="000E73ED" w:rsidRPr="000E73ED" w:rsidRDefault="000E73ED" w:rsidP="000E73ED">
      <w:pPr>
        <w:spacing w:before="100" w:beforeAutospacing="1" w:after="100" w:afterAutospacing="1"/>
        <w:rPr>
          <w:lang w:val="en-US"/>
        </w:rPr>
      </w:pPr>
      <w:r w:rsidRPr="000E73ED">
        <w:rPr>
          <w:rStyle w:val="Strong"/>
          <w:rFonts w:eastAsiaTheme="majorEastAsia"/>
          <w:lang w:val="en-US"/>
        </w:rPr>
        <w:t>Research Domain Emphasis:</w:t>
      </w:r>
      <w:r w:rsidRPr="000E73ED">
        <w:rPr>
          <w:lang w:val="en-US"/>
        </w:rPr>
        <w:t xml:space="preserve"> Despite all five initiatives leveraging electronic health records and genomic data, their literature exhibits different domain emphases across broad research categories. In UK Biobank, the largest share of keywords falls under genetics (over 3,200 keyword occurrences), but there is also a strong representation of epidemiology/public health (over 1,300 occurrences of epidemiology-related keywords) and a non-trivial share focused on clinical medicine and data </w:t>
      </w:r>
      <w:proofErr w:type="spellStart"/>
      <w:r w:rsidRPr="000E73ED">
        <w:rPr>
          <w:lang w:val="en-US"/>
        </w:rPr>
        <w:t>science</w:t>
      </w:r>
      <w:r w:rsidRPr="000E73ED">
        <w:rPr>
          <w:rStyle w:val="max-w-full"/>
          <w:lang w:val="en-US"/>
        </w:rPr>
        <w:t>file-tycgpbusfdwpqitfweyjbr</w:t>
      </w:r>
      <w:proofErr w:type="spellEnd"/>
      <w:r w:rsidRPr="000E73ED">
        <w:rPr>
          <w:lang w:val="en-US"/>
        </w:rPr>
        <w:t xml:space="preserve">. This aligns with UK Biobank’s all-purpose cohort usage, supporting both genetic discovery and epidemiologic studies. </w:t>
      </w:r>
      <w:proofErr w:type="spellStart"/>
      <w:r w:rsidRPr="000E73ED">
        <w:rPr>
          <w:lang w:val="en-US"/>
        </w:rPr>
        <w:t>FinnGen</w:t>
      </w:r>
      <w:proofErr w:type="spellEnd"/>
      <w:r w:rsidRPr="000E73ED">
        <w:rPr>
          <w:lang w:val="en-US"/>
        </w:rPr>
        <w:t xml:space="preserve">, by contrast, is overwhelmingly genetics-centric: roughly two-thirds of its keyword occurrences are genetics-related, with far fewer in clinical or epidemiological </w:t>
      </w:r>
      <w:proofErr w:type="spellStart"/>
      <w:r w:rsidRPr="000E73ED">
        <w:rPr>
          <w:lang w:val="en-US"/>
        </w:rPr>
        <w:t>domains</w:t>
      </w:r>
      <w:r w:rsidRPr="000E73ED">
        <w:rPr>
          <w:rStyle w:val="max-w-full"/>
          <w:lang w:val="en-US"/>
        </w:rPr>
        <w:t>file-tycgpbusfdwpqitfweyjbr</w:t>
      </w:r>
      <w:proofErr w:type="spellEnd"/>
      <w:r w:rsidRPr="000E73ED">
        <w:rPr>
          <w:lang w:val="en-US"/>
        </w:rPr>
        <w:t xml:space="preserve">. </w:t>
      </w:r>
      <w:proofErr w:type="spellStart"/>
      <w:r w:rsidRPr="000E73ED">
        <w:rPr>
          <w:lang w:val="en-US"/>
        </w:rPr>
        <w:t>FinnGen</w:t>
      </w:r>
      <w:proofErr w:type="spellEnd"/>
      <w:r w:rsidRPr="000E73ED">
        <w:rPr>
          <w:lang w:val="en-US"/>
        </w:rPr>
        <w:t xml:space="preserve"> also uniquely stands out for </w:t>
      </w:r>
      <w:r w:rsidRPr="000E73ED">
        <w:rPr>
          <w:rStyle w:val="Emphasis"/>
          <w:lang w:val="en-US"/>
        </w:rPr>
        <w:t>methodology</w:t>
      </w:r>
      <w:r w:rsidRPr="000E73ED">
        <w:rPr>
          <w:lang w:val="en-US"/>
        </w:rPr>
        <w:t xml:space="preserve">-oriented keywords (41 occurrences categorized as methodological, e.g. causal inference techniques), reflecting its outsized contribution to Mendelian randomization research, a theme less prevalent in the other </w:t>
      </w:r>
      <w:proofErr w:type="spellStart"/>
      <w:r w:rsidRPr="000E73ED">
        <w:rPr>
          <w:lang w:val="en-US"/>
        </w:rPr>
        <w:t>biobanks</w:t>
      </w:r>
      <w:r w:rsidRPr="000E73ED">
        <w:rPr>
          <w:rStyle w:val="max-w-full"/>
          <w:lang w:val="en-US"/>
        </w:rPr>
        <w:t>file-tycgpbusfdwpqitfweyjbr</w:t>
      </w:r>
      <w:proofErr w:type="spellEnd"/>
      <w:r w:rsidRPr="000E73ED">
        <w:rPr>
          <w:lang w:val="en-US"/>
        </w:rPr>
        <w:t xml:space="preserve">. The Million Veteran Program shows a different profile: the majority of its keywords fall into an “Other” </w:t>
      </w:r>
      <w:proofErr w:type="spellStart"/>
      <w:r w:rsidRPr="000E73ED">
        <w:rPr>
          <w:lang w:val="en-US"/>
        </w:rPr>
        <w:t>category</w:t>
      </w:r>
      <w:r w:rsidRPr="000E73ED">
        <w:rPr>
          <w:rStyle w:val="max-w-full"/>
          <w:lang w:val="en-US"/>
        </w:rPr>
        <w:t>file-tycgpbusfdwpqitfweyjbr</w:t>
      </w:r>
      <w:proofErr w:type="spellEnd"/>
      <w:r w:rsidRPr="000E73ED">
        <w:rPr>
          <w:lang w:val="en-US"/>
        </w:rPr>
        <w:t xml:space="preserve">, which largely corresponds to disease-specific research foci (especially cardiovascular conditions). MVP has comparatively low representation of pure genetics keywords (only 109 occurrences) and modest counts in epidemiology or data science </w:t>
      </w:r>
      <w:proofErr w:type="spellStart"/>
      <w:r w:rsidRPr="000E73ED">
        <w:rPr>
          <w:lang w:val="en-US"/>
        </w:rPr>
        <w:t>categories</w:t>
      </w:r>
      <w:r w:rsidRPr="000E73ED">
        <w:rPr>
          <w:rStyle w:val="max-w-full"/>
          <w:lang w:val="en-US"/>
        </w:rPr>
        <w:t>file-tycgpbusfdwpqitfweyjbr</w:t>
      </w:r>
      <w:proofErr w:type="spellEnd"/>
      <w:r w:rsidRPr="000E73ED">
        <w:rPr>
          <w:lang w:val="en-US"/>
        </w:rPr>
        <w:t xml:space="preserve">, indicating that its publications are skewed toward clinical findings in the veteran population rather than broad genomic studies. The All of Us Research Program exhibits a balance between clinical and “other” public health topics – its publications contribute substantially to clinical/application-oriented keywords (e.g., in precision medicine and healthcare delivery) and also include a dedicated </w:t>
      </w:r>
      <w:r w:rsidRPr="000E73ED">
        <w:rPr>
          <w:rStyle w:val="Emphasis"/>
          <w:lang w:val="en-US"/>
        </w:rPr>
        <w:t>Diversity &amp; Equity</w:t>
      </w:r>
      <w:r w:rsidRPr="000E73ED">
        <w:rPr>
          <w:lang w:val="en-US"/>
        </w:rPr>
        <w:t xml:space="preserve"> category that is essentially unique to All of Us (14 keyword occurrences vs. ~0 in other </w:t>
      </w:r>
      <w:proofErr w:type="gramStart"/>
      <w:r w:rsidRPr="000E73ED">
        <w:rPr>
          <w:lang w:val="en-US"/>
        </w:rPr>
        <w:t>biobanks)</w:t>
      </w:r>
      <w:r w:rsidRPr="000E73ED">
        <w:rPr>
          <w:rStyle w:val="max-w-full"/>
          <w:lang w:val="en-US"/>
        </w:rPr>
        <w:t>file</w:t>
      </w:r>
      <w:proofErr w:type="gramEnd"/>
      <w:r w:rsidRPr="000E73ED">
        <w:rPr>
          <w:rStyle w:val="max-w-full"/>
          <w:lang w:val="en-US"/>
        </w:rPr>
        <w:t>-</w:t>
      </w:r>
      <w:proofErr w:type="spellStart"/>
      <w:r w:rsidRPr="000E73ED">
        <w:rPr>
          <w:rStyle w:val="max-w-full"/>
          <w:lang w:val="en-US"/>
        </w:rPr>
        <w:t>tycgpbusfdwpqitfweyjbr</w:t>
      </w:r>
      <w:proofErr w:type="spellEnd"/>
      <w:r w:rsidRPr="000E73ED">
        <w:rPr>
          <w:lang w:val="en-US"/>
        </w:rPr>
        <w:t xml:space="preserve">. This reflects All of </w:t>
      </w:r>
      <w:proofErr w:type="spellStart"/>
      <w:r w:rsidRPr="000E73ED">
        <w:rPr>
          <w:lang w:val="en-US"/>
        </w:rPr>
        <w:t>Us’s</w:t>
      </w:r>
      <w:proofErr w:type="spellEnd"/>
      <w:r w:rsidRPr="000E73ED">
        <w:rPr>
          <w:lang w:val="en-US"/>
        </w:rPr>
        <w:t xml:space="preserve"> mission to address health disparities and inclusivity. Meanwhile, traditional genetics keywords are relatively underrepresented in All of Us (only 29 occurrences, a small fraction of its </w:t>
      </w:r>
      <w:proofErr w:type="gramStart"/>
      <w:r w:rsidRPr="000E73ED">
        <w:rPr>
          <w:lang w:val="en-US"/>
        </w:rPr>
        <w:t>total)</w:t>
      </w:r>
      <w:r w:rsidRPr="000E73ED">
        <w:rPr>
          <w:rStyle w:val="max-w-full"/>
          <w:lang w:val="en-US"/>
        </w:rPr>
        <w:t>file</w:t>
      </w:r>
      <w:proofErr w:type="gramEnd"/>
      <w:r w:rsidRPr="000E73ED">
        <w:rPr>
          <w:rStyle w:val="max-w-full"/>
          <w:lang w:val="en-US"/>
        </w:rPr>
        <w:t>-</w:t>
      </w:r>
      <w:proofErr w:type="spellStart"/>
      <w:r w:rsidRPr="000E73ED">
        <w:rPr>
          <w:rStyle w:val="max-w-full"/>
          <w:lang w:val="en-US"/>
        </w:rPr>
        <w:t>tycgpbusfdwpqitfweyjbr</w:t>
      </w:r>
      <w:proofErr w:type="spellEnd"/>
      <w:r w:rsidRPr="000E73ED">
        <w:rPr>
          <w:lang w:val="en-US"/>
        </w:rPr>
        <w:t xml:space="preserve">, showing that genomics has not yet been as dominant a theme in All of Us as in UKB or </w:t>
      </w:r>
      <w:proofErr w:type="spellStart"/>
      <w:r w:rsidRPr="000E73ED">
        <w:rPr>
          <w:lang w:val="en-US"/>
        </w:rPr>
        <w:t>FinnGen</w:t>
      </w:r>
      <w:proofErr w:type="spellEnd"/>
      <w:r w:rsidRPr="000E73ED">
        <w:rPr>
          <w:lang w:val="en-US"/>
        </w:rPr>
        <w:t xml:space="preserve">. The Estonian Biobank, in line with its small size, contributes a high proportion of genetics-focused work (44 genetics-related keywords out of the limited set) and very little in other </w:t>
      </w:r>
      <w:proofErr w:type="spellStart"/>
      <w:r w:rsidRPr="000E73ED">
        <w:rPr>
          <w:lang w:val="en-US"/>
        </w:rPr>
        <w:t>domains</w:t>
      </w:r>
      <w:r w:rsidRPr="000E73ED">
        <w:rPr>
          <w:rStyle w:val="max-w-full"/>
          <w:lang w:val="en-US"/>
        </w:rPr>
        <w:t>file-tycgpbusfdwpqitfweyjbr</w:t>
      </w:r>
      <w:proofErr w:type="spellEnd"/>
      <w:r w:rsidRPr="000E73ED">
        <w:rPr>
          <w:lang w:val="en-US"/>
        </w:rPr>
        <w:t xml:space="preserve">. In sum, UK Biobank and </w:t>
      </w:r>
      <w:proofErr w:type="spellStart"/>
      <w:r w:rsidRPr="000E73ED">
        <w:rPr>
          <w:lang w:val="en-US"/>
        </w:rPr>
        <w:t>FinnGen</w:t>
      </w:r>
      <w:proofErr w:type="spellEnd"/>
      <w:r w:rsidRPr="000E73ED">
        <w:rPr>
          <w:lang w:val="en-US"/>
        </w:rPr>
        <w:t xml:space="preserve"> serve as the primary engines of EHR-linked genomic research (with heavy emphasis on genetics and epidemiology), MVP is oriented toward targeted clinical research (notably cardiometabolic diseases in veterans), All of Us bridges clinical research with an emphasis on diversity and EHR data utility, and Estonian Biobank remains niche and genetics-focused.</w:t>
      </w:r>
    </w:p>
    <w:p w14:paraId="746CD53C" w14:textId="77777777" w:rsidR="000E73ED" w:rsidRPr="000E73ED" w:rsidRDefault="000E73ED" w:rsidP="000E73ED">
      <w:pPr>
        <w:spacing w:before="100" w:beforeAutospacing="1" w:after="100" w:afterAutospacing="1"/>
        <w:rPr>
          <w:lang w:val="en-US"/>
        </w:rPr>
      </w:pPr>
      <w:r w:rsidRPr="000E73ED">
        <w:rPr>
          <w:rStyle w:val="Strong"/>
          <w:rFonts w:eastAsiaTheme="majorEastAsia"/>
          <w:lang w:val="en-US"/>
        </w:rPr>
        <w:t>Distinctive Research Themes:</w:t>
      </w:r>
      <w:r w:rsidRPr="000E73ED">
        <w:rPr>
          <w:lang w:val="en-US"/>
        </w:rPr>
        <w:t xml:space="preserve"> Each biobank also demonstrates distinctive research themes when comparing their keyword profiles relative to one another. Using a keyword distinctiveness metric (which flags terms over-represented in one biobank vs others), we identified clear thematic differentiators. The All of Us program, for instance, shows a uniquely strong association with precision medicine and health equity topics – keywords such as </w:t>
      </w:r>
      <w:r w:rsidRPr="000E73ED">
        <w:rPr>
          <w:rStyle w:val="Emphasis"/>
          <w:lang w:val="en-US"/>
        </w:rPr>
        <w:t>“Precision Medicine”</w:t>
      </w:r>
      <w:r w:rsidRPr="000E73ED">
        <w:rPr>
          <w:lang w:val="en-US"/>
        </w:rPr>
        <w:t xml:space="preserve">, </w:t>
      </w:r>
      <w:r w:rsidRPr="000E73ED">
        <w:rPr>
          <w:rStyle w:val="Emphasis"/>
          <w:lang w:val="en-US"/>
        </w:rPr>
        <w:t>“Social Determinants of Health”</w:t>
      </w:r>
      <w:r w:rsidRPr="000E73ED">
        <w:rPr>
          <w:lang w:val="en-US"/>
        </w:rPr>
        <w:t xml:space="preserve">, </w:t>
      </w:r>
      <w:r w:rsidRPr="000E73ED">
        <w:rPr>
          <w:rStyle w:val="Emphasis"/>
          <w:lang w:val="en-US"/>
        </w:rPr>
        <w:t>“Health Disparities”</w:t>
      </w:r>
      <w:r w:rsidRPr="000E73ED">
        <w:rPr>
          <w:lang w:val="en-US"/>
        </w:rPr>
        <w:t xml:space="preserve">, and </w:t>
      </w:r>
      <w:r w:rsidRPr="000E73ED">
        <w:rPr>
          <w:rStyle w:val="Emphasis"/>
          <w:lang w:val="en-US"/>
        </w:rPr>
        <w:t>“Diversity”</w:t>
      </w:r>
      <w:r w:rsidRPr="000E73ED">
        <w:rPr>
          <w:lang w:val="en-US"/>
        </w:rPr>
        <w:t xml:space="preserve"> are almost exclusively found in the All of Us literature</w:t>
      </w:r>
      <w:r w:rsidRPr="000E73ED">
        <w:rPr>
          <w:rStyle w:val="max-w-full"/>
          <w:lang w:val="en-US"/>
        </w:rPr>
        <w:t>file-6lefhkudcbhw8r2zb7e95k</w:t>
      </w:r>
      <w:r w:rsidRPr="000E73ED">
        <w:rPr>
          <w:lang w:val="en-US"/>
        </w:rPr>
        <w:t xml:space="preserve"> and </w:t>
      </w:r>
      <w:r w:rsidRPr="000E73ED">
        <w:rPr>
          <w:lang w:val="en-US"/>
        </w:rPr>
        <w:lastRenderedPageBreak/>
        <w:t xml:space="preserve">barely appear in the other biobanks. This confirms All of </w:t>
      </w:r>
      <w:proofErr w:type="spellStart"/>
      <w:r w:rsidRPr="000E73ED">
        <w:rPr>
          <w:lang w:val="en-US"/>
        </w:rPr>
        <w:t>Us’s</w:t>
      </w:r>
      <w:proofErr w:type="spellEnd"/>
      <w:r w:rsidRPr="000E73ED">
        <w:rPr>
          <w:lang w:val="en-US"/>
        </w:rPr>
        <w:t xml:space="preserve"> unique positioning in addressing diversity and personalized medicine. The Million Veteran Program is distinctly characterized by cardiology-related themes: </w:t>
      </w:r>
      <w:r w:rsidRPr="000E73ED">
        <w:rPr>
          <w:rStyle w:val="Emphasis"/>
          <w:lang w:val="en-US"/>
        </w:rPr>
        <w:t>“Mitral Valve Prolapse”</w:t>
      </w:r>
      <w:r w:rsidRPr="000E73ED">
        <w:rPr>
          <w:lang w:val="en-US"/>
        </w:rPr>
        <w:t xml:space="preserve"> (and related terms like </w:t>
      </w:r>
      <w:r w:rsidRPr="000E73ED">
        <w:rPr>
          <w:rStyle w:val="Emphasis"/>
          <w:lang w:val="en-US"/>
        </w:rPr>
        <w:t>mitral regurgitation</w:t>
      </w:r>
      <w:r w:rsidRPr="000E73ED">
        <w:rPr>
          <w:lang w:val="en-US"/>
        </w:rPr>
        <w:t xml:space="preserve"> and </w:t>
      </w:r>
      <w:r w:rsidRPr="000E73ED">
        <w:rPr>
          <w:rStyle w:val="Emphasis"/>
          <w:lang w:val="en-US"/>
        </w:rPr>
        <w:t>mitral annular disjunction)</w:t>
      </w:r>
      <w:r w:rsidRPr="000E73ED">
        <w:rPr>
          <w:lang w:val="en-US"/>
        </w:rPr>
        <w:t xml:space="preserve">, along with </w:t>
      </w:r>
      <w:r w:rsidRPr="000E73ED">
        <w:rPr>
          <w:rStyle w:val="Emphasis"/>
          <w:lang w:val="en-US"/>
        </w:rPr>
        <w:t>“Echocardiography”</w:t>
      </w:r>
      <w:r w:rsidRPr="000E73ED">
        <w:rPr>
          <w:lang w:val="en-US"/>
        </w:rPr>
        <w:t xml:space="preserve"> and </w:t>
      </w:r>
      <w:r w:rsidRPr="000E73ED">
        <w:rPr>
          <w:rStyle w:val="Emphasis"/>
          <w:lang w:val="en-US"/>
        </w:rPr>
        <w:t>“Sudden Cardiac Death”</w:t>
      </w:r>
      <w:r w:rsidRPr="000E73ED">
        <w:rPr>
          <w:lang w:val="en-US"/>
        </w:rPr>
        <w:t>, rank among the most distinctive keywords for MVP</w:t>
      </w:r>
      <w:r w:rsidRPr="000E73ED">
        <w:rPr>
          <w:rStyle w:val="max-w-full"/>
          <w:lang w:val="en-US"/>
        </w:rPr>
        <w:t>file-6lefhkudcbhw8r2zb7e95k</w:t>
      </w:r>
      <w:r w:rsidRPr="000E73ED">
        <w:rPr>
          <w:lang w:val="en-US"/>
        </w:rPr>
        <w:t xml:space="preserve">. These terms are essentially absent in the other biobank corpora, indicating a specialized cluster of MVP studies in cardiovascular genomics and imaging that is not a focus elsewhere. </w:t>
      </w:r>
      <w:proofErr w:type="spellStart"/>
      <w:r w:rsidRPr="000E73ED">
        <w:rPr>
          <w:lang w:val="en-US"/>
        </w:rPr>
        <w:t>FinnGen’s</w:t>
      </w:r>
      <w:proofErr w:type="spellEnd"/>
      <w:r w:rsidRPr="000E73ED">
        <w:rPr>
          <w:lang w:val="en-US"/>
        </w:rPr>
        <w:t xml:space="preserve"> distinctive keywords highlight its contributions to genetic studies of specific conditions and traits – for example, </w:t>
      </w:r>
      <w:r w:rsidRPr="000E73ED">
        <w:rPr>
          <w:rStyle w:val="Emphasis"/>
          <w:lang w:val="en-US"/>
        </w:rPr>
        <w:t>“Gut Microbiota”</w:t>
      </w:r>
      <w:r w:rsidRPr="000E73ED">
        <w:rPr>
          <w:lang w:val="en-US"/>
        </w:rPr>
        <w:t xml:space="preserve"> and </w:t>
      </w:r>
      <w:r w:rsidRPr="000E73ED">
        <w:rPr>
          <w:rStyle w:val="Emphasis"/>
          <w:lang w:val="en-US"/>
        </w:rPr>
        <w:t>“Inflammatory Bowel Disease”</w:t>
      </w:r>
      <w:r w:rsidRPr="000E73ED">
        <w:rPr>
          <w:lang w:val="en-US"/>
        </w:rPr>
        <w:t xml:space="preserve"> emerge as highly distinctive in </w:t>
      </w:r>
      <w:proofErr w:type="spellStart"/>
      <w:r w:rsidRPr="000E73ED">
        <w:rPr>
          <w:lang w:val="en-US"/>
        </w:rPr>
        <w:t>FinnGen</w:t>
      </w:r>
      <w:proofErr w:type="spellEnd"/>
      <w:r w:rsidRPr="000E73ED">
        <w:rPr>
          <w:lang w:val="en-US"/>
        </w:rPr>
        <w:t xml:space="preserve"> publications</w:t>
      </w:r>
      <w:r w:rsidRPr="000E73ED">
        <w:rPr>
          <w:rStyle w:val="max-w-full"/>
          <w:lang w:val="en-US"/>
        </w:rPr>
        <w:t>file-6lefhkudcbhw8r2zb7e95k</w:t>
      </w:r>
      <w:r w:rsidRPr="000E73ED">
        <w:rPr>
          <w:lang w:val="en-US"/>
        </w:rPr>
        <w:t xml:space="preserve">, reflecting a concerted research interest in the genetic basis of microbiome-related conditions in that cohort. Likewise, </w:t>
      </w:r>
      <w:proofErr w:type="spellStart"/>
      <w:r w:rsidRPr="000E73ED">
        <w:rPr>
          <w:lang w:val="en-US"/>
        </w:rPr>
        <w:t>FinnGen</w:t>
      </w:r>
      <w:proofErr w:type="spellEnd"/>
      <w:r w:rsidRPr="000E73ED">
        <w:rPr>
          <w:lang w:val="en-US"/>
        </w:rPr>
        <w:t xml:space="preserve"> shows disproportionate focus on certain chronic diseases (</w:t>
      </w:r>
      <w:r w:rsidRPr="000E73ED">
        <w:rPr>
          <w:rStyle w:val="Emphasis"/>
          <w:lang w:val="en-US"/>
        </w:rPr>
        <w:t>Rheumatoid Arthritis</w:t>
      </w:r>
      <w:r w:rsidRPr="000E73ED">
        <w:rPr>
          <w:lang w:val="en-US"/>
        </w:rPr>
        <w:t xml:space="preserve">, </w:t>
      </w:r>
      <w:r w:rsidRPr="000E73ED">
        <w:rPr>
          <w:rStyle w:val="Emphasis"/>
          <w:lang w:val="en-US"/>
        </w:rPr>
        <w:t>Ulcerative Colitis</w:t>
      </w:r>
      <w:r w:rsidRPr="000E73ED">
        <w:rPr>
          <w:lang w:val="en-US"/>
        </w:rPr>
        <w:t xml:space="preserve">, </w:t>
      </w:r>
      <w:r w:rsidRPr="000E73ED">
        <w:rPr>
          <w:rStyle w:val="Emphasis"/>
          <w:lang w:val="en-US"/>
        </w:rPr>
        <w:t>Asthma</w:t>
      </w:r>
      <w:r w:rsidRPr="000E73ED">
        <w:rPr>
          <w:lang w:val="en-US"/>
        </w:rPr>
        <w:t xml:space="preserve">, </w:t>
      </w:r>
      <w:r w:rsidRPr="000E73ED">
        <w:rPr>
          <w:rStyle w:val="Emphasis"/>
          <w:lang w:val="en-US"/>
        </w:rPr>
        <w:t>Alzheimer’s Disease</w:t>
      </w:r>
      <w:r w:rsidRPr="000E73ED">
        <w:rPr>
          <w:lang w:val="en-US"/>
        </w:rPr>
        <w:t xml:space="preserve">) in the context of genetic </w:t>
      </w:r>
      <w:proofErr w:type="spellStart"/>
      <w:r w:rsidRPr="000E73ED">
        <w:rPr>
          <w:lang w:val="en-US"/>
        </w:rPr>
        <w:t>analyses</w:t>
      </w:r>
      <w:r w:rsidRPr="000E73ED">
        <w:rPr>
          <w:rStyle w:val="max-w-full"/>
          <w:lang w:val="en-US"/>
        </w:rPr>
        <w:t>file-eyukflgieijldoftsmzbim</w:t>
      </w:r>
      <w:proofErr w:type="spellEnd"/>
      <w:r w:rsidRPr="000E73ED">
        <w:rPr>
          <w:lang w:val="en-US"/>
        </w:rPr>
        <w:t xml:space="preserve">, marking those disease-genomics intersections as a </w:t>
      </w:r>
      <w:proofErr w:type="spellStart"/>
      <w:r w:rsidRPr="000E73ED">
        <w:rPr>
          <w:lang w:val="en-US"/>
        </w:rPr>
        <w:t>FinnGen</w:t>
      </w:r>
      <w:proofErr w:type="spellEnd"/>
      <w:r w:rsidRPr="000E73ED">
        <w:rPr>
          <w:lang w:val="en-US"/>
        </w:rPr>
        <w:t xml:space="preserve"> specialty compared to the other biobanks. The UK Biobank, with its broad scope, has fewer extreme outliers, but it does uniquely lead in some areas: for instance, </w:t>
      </w:r>
      <w:r w:rsidRPr="000E73ED">
        <w:rPr>
          <w:rStyle w:val="Emphasis"/>
          <w:lang w:val="en-US"/>
        </w:rPr>
        <w:t>“Dementia”</w:t>
      </w:r>
      <w:r w:rsidRPr="000E73ED">
        <w:rPr>
          <w:lang w:val="en-US"/>
        </w:rPr>
        <w:t xml:space="preserve"> and </w:t>
      </w:r>
      <w:r w:rsidRPr="000E73ED">
        <w:rPr>
          <w:rStyle w:val="Emphasis"/>
          <w:lang w:val="en-US"/>
        </w:rPr>
        <w:t>“Air Pollution”</w:t>
      </w:r>
      <w:r w:rsidRPr="000E73ED">
        <w:rPr>
          <w:lang w:val="en-US"/>
        </w:rPr>
        <w:t xml:space="preserve"> appear far more frequently as keywords in UKB studies than in others, underscoring UKB’s role in large-scale neurodegenerative disease research and environmental health studies (likely owing to its rich phenotypic data and size enabling such analyses). Additionally, the keyword </w:t>
      </w:r>
      <w:r w:rsidRPr="000E73ED">
        <w:rPr>
          <w:rStyle w:val="Emphasis"/>
          <w:lang w:val="en-US"/>
        </w:rPr>
        <w:t>“Cohort study”</w:t>
      </w:r>
      <w:r w:rsidRPr="000E73ED">
        <w:rPr>
          <w:lang w:val="en-US"/>
        </w:rPr>
        <w:t xml:space="preserve"> is distinctly common in UKB – unsurprising given that many UK Biobank papers describe cohort-wide findings or methodological papers on cohort design. The Estonian Biobank’s small corpus yields fewer unique keywords; however, the term </w:t>
      </w:r>
      <w:r w:rsidRPr="000E73ED">
        <w:rPr>
          <w:rStyle w:val="Emphasis"/>
          <w:lang w:val="en-US"/>
        </w:rPr>
        <w:t>“Biobank”</w:t>
      </w:r>
      <w:r w:rsidRPr="000E73ED">
        <w:rPr>
          <w:lang w:val="en-US"/>
        </w:rPr>
        <w:t xml:space="preserve"> itself is disproportionately frequent in Estonian publications</w:t>
      </w:r>
      <w:r w:rsidRPr="000E73ED">
        <w:rPr>
          <w:rStyle w:val="max-w-full"/>
          <w:lang w:val="en-US"/>
        </w:rPr>
        <w:t>file-6lefhkudcbhw8r2zb7e95k</w:t>
      </w:r>
      <w:r w:rsidRPr="000E73ED">
        <w:rPr>
          <w:lang w:val="en-US"/>
        </w:rPr>
        <w:t xml:space="preserve">, suggesting that a notable portion of its papers are about the biobank resource or perspectives on biobanking (a theme less pronounced in the larger cohorts, where the resource is already well-known). These distinctive keyword patterns map out how each biobank has carved out particular niches in the scientific landscape, whether by design (e.g. All of </w:t>
      </w:r>
      <w:proofErr w:type="spellStart"/>
      <w:r w:rsidRPr="000E73ED">
        <w:rPr>
          <w:lang w:val="en-US"/>
        </w:rPr>
        <w:t>Us’s</w:t>
      </w:r>
      <w:proofErr w:type="spellEnd"/>
      <w:r w:rsidRPr="000E73ED">
        <w:rPr>
          <w:lang w:val="en-US"/>
        </w:rPr>
        <w:t xml:space="preserve"> emphasis on diversity) or by the interests of the research communities using them (e.g. MVP’s cardiovascular focus, </w:t>
      </w:r>
      <w:proofErr w:type="spellStart"/>
      <w:r w:rsidRPr="000E73ED">
        <w:rPr>
          <w:lang w:val="en-US"/>
        </w:rPr>
        <w:t>FinnGen’s</w:t>
      </w:r>
      <w:proofErr w:type="spellEnd"/>
      <w:r w:rsidRPr="000E73ED">
        <w:rPr>
          <w:lang w:val="en-US"/>
        </w:rPr>
        <w:t xml:space="preserve"> disease genetics, UKB’s broad epidemiology).</w:t>
      </w:r>
    </w:p>
    <w:p w14:paraId="0E3D4514" w14:textId="77777777" w:rsidR="000E73ED" w:rsidRPr="000E73ED" w:rsidRDefault="000E73ED" w:rsidP="000E73ED">
      <w:pPr>
        <w:spacing w:before="100" w:beforeAutospacing="1" w:after="100" w:afterAutospacing="1"/>
        <w:rPr>
          <w:lang w:val="en-US"/>
        </w:rPr>
      </w:pPr>
      <w:r w:rsidRPr="000E73ED">
        <w:rPr>
          <w:rStyle w:val="Strong"/>
          <w:rFonts w:eastAsiaTheme="majorEastAsia"/>
          <w:lang w:val="en-US"/>
        </w:rPr>
        <w:t>Cross-Initiative Author Collaboration:</w:t>
      </w:r>
      <w:r w:rsidRPr="000E73ED">
        <w:rPr>
          <w:lang w:val="en-US"/>
        </w:rPr>
        <w:t xml:space="preserve"> Despite the overlapping scientific goals of these biobank initiatives, the author communities involved in each are largely distinct, with relatively limited cross-initiative collaboration at the individual researcher level. We found only a small set of prolific authors who have published across multiple biobank datasets. Notably, a few investigators were active in three of the five initiatives, primarily bridging UK Biobank and </w:t>
      </w:r>
      <w:proofErr w:type="spellStart"/>
      <w:r w:rsidRPr="000E73ED">
        <w:rPr>
          <w:lang w:val="en-US"/>
        </w:rPr>
        <w:t>FinnGen</w:t>
      </w:r>
      <w:proofErr w:type="spellEnd"/>
      <w:r w:rsidRPr="000E73ED">
        <w:rPr>
          <w:lang w:val="en-US"/>
        </w:rPr>
        <w:t xml:space="preserve"> with either MVP or All of Us. For example, one author (identified as Wang X.) co-authored 15 All of Us papers, 90 </w:t>
      </w:r>
      <w:proofErr w:type="spellStart"/>
      <w:r w:rsidRPr="000E73ED">
        <w:rPr>
          <w:lang w:val="en-US"/>
        </w:rPr>
        <w:t>FinnGen</w:t>
      </w:r>
      <w:proofErr w:type="spellEnd"/>
      <w:r w:rsidRPr="000E73ED">
        <w:rPr>
          <w:lang w:val="en-US"/>
        </w:rPr>
        <w:t xml:space="preserve"> papers, and 321 UK Biobank papers</w:t>
      </w:r>
      <w:r w:rsidRPr="000E73ED">
        <w:rPr>
          <w:rStyle w:val="max-w-full"/>
          <w:lang w:val="en-US"/>
        </w:rPr>
        <w:t>file-b9hmafoglisnrnc7xlbpek</w:t>
      </w:r>
      <w:r w:rsidRPr="000E73ED">
        <w:rPr>
          <w:lang w:val="en-US"/>
        </w:rPr>
        <w:t xml:space="preserve"> – illustrating that some high-profile analysts leverage multiple biobank resources. Similarly, other top contributors to </w:t>
      </w:r>
      <w:proofErr w:type="spellStart"/>
      <w:r w:rsidRPr="000E73ED">
        <w:rPr>
          <w:lang w:val="en-US"/>
        </w:rPr>
        <w:t>FinnGen</w:t>
      </w:r>
      <w:proofErr w:type="spellEnd"/>
      <w:r w:rsidRPr="000E73ED">
        <w:rPr>
          <w:lang w:val="en-US"/>
        </w:rPr>
        <w:t xml:space="preserve"> (with common surnames like </w:t>
      </w:r>
      <w:r w:rsidRPr="000E73ED">
        <w:rPr>
          <w:rStyle w:val="Emphasis"/>
          <w:lang w:val="en-US"/>
        </w:rPr>
        <w:t>Wang</w:t>
      </w:r>
      <w:r w:rsidRPr="000E73ED">
        <w:rPr>
          <w:lang w:val="en-US"/>
        </w:rPr>
        <w:t xml:space="preserve">, </w:t>
      </w:r>
      <w:r w:rsidRPr="000E73ED">
        <w:rPr>
          <w:rStyle w:val="Emphasis"/>
          <w:lang w:val="en-US"/>
        </w:rPr>
        <w:t>Li</w:t>
      </w:r>
      <w:r w:rsidRPr="000E73ED">
        <w:rPr>
          <w:lang w:val="en-US"/>
        </w:rPr>
        <w:t xml:space="preserve">, </w:t>
      </w:r>
      <w:r w:rsidRPr="000E73ED">
        <w:rPr>
          <w:rStyle w:val="Emphasis"/>
          <w:lang w:val="en-US"/>
        </w:rPr>
        <w:t>Zhang</w:t>
      </w:r>
      <w:r w:rsidRPr="000E73ED">
        <w:rPr>
          <w:lang w:val="en-US"/>
        </w:rPr>
        <w:t>) also appear among the prolific authors in UK Biobank publications</w:t>
      </w:r>
      <w:r w:rsidRPr="000E73ED">
        <w:rPr>
          <w:rStyle w:val="max-w-full"/>
          <w:lang w:val="en-US"/>
        </w:rPr>
        <w:t>file-b9hmafoglisnrnc7xlbpek</w:t>
      </w:r>
      <w:r w:rsidRPr="000E73ED">
        <w:rPr>
          <w:lang w:val="en-US"/>
        </w:rPr>
        <w:t xml:space="preserve">, reflecting the presence of large consortia or analysis groups working across these datasets. By contrast, cross-over with the Estonian Biobank is minimal; its authorship team is almost entirely unique to that project. In summary, while there is a web of collaborations connecting especially UK Biobank and </w:t>
      </w:r>
      <w:proofErr w:type="spellStart"/>
      <w:r w:rsidRPr="000E73ED">
        <w:rPr>
          <w:lang w:val="en-US"/>
        </w:rPr>
        <w:t>FinnGen</w:t>
      </w:r>
      <w:proofErr w:type="spellEnd"/>
      <w:r w:rsidRPr="000E73ED">
        <w:rPr>
          <w:lang w:val="en-US"/>
        </w:rPr>
        <w:t xml:space="preserve"> (and to a lesser extent MVP and All of Us), the overall author network is not completely unified. Each biobank sustains its own primary circle of investigators, and only a handful of experts act as bridges by </w:t>
      </w:r>
      <w:r w:rsidRPr="000E73ED">
        <w:rPr>
          <w:lang w:val="en-US"/>
        </w:rPr>
        <w:lastRenderedPageBreak/>
        <w:t>contributing to multiple biobank-driven studies</w:t>
      </w:r>
      <w:r w:rsidRPr="000E73ED">
        <w:rPr>
          <w:rStyle w:val="max-w-full"/>
          <w:lang w:val="en-US"/>
        </w:rPr>
        <w:t>file-b9hmafoglisnrnc7xlbpek</w:t>
      </w:r>
      <w:r w:rsidRPr="000E73ED">
        <w:rPr>
          <w:lang w:val="en-US"/>
        </w:rPr>
        <w:t>. This suggests that, in practice, the global EHR-linked biobank research landscape is segmented by initiative, with collaborative integration occurring through a few key individuals and consortia rather than a broad merging of all researcher groups.</w:t>
      </w:r>
    </w:p>
    <w:p w14:paraId="7C28A7E9" w14:textId="77777777" w:rsidR="0038510A" w:rsidRPr="000E73ED" w:rsidRDefault="0038510A" w:rsidP="00CE080B">
      <w:pPr>
        <w:rPr>
          <w:lang w:val="en-US"/>
        </w:rPr>
      </w:pPr>
    </w:p>
    <w:sectPr w:rsidR="0038510A" w:rsidRPr="000E73ED" w:rsidSect="002A197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52259"/>
    <w:multiLevelType w:val="multilevel"/>
    <w:tmpl w:val="B3B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629F"/>
    <w:multiLevelType w:val="multilevel"/>
    <w:tmpl w:val="5BE03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C3438"/>
    <w:multiLevelType w:val="multilevel"/>
    <w:tmpl w:val="248C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21D7E"/>
    <w:multiLevelType w:val="multilevel"/>
    <w:tmpl w:val="5726A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35083"/>
    <w:multiLevelType w:val="hybridMultilevel"/>
    <w:tmpl w:val="CF3A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C12E5"/>
    <w:multiLevelType w:val="multilevel"/>
    <w:tmpl w:val="43D0E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F1CB4"/>
    <w:multiLevelType w:val="multilevel"/>
    <w:tmpl w:val="C0A0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51039"/>
    <w:multiLevelType w:val="multilevel"/>
    <w:tmpl w:val="FA80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E4A91"/>
    <w:multiLevelType w:val="multilevel"/>
    <w:tmpl w:val="3F9005B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2D3F2D"/>
    <w:multiLevelType w:val="hybridMultilevel"/>
    <w:tmpl w:val="E3967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BC23FD"/>
    <w:multiLevelType w:val="multilevel"/>
    <w:tmpl w:val="B34E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907A5A"/>
    <w:multiLevelType w:val="multilevel"/>
    <w:tmpl w:val="3F9005B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C4C39"/>
    <w:multiLevelType w:val="multilevel"/>
    <w:tmpl w:val="DA0EF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555DB"/>
    <w:multiLevelType w:val="multilevel"/>
    <w:tmpl w:val="FFA4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342305"/>
    <w:multiLevelType w:val="multilevel"/>
    <w:tmpl w:val="3944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050AA3"/>
    <w:multiLevelType w:val="hybridMultilevel"/>
    <w:tmpl w:val="95AEC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CA6BFB"/>
    <w:multiLevelType w:val="multilevel"/>
    <w:tmpl w:val="3F9005BC"/>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AB79EA"/>
    <w:multiLevelType w:val="multilevel"/>
    <w:tmpl w:val="B4E41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B25E24"/>
    <w:multiLevelType w:val="multilevel"/>
    <w:tmpl w:val="B172F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FB6AAA"/>
    <w:multiLevelType w:val="multilevel"/>
    <w:tmpl w:val="6FFC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096350"/>
    <w:multiLevelType w:val="multilevel"/>
    <w:tmpl w:val="7E74C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240A39"/>
    <w:multiLevelType w:val="multilevel"/>
    <w:tmpl w:val="D3C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6734D"/>
    <w:multiLevelType w:val="hybridMultilevel"/>
    <w:tmpl w:val="20D27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74097E"/>
    <w:multiLevelType w:val="multilevel"/>
    <w:tmpl w:val="8A98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3"/>
  </w:num>
  <w:num w:numId="4">
    <w:abstractNumId w:val="19"/>
  </w:num>
  <w:num w:numId="5">
    <w:abstractNumId w:val="12"/>
  </w:num>
  <w:num w:numId="6">
    <w:abstractNumId w:val="21"/>
  </w:num>
  <w:num w:numId="7">
    <w:abstractNumId w:val="18"/>
  </w:num>
  <w:num w:numId="8">
    <w:abstractNumId w:val="17"/>
  </w:num>
  <w:num w:numId="9">
    <w:abstractNumId w:val="13"/>
  </w:num>
  <w:num w:numId="10">
    <w:abstractNumId w:val="23"/>
  </w:num>
  <w:num w:numId="11">
    <w:abstractNumId w:val="4"/>
  </w:num>
  <w:num w:numId="12">
    <w:abstractNumId w:val="22"/>
  </w:num>
  <w:num w:numId="13">
    <w:abstractNumId w:val="11"/>
  </w:num>
  <w:num w:numId="14">
    <w:abstractNumId w:val="8"/>
  </w:num>
  <w:num w:numId="15">
    <w:abstractNumId w:val="6"/>
  </w:num>
  <w:num w:numId="16">
    <w:abstractNumId w:val="0"/>
  </w:num>
  <w:num w:numId="17">
    <w:abstractNumId w:val="14"/>
  </w:num>
  <w:num w:numId="18">
    <w:abstractNumId w:val="20"/>
  </w:num>
  <w:num w:numId="19">
    <w:abstractNumId w:val="16"/>
  </w:num>
  <w:num w:numId="20">
    <w:abstractNumId w:val="15"/>
  </w:num>
  <w:num w:numId="21">
    <w:abstractNumId w:val="1"/>
  </w:num>
  <w:num w:numId="22">
    <w:abstractNumId w:val="5"/>
  </w:num>
  <w:num w:numId="23">
    <w:abstractNumId w:val="10"/>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46A"/>
    <w:rsid w:val="000C0333"/>
    <w:rsid w:val="000E73ED"/>
    <w:rsid w:val="002A197B"/>
    <w:rsid w:val="0038510A"/>
    <w:rsid w:val="004130CE"/>
    <w:rsid w:val="00424C6E"/>
    <w:rsid w:val="004911BF"/>
    <w:rsid w:val="004D1815"/>
    <w:rsid w:val="00514316"/>
    <w:rsid w:val="00526DB6"/>
    <w:rsid w:val="007766CA"/>
    <w:rsid w:val="0083280A"/>
    <w:rsid w:val="008742FA"/>
    <w:rsid w:val="009C046A"/>
    <w:rsid w:val="00AE6110"/>
    <w:rsid w:val="00B72A55"/>
    <w:rsid w:val="00CE080B"/>
    <w:rsid w:val="00DC4991"/>
    <w:rsid w:val="00DD74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8445567"/>
  <w15:chartTrackingRefBased/>
  <w15:docId w15:val="{33B8E620-9FEC-1945-A1B3-81F6DFE4E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42FA"/>
    <w:pPr>
      <w:jc w:val="both"/>
    </w:pPr>
    <w:rPr>
      <w:rFonts w:eastAsia="Times New Roman" w:cs="Times New Roman"/>
    </w:rPr>
  </w:style>
  <w:style w:type="paragraph" w:styleId="Heading1">
    <w:name w:val="heading 1"/>
    <w:basedOn w:val="Normal"/>
    <w:next w:val="Normal"/>
    <w:link w:val="Heading1Char"/>
    <w:uiPriority w:val="9"/>
    <w:qFormat/>
    <w:rsid w:val="004911BF"/>
    <w:pPr>
      <w:keepNext/>
      <w:keepLines/>
      <w:spacing w:before="240"/>
      <w:outlineLvl w:val="0"/>
    </w:pPr>
    <w:rPr>
      <w:rFonts w:asciiTheme="majorHAnsi" w:eastAsiaTheme="majorEastAsia" w:hAnsiTheme="majorHAnsi" w:cstheme="majorBidi"/>
      <w:b/>
      <w:sz w:val="36"/>
      <w:szCs w:val="32"/>
    </w:rPr>
  </w:style>
  <w:style w:type="paragraph" w:styleId="Heading2">
    <w:name w:val="heading 2"/>
    <w:basedOn w:val="Normal"/>
    <w:link w:val="Heading2Char"/>
    <w:uiPriority w:val="9"/>
    <w:qFormat/>
    <w:rsid w:val="00CE080B"/>
    <w:pPr>
      <w:spacing w:before="100" w:beforeAutospacing="1" w:after="100" w:afterAutospacing="1"/>
      <w:outlineLvl w:val="1"/>
    </w:pPr>
    <w:rPr>
      <w:rFonts w:asciiTheme="majorHAnsi" w:hAnsiTheme="majorHAnsi"/>
      <w:b/>
      <w:bCs/>
      <w:sz w:val="28"/>
      <w:szCs w:val="36"/>
    </w:rPr>
  </w:style>
  <w:style w:type="paragraph" w:styleId="Heading3">
    <w:name w:val="heading 3"/>
    <w:basedOn w:val="Normal"/>
    <w:link w:val="Heading3Char"/>
    <w:uiPriority w:val="9"/>
    <w:qFormat/>
    <w:rsid w:val="00CE080B"/>
    <w:pPr>
      <w:spacing w:before="100" w:beforeAutospacing="1" w:after="100" w:afterAutospacing="1"/>
      <w:outlineLvl w:val="2"/>
    </w:pPr>
    <w:rPr>
      <w:rFonts w:asciiTheme="majorHAnsi" w:hAnsiTheme="majorHAnsi"/>
      <w:b/>
      <w:bCs/>
      <w:szCs w:val="27"/>
    </w:rPr>
  </w:style>
  <w:style w:type="paragraph" w:styleId="Heading4">
    <w:name w:val="heading 4"/>
    <w:basedOn w:val="Normal"/>
    <w:link w:val="Heading4Char"/>
    <w:uiPriority w:val="9"/>
    <w:qFormat/>
    <w:rsid w:val="0038510A"/>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8510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10A"/>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
    <w:rsid w:val="004911BF"/>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rsid w:val="00CE080B"/>
    <w:rPr>
      <w:rFonts w:asciiTheme="majorHAnsi" w:eastAsia="Times New Roman" w:hAnsiTheme="majorHAnsi" w:cs="Times New Roman"/>
      <w:b/>
      <w:bCs/>
      <w:sz w:val="28"/>
      <w:szCs w:val="36"/>
    </w:rPr>
  </w:style>
  <w:style w:type="character" w:customStyle="1" w:styleId="Heading3Char">
    <w:name w:val="Heading 3 Char"/>
    <w:basedOn w:val="DefaultParagraphFont"/>
    <w:link w:val="Heading3"/>
    <w:uiPriority w:val="9"/>
    <w:rsid w:val="00CE080B"/>
    <w:rPr>
      <w:rFonts w:asciiTheme="majorHAnsi" w:eastAsia="Times New Roman" w:hAnsiTheme="majorHAnsi" w:cs="Times New Roman"/>
      <w:b/>
      <w:bCs/>
      <w:szCs w:val="27"/>
    </w:rPr>
  </w:style>
  <w:style w:type="character" w:customStyle="1" w:styleId="Heading4Char">
    <w:name w:val="Heading 4 Char"/>
    <w:basedOn w:val="DefaultParagraphFont"/>
    <w:link w:val="Heading4"/>
    <w:uiPriority w:val="9"/>
    <w:rsid w:val="0038510A"/>
    <w:rPr>
      <w:rFonts w:ascii="Times New Roman" w:eastAsia="Times New Roman" w:hAnsi="Times New Roman" w:cs="Times New Roman"/>
      <w:b/>
      <w:bCs/>
    </w:rPr>
  </w:style>
  <w:style w:type="character" w:styleId="Emphasis">
    <w:name w:val="Emphasis"/>
    <w:basedOn w:val="DefaultParagraphFont"/>
    <w:uiPriority w:val="20"/>
    <w:qFormat/>
    <w:rsid w:val="0038510A"/>
    <w:rPr>
      <w:i/>
      <w:iCs/>
    </w:rPr>
  </w:style>
  <w:style w:type="paragraph" w:styleId="NormalWeb">
    <w:name w:val="Normal (Web)"/>
    <w:basedOn w:val="Normal"/>
    <w:uiPriority w:val="99"/>
    <w:unhideWhenUsed/>
    <w:rsid w:val="004911BF"/>
    <w:pPr>
      <w:spacing w:before="100" w:beforeAutospacing="1" w:after="100" w:afterAutospacing="1"/>
    </w:pPr>
    <w:rPr>
      <w:rFonts w:ascii="Times New Roman" w:hAnsi="Times New Roman"/>
    </w:rPr>
  </w:style>
  <w:style w:type="character" w:styleId="Strong">
    <w:name w:val="Strong"/>
    <w:basedOn w:val="DefaultParagraphFont"/>
    <w:uiPriority w:val="22"/>
    <w:qFormat/>
    <w:rsid w:val="004911BF"/>
    <w:rPr>
      <w:b/>
      <w:bCs/>
    </w:rPr>
  </w:style>
  <w:style w:type="paragraph" w:styleId="ListParagraph">
    <w:name w:val="List Paragraph"/>
    <w:basedOn w:val="Normal"/>
    <w:uiPriority w:val="34"/>
    <w:qFormat/>
    <w:rsid w:val="008742FA"/>
    <w:pPr>
      <w:ind w:left="720"/>
      <w:contextualSpacing/>
    </w:pPr>
  </w:style>
  <w:style w:type="paragraph" w:customStyle="1" w:styleId="whitespace-pre-wrap">
    <w:name w:val="whitespace-pre-wrap"/>
    <w:basedOn w:val="Normal"/>
    <w:rsid w:val="00B72A55"/>
    <w:pPr>
      <w:spacing w:before="100" w:beforeAutospacing="1" w:after="100" w:afterAutospacing="1"/>
      <w:jc w:val="left"/>
    </w:pPr>
    <w:rPr>
      <w:rFonts w:ascii="Times New Roman" w:hAnsi="Times New Roman"/>
    </w:rPr>
  </w:style>
  <w:style w:type="paragraph" w:customStyle="1" w:styleId="whitespace-normal">
    <w:name w:val="whitespace-normal"/>
    <w:basedOn w:val="Normal"/>
    <w:rsid w:val="00B72A55"/>
    <w:pPr>
      <w:spacing w:before="100" w:beforeAutospacing="1" w:after="100" w:afterAutospacing="1"/>
      <w:jc w:val="left"/>
    </w:pPr>
    <w:rPr>
      <w:rFonts w:ascii="Times New Roman" w:hAnsi="Times New Roman"/>
    </w:rPr>
  </w:style>
  <w:style w:type="character" w:customStyle="1" w:styleId="max-w-full">
    <w:name w:val="max-w-full"/>
    <w:basedOn w:val="DefaultParagraphFont"/>
    <w:rsid w:val="000E7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576723">
      <w:bodyDiv w:val="1"/>
      <w:marLeft w:val="0"/>
      <w:marRight w:val="0"/>
      <w:marTop w:val="0"/>
      <w:marBottom w:val="0"/>
      <w:divBdr>
        <w:top w:val="none" w:sz="0" w:space="0" w:color="auto"/>
        <w:left w:val="none" w:sz="0" w:space="0" w:color="auto"/>
        <w:bottom w:val="none" w:sz="0" w:space="0" w:color="auto"/>
        <w:right w:val="none" w:sz="0" w:space="0" w:color="auto"/>
      </w:divBdr>
    </w:div>
    <w:div w:id="937060740">
      <w:bodyDiv w:val="1"/>
      <w:marLeft w:val="0"/>
      <w:marRight w:val="0"/>
      <w:marTop w:val="0"/>
      <w:marBottom w:val="0"/>
      <w:divBdr>
        <w:top w:val="none" w:sz="0" w:space="0" w:color="auto"/>
        <w:left w:val="none" w:sz="0" w:space="0" w:color="auto"/>
        <w:bottom w:val="none" w:sz="0" w:space="0" w:color="auto"/>
        <w:right w:val="none" w:sz="0" w:space="0" w:color="auto"/>
      </w:divBdr>
    </w:div>
    <w:div w:id="939068703">
      <w:bodyDiv w:val="1"/>
      <w:marLeft w:val="0"/>
      <w:marRight w:val="0"/>
      <w:marTop w:val="0"/>
      <w:marBottom w:val="0"/>
      <w:divBdr>
        <w:top w:val="none" w:sz="0" w:space="0" w:color="auto"/>
        <w:left w:val="none" w:sz="0" w:space="0" w:color="auto"/>
        <w:bottom w:val="none" w:sz="0" w:space="0" w:color="auto"/>
        <w:right w:val="none" w:sz="0" w:space="0" w:color="auto"/>
      </w:divBdr>
    </w:div>
    <w:div w:id="1123156429">
      <w:bodyDiv w:val="1"/>
      <w:marLeft w:val="0"/>
      <w:marRight w:val="0"/>
      <w:marTop w:val="0"/>
      <w:marBottom w:val="0"/>
      <w:divBdr>
        <w:top w:val="none" w:sz="0" w:space="0" w:color="auto"/>
        <w:left w:val="none" w:sz="0" w:space="0" w:color="auto"/>
        <w:bottom w:val="none" w:sz="0" w:space="0" w:color="auto"/>
        <w:right w:val="none" w:sz="0" w:space="0" w:color="auto"/>
      </w:divBdr>
    </w:div>
    <w:div w:id="1383820437">
      <w:bodyDiv w:val="1"/>
      <w:marLeft w:val="0"/>
      <w:marRight w:val="0"/>
      <w:marTop w:val="0"/>
      <w:marBottom w:val="0"/>
      <w:divBdr>
        <w:top w:val="none" w:sz="0" w:space="0" w:color="auto"/>
        <w:left w:val="none" w:sz="0" w:space="0" w:color="auto"/>
        <w:bottom w:val="none" w:sz="0" w:space="0" w:color="auto"/>
        <w:right w:val="none" w:sz="0" w:space="0" w:color="auto"/>
      </w:divBdr>
    </w:div>
    <w:div w:id="1549416028">
      <w:bodyDiv w:val="1"/>
      <w:marLeft w:val="0"/>
      <w:marRight w:val="0"/>
      <w:marTop w:val="0"/>
      <w:marBottom w:val="0"/>
      <w:divBdr>
        <w:top w:val="none" w:sz="0" w:space="0" w:color="auto"/>
        <w:left w:val="none" w:sz="0" w:space="0" w:color="auto"/>
        <w:bottom w:val="none" w:sz="0" w:space="0" w:color="auto"/>
        <w:right w:val="none" w:sz="0" w:space="0" w:color="auto"/>
      </w:divBdr>
    </w:div>
    <w:div w:id="1652825083">
      <w:bodyDiv w:val="1"/>
      <w:marLeft w:val="0"/>
      <w:marRight w:val="0"/>
      <w:marTop w:val="0"/>
      <w:marBottom w:val="0"/>
      <w:divBdr>
        <w:top w:val="none" w:sz="0" w:space="0" w:color="auto"/>
        <w:left w:val="none" w:sz="0" w:space="0" w:color="auto"/>
        <w:bottom w:val="none" w:sz="0" w:space="0" w:color="auto"/>
        <w:right w:val="none" w:sz="0" w:space="0" w:color="auto"/>
      </w:divBdr>
    </w:div>
    <w:div w:id="1739016234">
      <w:bodyDiv w:val="1"/>
      <w:marLeft w:val="0"/>
      <w:marRight w:val="0"/>
      <w:marTop w:val="0"/>
      <w:marBottom w:val="0"/>
      <w:divBdr>
        <w:top w:val="none" w:sz="0" w:space="0" w:color="auto"/>
        <w:left w:val="none" w:sz="0" w:space="0" w:color="auto"/>
        <w:bottom w:val="none" w:sz="0" w:space="0" w:color="auto"/>
        <w:right w:val="none" w:sz="0" w:space="0" w:color="auto"/>
      </w:divBdr>
    </w:div>
    <w:div w:id="1881742240">
      <w:bodyDiv w:val="1"/>
      <w:marLeft w:val="0"/>
      <w:marRight w:val="0"/>
      <w:marTop w:val="0"/>
      <w:marBottom w:val="0"/>
      <w:divBdr>
        <w:top w:val="none" w:sz="0" w:space="0" w:color="auto"/>
        <w:left w:val="none" w:sz="0" w:space="0" w:color="auto"/>
        <w:bottom w:val="none" w:sz="0" w:space="0" w:color="auto"/>
        <w:right w:val="none" w:sz="0" w:space="0" w:color="auto"/>
      </w:divBdr>
    </w:div>
    <w:div w:id="188443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4167</Words>
  <Characters>23758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2025-05-06T07:04:00Z</dcterms:created>
  <dcterms:modified xsi:type="dcterms:W3CDTF">2025-05-06T07:57:00Z</dcterms:modified>
</cp:coreProperties>
</file>