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A3B75" w14:textId="77777777" w:rsidR="00AE5DA4" w:rsidRDefault="00AE5DA4">
      <w:pPr>
        <w:spacing w:after="400"/>
      </w:pPr>
    </w:p>
    <w:p w14:paraId="3197D743" w14:textId="77777777" w:rsidR="00AE5DA4" w:rsidRDefault="00000000">
      <w:pPr>
        <w:spacing w:after="100"/>
        <w:jc w:val="center"/>
      </w:pPr>
      <w:r>
        <w:rPr>
          <w:rFonts w:ascii="Arial" w:eastAsia="Arial" w:hAnsi="Arial" w:cs="Arial"/>
          <w:color w:val="666666"/>
          <w:sz w:val="22"/>
          <w:szCs w:val="22"/>
        </w:rPr>
        <w:t>ANALYSIS</w:t>
      </w:r>
    </w:p>
    <w:p w14:paraId="292A046D" w14:textId="77777777" w:rsidR="00AE5DA4" w:rsidRDefault="00000000">
      <w:pPr>
        <w:spacing w:after="400"/>
        <w:jc w:val="center"/>
      </w:pPr>
      <w:r>
        <w:rPr>
          <w:rFonts w:ascii="Arial" w:eastAsia="Arial" w:hAnsi="Arial" w:cs="Arial"/>
          <w:b/>
          <w:bCs/>
          <w:sz w:val="36"/>
          <w:szCs w:val="36"/>
        </w:rPr>
        <w:t>Three Dimensions of Neglect: How Biobanks, Clinical Trials, and Scientific Literature Systematically Exclude the Global South</w:t>
      </w:r>
    </w:p>
    <w:p w14:paraId="4BF89054" w14:textId="77777777" w:rsidR="00AE5DA4" w:rsidRDefault="00000000">
      <w:pPr>
        <w:spacing w:after="100"/>
        <w:jc w:val="center"/>
      </w:pPr>
      <w:r>
        <w:rPr>
          <w:i/>
          <w:iCs/>
          <w:sz w:val="22"/>
          <w:szCs w:val="22"/>
        </w:rPr>
        <w:t>Short title: Three-Dimensional Research Equity Analysis</w:t>
      </w:r>
    </w:p>
    <w:p w14:paraId="19C5D257" w14:textId="77777777" w:rsidR="00AE5DA4" w:rsidRDefault="00AE5DA4">
      <w:pPr>
        <w:spacing w:after="300"/>
      </w:pPr>
    </w:p>
    <w:p w14:paraId="552315B1" w14:textId="1B5E2B15" w:rsidR="00AE5DA4" w:rsidRDefault="00000000">
      <w:pPr>
        <w:spacing w:after="200"/>
        <w:jc w:val="center"/>
      </w:pPr>
      <w:r>
        <w:t>Manuel Corpas</w:t>
      </w:r>
      <w:r w:rsidR="00135D36" w:rsidRPr="00135D36">
        <w:rPr>
          <w:vertAlign w:val="superscript"/>
        </w:rPr>
        <w:t>1,2,3*</w:t>
      </w:r>
      <w:r>
        <w:t>, Maxim Freydin</w:t>
      </w:r>
      <w:r w:rsidR="00135D36" w:rsidRPr="00135D36">
        <w:rPr>
          <w:vertAlign w:val="superscript"/>
        </w:rPr>
        <w:t>4</w:t>
      </w:r>
      <w:r>
        <w:t>, Julio Valdivia-Silva</w:t>
      </w:r>
      <w:r w:rsidR="00135D36" w:rsidRPr="00135D36">
        <w:rPr>
          <w:vertAlign w:val="superscript"/>
        </w:rPr>
        <w:t>5</w:t>
      </w:r>
      <w:r>
        <w:t>, Simeon Baker</w:t>
      </w:r>
      <w:r w:rsidR="00135D36" w:rsidRPr="00135D36">
        <w:rPr>
          <w:vertAlign w:val="superscript"/>
        </w:rPr>
        <w:t>3,6</w:t>
      </w:r>
      <w:r>
        <w:t>, Segun Fatumo</w:t>
      </w:r>
      <w:r w:rsidR="00135D36" w:rsidRPr="00135D36">
        <w:rPr>
          <w:vertAlign w:val="superscript"/>
        </w:rPr>
        <w:t>7,8</w:t>
      </w:r>
      <w:r>
        <w:t xml:space="preserve">, </w:t>
      </w:r>
      <w:proofErr w:type="spellStart"/>
      <w:r>
        <w:t>H</w:t>
      </w:r>
      <w:r w:rsidR="00694E99">
        <w:t>einner</w:t>
      </w:r>
      <w:proofErr w:type="spellEnd"/>
      <w:r>
        <w:t xml:space="preserve"> Guio</w:t>
      </w:r>
      <w:r w:rsidR="00135D36" w:rsidRPr="00135D36">
        <w:rPr>
          <w:vertAlign w:val="superscript"/>
        </w:rPr>
        <w:t>3,5</w:t>
      </w:r>
    </w:p>
    <w:p w14:paraId="3E040915" w14:textId="77777777" w:rsidR="00AE5DA4" w:rsidRDefault="00000000" w:rsidP="0036710F">
      <w:pPr>
        <w:spacing w:after="200"/>
      </w:pPr>
      <w:r>
        <w:t>¹ School of Life Sciences, University of Westminster, London, United Kingdom</w:t>
      </w:r>
    </w:p>
    <w:p w14:paraId="3BDD460B" w14:textId="77777777" w:rsidR="00AE5DA4" w:rsidRDefault="00000000" w:rsidP="0036710F">
      <w:pPr>
        <w:spacing w:after="200"/>
      </w:pPr>
      <w:r>
        <w:t>² The Alan Turing Institute, London, United Kingdom</w:t>
      </w:r>
    </w:p>
    <w:p w14:paraId="32D4DE8D" w14:textId="77777777" w:rsidR="00AE5DA4" w:rsidRDefault="00000000" w:rsidP="0036710F">
      <w:pPr>
        <w:spacing w:after="200"/>
      </w:pPr>
      <w:r>
        <w:t>³ GENEQ Global, London, United Kingdom</w:t>
      </w:r>
    </w:p>
    <w:p w14:paraId="2B6A96CC" w14:textId="77777777" w:rsidR="00AE5DA4" w:rsidRDefault="00000000" w:rsidP="0036710F">
      <w:pPr>
        <w:spacing w:after="200"/>
      </w:pPr>
      <w:r>
        <w:t>⁴ Department of Twin Research and Genetic Epidemiology, King's College London, United Kingdom</w:t>
      </w:r>
    </w:p>
    <w:p w14:paraId="3327E634" w14:textId="77777777" w:rsidR="00AE5DA4" w:rsidRPr="00677B3C" w:rsidRDefault="00000000" w:rsidP="0036710F">
      <w:pPr>
        <w:spacing w:after="200"/>
        <w:rPr>
          <w:lang w:val="es-ES"/>
        </w:rPr>
      </w:pPr>
      <w:r w:rsidRPr="00677B3C">
        <w:rPr>
          <w:lang w:val="es-ES"/>
        </w:rPr>
        <w:t xml:space="preserve">⁵ Universidad de Ingeniería y Tecnología (UTEC), Lima, </w:t>
      </w:r>
      <w:proofErr w:type="spellStart"/>
      <w:r w:rsidRPr="00677B3C">
        <w:rPr>
          <w:lang w:val="es-ES"/>
        </w:rPr>
        <w:t>Peru</w:t>
      </w:r>
      <w:proofErr w:type="spellEnd"/>
    </w:p>
    <w:p w14:paraId="1CB7276B" w14:textId="77777777" w:rsidR="00AE5DA4" w:rsidRDefault="00000000" w:rsidP="0036710F">
      <w:pPr>
        <w:spacing w:after="200"/>
      </w:pPr>
      <w:r>
        <w:t>⁶ University of Bath, Bath, United Kingdom</w:t>
      </w:r>
    </w:p>
    <w:p w14:paraId="396FF522" w14:textId="77777777" w:rsidR="00AE5DA4" w:rsidRDefault="00000000" w:rsidP="0036710F">
      <w:pPr>
        <w:spacing w:after="200"/>
      </w:pPr>
      <w:r>
        <w:t>⁷ MRC/UVRI and LSHTM Uganda Research Unit, Entebbe, Uganda</w:t>
      </w:r>
    </w:p>
    <w:p w14:paraId="171BFB36" w14:textId="68CCBBEB" w:rsidR="00AE5DA4" w:rsidRDefault="00000000" w:rsidP="0036710F">
      <w:pPr>
        <w:spacing w:after="200"/>
      </w:pPr>
      <w:r>
        <w:t xml:space="preserve">⁸ </w:t>
      </w:r>
      <w:r w:rsidR="004A1EBC">
        <w:t>Queen Mary University of London</w:t>
      </w:r>
      <w:r>
        <w:t>, London, United Kingdom</w:t>
      </w:r>
    </w:p>
    <w:p w14:paraId="278102A3" w14:textId="77777777" w:rsidR="00AE5DA4" w:rsidRDefault="00000000" w:rsidP="0036710F">
      <w:pPr>
        <w:spacing w:after="200"/>
      </w:pPr>
      <w:r>
        <w:t>⁹ Instituto Nacional de Salud, Lima, Peru</w:t>
      </w:r>
    </w:p>
    <w:p w14:paraId="1B4EEDA6" w14:textId="77777777" w:rsidR="00AE5DA4" w:rsidRDefault="00AE5DA4">
      <w:pPr>
        <w:spacing w:after="200"/>
      </w:pPr>
    </w:p>
    <w:p w14:paraId="3DFFC941" w14:textId="77777777" w:rsidR="00AE5DA4" w:rsidRDefault="00000000">
      <w:pPr>
        <w:spacing w:after="200" w:line="360" w:lineRule="auto"/>
        <w:jc w:val="center"/>
      </w:pPr>
      <w:r>
        <w:rPr>
          <w:b/>
          <w:bCs/>
        </w:rPr>
        <w:t xml:space="preserve">*Corresponding author: </w:t>
      </w:r>
      <w:r>
        <w:t>m.corpas@westminster.ac.uk</w:t>
      </w:r>
    </w:p>
    <w:p w14:paraId="18D89530" w14:textId="77777777" w:rsidR="00AE5DA4" w:rsidRDefault="00000000">
      <w:pPr>
        <w:spacing w:after="200" w:line="360" w:lineRule="auto"/>
        <w:jc w:val="center"/>
      </w:pPr>
      <w:r>
        <w:t>ORCID: 0000-0002-5765-9627</w:t>
      </w:r>
    </w:p>
    <w:p w14:paraId="42024165" w14:textId="77777777" w:rsidR="0036710F" w:rsidRDefault="0036710F">
      <w:pPr>
        <w:pStyle w:val="Heading1"/>
      </w:pPr>
    </w:p>
    <w:p w14:paraId="1AAC0E9A" w14:textId="77777777" w:rsidR="0036710F" w:rsidRDefault="0036710F">
      <w:pPr>
        <w:pStyle w:val="Heading1"/>
      </w:pPr>
    </w:p>
    <w:p w14:paraId="34D61313" w14:textId="77777777" w:rsidR="0036710F" w:rsidRDefault="0036710F">
      <w:pPr>
        <w:pStyle w:val="Heading1"/>
      </w:pPr>
    </w:p>
    <w:p w14:paraId="35AD1AAF" w14:textId="55B8FD31" w:rsidR="00AE5DA4" w:rsidRDefault="00000000">
      <w:pPr>
        <w:pStyle w:val="Heading1"/>
      </w:pPr>
      <w:r>
        <w:lastRenderedPageBreak/>
        <w:t>Abstract</w:t>
      </w:r>
    </w:p>
    <w:p w14:paraId="4CE58257" w14:textId="7FB84A7B" w:rsidR="00AE5DA4" w:rsidRDefault="00DE247C">
      <w:pPr>
        <w:spacing w:after="200" w:line="360" w:lineRule="auto"/>
      </w:pPr>
      <w:r w:rsidRPr="00DE247C">
        <w:t xml:space="preserve">Diseases affecting 1.5 billion people in the Global South are systematically excluded from biomedical research infrastructure. Here we show that this exclusion operates across three stages of the research enterprise: biobanks, clinical trials, and the scientific literature. Neglected tropical diseases are virtually absent from major biobanks (0 publications for lymphatic filariasis, dengue, and schistosomiasis across 70 international cohorts). Clinical trial sites concentrate 2.5-fold in high-income countries. In the scientific literature, neglected tropical diseases occupy isolated positions in the knowledge landscape: their research shares little vocabulary, methodology, or conceptual framing with mainstream biomedicine, limiting opportunities for cross-disciplinary advances. This </w:t>
      </w:r>
      <w:r>
        <w:t xml:space="preserve">semantic </w:t>
      </w:r>
      <w:r w:rsidRPr="00DE247C">
        <w:t xml:space="preserve">isolation is 44% greater for neglected tropical diseases than for other conditions (P &lt; 0.0001, Cohen's d = 1.80). Using the Health Equity Informative Metrics (HEIM) framework, we analysed 70 biobanks, </w:t>
      </w:r>
      <w:r w:rsidR="0012297A">
        <w:t>~</w:t>
      </w:r>
      <w:r>
        <w:t>0.</w:t>
      </w:r>
      <w:r w:rsidR="0012297A">
        <w:t>6</w:t>
      </w:r>
      <w:r>
        <w:t xml:space="preserve"> million</w:t>
      </w:r>
      <w:r w:rsidRPr="00DE247C">
        <w:t xml:space="preserve"> clinical trials, and 13.1 million PubMed </w:t>
      </w:r>
      <w:r w:rsidR="00A37B48">
        <w:t>articles</w:t>
      </w:r>
      <w:r w:rsidRPr="00DE247C">
        <w:t xml:space="preserve"> spanning 175 diseases. Only 1 of 70 biobanks</w:t>
      </w:r>
      <w:r w:rsidR="00A37B48">
        <w:t xml:space="preserve"> </w:t>
      </w:r>
      <w:r w:rsidRPr="00DE247C">
        <w:t xml:space="preserve">produces research proportionate to global disease burden. The ten most neglected diseases are exclusively conditions of the Global South, facing disadvantage at every stage. </w:t>
      </w:r>
      <w:r w:rsidR="0012297A">
        <w:t>Our results suggest that r</w:t>
      </w:r>
      <w:r w:rsidRPr="00DE247C">
        <w:t>esearch inequity is not merely a funding problem but a structural feature of the biomedical enterprise, with quantifiable targets for intervention</w:t>
      </w:r>
      <w:r w:rsidR="00000000">
        <w:t>.</w:t>
      </w:r>
    </w:p>
    <w:p w14:paraId="1BC62A7C" w14:textId="77777777" w:rsidR="00AE5DA4" w:rsidRDefault="00000000">
      <w:r>
        <w:br w:type="page"/>
      </w:r>
    </w:p>
    <w:p w14:paraId="1C589996" w14:textId="77777777" w:rsidR="00AE5DA4" w:rsidRDefault="00000000">
      <w:pPr>
        <w:pStyle w:val="Heading1"/>
      </w:pPr>
      <w:r>
        <w:lastRenderedPageBreak/>
        <w:t>Introduction</w:t>
      </w:r>
    </w:p>
    <w:p w14:paraId="0B71F7A9" w14:textId="7293E274" w:rsidR="006E0F91" w:rsidRDefault="00000000">
      <w:pPr>
        <w:spacing w:after="200" w:line="360" w:lineRule="auto"/>
      </w:pPr>
      <w:r>
        <w:t>Lymphatic filariasis affects 120 million people worldwide</w:t>
      </w:r>
      <w:r w:rsidR="003D0AEF">
        <w:t xml:space="preserve"> </w:t>
      </w:r>
      <w:r w:rsidR="003D0AEF">
        <w:fldChar w:fldCharType="begin"/>
      </w:r>
      <w:r w:rsidR="003D0AEF">
        <w:instrText xml:space="preserve"> ADDIN ZOTERO_ITEM CSL_CITATION {"citationID":"eUbTQTHp","properties":{"unsorted":false,"formattedCitation":"\\super 1\\nosupersub{}","plainCitation":"1","noteIndex":0},"citationItems":[{"id":995,"uris":["http://zotero.org/users/16405780/items/H2QXBG7J"],"itemData":{"id":995,"type":"article-journal","abstract":"Human lymphatic filariasis affects 120 million people worldwide. Although the disease is considered to be potentially erradicable by the World Health Organization, comprehensive studies on epidemiological aspects as well as mechanisms of pathology development are still premature. The following review summarizes currently available data on these topics and ends by discussing the latest control strategies.","container-title":"Microbes and Infection","DOI":"10.1016/S1286-4579(99)80519-X","ISSN":"1286-4579","issue":"12","journalAbbreviation":"Microbes and Infection","page":"1015-1022","source":"ScienceDirect","title":"Epidemiology and immunopathology of bancroftian filariasis","volume":"1","author":[{"family":"Almeida","given":"Adriana B.","non-dropping-particle":"de"},{"family":"Freedman","given":"David O."}],"issued":{"date-parts":[["1999",10,1]]}}}],"schema":"https://github.com/citation-style-language/schema/raw/master/csl-citation.json"} </w:instrText>
      </w:r>
      <w:r w:rsidR="003D0AEF">
        <w:fldChar w:fldCharType="separate"/>
      </w:r>
      <w:r w:rsidR="003D0AEF" w:rsidRPr="003D0AEF">
        <w:rPr>
          <w:vertAlign w:val="superscript"/>
        </w:rPr>
        <w:t>1</w:t>
      </w:r>
      <w:r w:rsidR="003D0AEF">
        <w:fldChar w:fldCharType="end"/>
      </w:r>
      <w:r>
        <w:t>, causing debilitating swelling that traps individuals in cycles of poverty and stigma. Yet across 70 major international biobanks</w:t>
      </w:r>
      <w:r w:rsidR="003D0AEF">
        <w:t xml:space="preserve"> </w:t>
      </w:r>
      <w:r w:rsidR="00B47764">
        <w:fldChar w:fldCharType="begin"/>
      </w:r>
      <w:r w:rsidR="00B47764">
        <w:instrText xml:space="preserve"> ADDIN ZOTERO_ITEM CSL_CITATION {"citationID":"oPio1ydI","properties":{"unsorted":false,"formattedCitation":"\\super 2\\nosupersub{}","plainCitation":"2","noteIndex":0},"citationItems":[{"id":998,"uris":["http://zotero.org/users/16405780/items/79GINWJ6"],"itemData":{"id":998,"type":"article-journal","abstract":"Established in 2018 to push beyond the constraints of individual health and population cohorts, the IHCC is a community of cohorts advancing global science and health. We summarize the collective resources of 69 member cohorts, representing over 34 million people.","container-title":"Communications Medicine","DOI":"10.1038/s43856-025-01026-y","ISSN":"2730-664X","issue":"1","journalAbbreviation":"Commun Med","language":"en","license":"2025 The Author(s)","page":"366","publisher":"Nature Publishing Group","source":"www.nature.com","title":"The International Health Cohorts Consortium (IHCC) advances population health research and genomic discovery","volume":"5","author":[{"family":"Connolly","given":"John J."},{"family":"Sundseth","given":"Scott"},{"family":"Wood","given":"Grant M."},{"family":"Nwaneri","given":"Chisom"},{"family":"Ginsburg","given":"Geoffrey"},{"family":"Awadalla","given":"Philip"},{"family":"Ramsay","given":"Michele"},{"family":"Keane","given":"Thomas"},{"family":"Goodhand","given":"Peter"},{"family":"Butterworth","given":"Adam S."},{"family":"Hakonarson","given":"Hakon"}],"issued":{"date-parts":[["2025",8,21]]}}}],"schema":"https://github.com/citation-style-language/schema/raw/master/csl-citation.json"} </w:instrText>
      </w:r>
      <w:r w:rsidR="00B47764">
        <w:fldChar w:fldCharType="separate"/>
      </w:r>
      <w:r w:rsidR="00B47764" w:rsidRPr="00B47764">
        <w:rPr>
          <w:vertAlign w:val="superscript"/>
        </w:rPr>
        <w:t>2</w:t>
      </w:r>
      <w:r w:rsidR="00B47764">
        <w:fldChar w:fldCharType="end"/>
      </w:r>
      <w:r>
        <w:t xml:space="preserve">, we found </w:t>
      </w:r>
      <w:r w:rsidR="00B47764">
        <w:t>no</w:t>
      </w:r>
      <w:r>
        <w:t xml:space="preserve"> publications</w:t>
      </w:r>
      <w:r w:rsidR="00B47764">
        <w:t xml:space="preserve">, </w:t>
      </w:r>
      <w:r>
        <w:t>genomic studies</w:t>
      </w:r>
      <w:r w:rsidR="00B47764">
        <w:t xml:space="preserve"> or</w:t>
      </w:r>
      <w:r>
        <w:t xml:space="preserve"> translational research pipelines</w:t>
      </w:r>
      <w:r w:rsidR="000B32FF">
        <w:t xml:space="preserve"> for this debilitating disease</w:t>
      </w:r>
      <w:r>
        <w:t xml:space="preserve">. </w:t>
      </w:r>
      <w:r w:rsidR="000B32FF">
        <w:t>We contend this</w:t>
      </w:r>
      <w:r>
        <w:t xml:space="preserve"> is not an isolated failure</w:t>
      </w:r>
      <w:r w:rsidR="000B32FF">
        <w:t>, and that</w:t>
      </w:r>
      <w:r>
        <w:t xml:space="preserve"> it reflects a systematic pattern of exclusion embedded in the architecture of biomedical research itself.</w:t>
      </w:r>
    </w:p>
    <w:p w14:paraId="02E1621D" w14:textId="3FB3CD0D" w:rsidR="00AE5DA4" w:rsidRDefault="00341569">
      <w:pPr>
        <w:spacing w:after="200" w:line="360" w:lineRule="auto"/>
      </w:pPr>
      <w:r>
        <w:t>While m</w:t>
      </w:r>
      <w:r w:rsidR="00B52296" w:rsidRPr="00B52296">
        <w:t>ore than 80% of premature deaths from noncommunicable diseases occur in low- and middle-income countries</w:t>
      </w:r>
      <w:r w:rsidR="00B52296">
        <w:t xml:space="preserve"> </w:t>
      </w:r>
      <w:r w:rsidR="00B52296">
        <w:fldChar w:fldCharType="begin"/>
      </w:r>
      <w:r w:rsidR="00B52296">
        <w:instrText xml:space="preserve"> ADDIN ZOTERO_ITEM CSL_CITATION {"citationID":"Vdtkolly","properties":{"unsorted":false,"formattedCitation":"\\super 3\\nosupersub{}","plainCitation":"3","noteIndex":0},"citationItems":[{"id":1000,"uris":["http://zotero.org/users/16405780/items/DENPJ7DG"],"itemData":{"id":1000,"type":"article-journal","abstract":"Noncommunicable disease (NCD) causes about 35 million deaths and accounts for 60% of all deaths, of which 80% is in low- and middle-income countries (LMIC). NCDs will account for 80% of the global burden of disease by 2020 and account for 7 out of every 10 deaths in LMIC. NCD is no longer an emerging problem in developing countries, it’s assuming an alarming dimension, and taking on the proportion of an epidemic. Several literatures document the known risk factors for significant NCDs. The critical risk factors are tobacco usage, unhealthy diet, physical inactivity, and detrimental usage of alcohol. To reverse the trend that leads to an increase in poor dietary patterns, sedentary lifestyle, tobacco use, and harmful alcohol use will need policies that transcend the health sector and policy change in different areas such as finance, urban planning, education, agriculture, and transportation.","container-title":"Inquiry: A Journal of Medical Care Organization, Provision and Financing","DOI":"10.1177/0046958020927885","ISSN":"0046-9580","journalAbbreviation":"Inquiry","page":"0046958020927885","PMID":"34420412","PMCID":"PMC8385577","source":"PubMed Central","title":"Noncommunicable Diseases Prevention In Low- and Middle-Income Countries: An Overview of Health in All Policies (HiAP)","title-short":"Noncommunicable Diseases Prevention In Low- and Middle-Income Countries","volume":"58","author":[{"family":"Ndubuisi","given":"Nweke Ebele"}],"issued":{"date-parts":[["2021",8,23]]}}}],"schema":"https://github.com/citation-style-language/schema/raw/master/csl-citation.json"} </w:instrText>
      </w:r>
      <w:r w:rsidR="00B52296">
        <w:fldChar w:fldCharType="separate"/>
      </w:r>
      <w:r w:rsidR="00B52296" w:rsidRPr="00B52296">
        <w:rPr>
          <w:vertAlign w:val="superscript"/>
        </w:rPr>
        <w:t>3</w:t>
      </w:r>
      <w:r w:rsidR="00B52296">
        <w:fldChar w:fldCharType="end"/>
      </w:r>
      <w:r w:rsidR="00000000">
        <w:t xml:space="preserve">, </w:t>
      </w:r>
      <w:bookmarkStart w:id="0" w:name="_Hlk220421169"/>
      <w:r w:rsidR="00000000">
        <w:t>the biomedical research enterprise remains overwhelmingly oriented toward conditions prevalent in wealthy nations</w:t>
      </w:r>
      <w:bookmarkEnd w:id="0"/>
      <w:r w:rsidR="00B52296">
        <w:t xml:space="preserve"> </w:t>
      </w:r>
      <w:r w:rsidR="00B52296">
        <w:fldChar w:fldCharType="begin"/>
      </w:r>
      <w:r w:rsidR="00B52296">
        <w:instrText xml:space="preserve"> ADDIN ZOTERO_ITEM CSL_CITATION {"citationID":"Yr1tRjoX","properties":{"unsorted":false,"formattedCitation":"\\super 4\\nosupersub{}","plainCitation":"4","noteIndex":0},"citationItems":[{"id":1003,"uris":["http://zotero.org/users/16405780/items/KSC55PZ7"],"itemData":{"id":1003,"type":"article-journal","abstract":"Most studies on global health inequality consider unequal health care and socio-economic conditions but neglect inequality in the production of health knowledge relevant to addressing disease burden. We demonstrate this inequality and identify likely causes. Using disability-adjusted life years (DALYs) for 111 prominent medical conditions, assessed globally and nationally by the World Health Organization, we linked DALYs with MEDLINE articles for each condition to assess the influence of DALY-based global disease burden, compared to the global market for treatment, on the production of relevant MEDLINE articles, systematic reviews, clinical trials and research using animal models vs. humans. We then explored how DALYs, wealth, and the production of research within countries correlate with this global pattern. We show that global DALYs for each condition had a small, significant negative relationship with the production of each type of MEDLINE articles for that condition. Local processes of health research appear to be behind this. Clinical trials and animal studies but not systematic reviews produced within countries were strongly guided by local DALYs. More and less developed countries had very different disease profiles and rich countries publish much more than poor countries. Accordingly, conditions common to developed countries garnered more clinical research than those common to less developed countries. Many of the health needs in less developed countries do not attract attention among developed country researchers who produce the vast majority of global health knowledge—including clinical trials—in response to their own local needs. This raises concern about the amount of knowledge relevant to poor populations deficient in their own research infrastructure. We recommend measures to address this critical dimension of global health inequality.","container-title":"PLoS ONE","DOI":"10.1371/journal.pone.0090147","ISSN":"1932-6203","issue":"4","journalAbbreviation":"PLoS One","page":"e90147","PMID":"24691431","PMCID":"PMC3972174","source":"PubMed Central","title":"Attention to Local Health Burden and the Global Disparity of Health Research","volume":"9","author":[{"family":"Evans","given":"James A."},{"family":"Shim","given":"Jae-Mahn"},{"family":"Ioannidis","given":"John P. A."}],"issued":{"date-parts":[["2014",4,1]]}}}],"schema":"https://github.com/citation-style-language/schema/raw/master/csl-citation.json"} </w:instrText>
      </w:r>
      <w:r w:rsidR="00B52296">
        <w:fldChar w:fldCharType="separate"/>
      </w:r>
      <w:r w:rsidR="00B52296" w:rsidRPr="00B52296">
        <w:rPr>
          <w:vertAlign w:val="superscript"/>
        </w:rPr>
        <w:t>4</w:t>
      </w:r>
      <w:r w:rsidR="00B52296">
        <w:fldChar w:fldCharType="end"/>
      </w:r>
      <w:r w:rsidR="00000000">
        <w:t xml:space="preserve">. This persistent structural exclusion, where the </w:t>
      </w:r>
      <w:bookmarkStart w:id="1" w:name="_Hlk220421320"/>
      <w:r w:rsidR="00000000">
        <w:t>diseases of poverty remain invisible to the research infrastructure that could address them</w:t>
      </w:r>
      <w:bookmarkEnd w:id="1"/>
      <w:r w:rsidR="006C1114">
        <w:t xml:space="preserve"> </w:t>
      </w:r>
      <w:r w:rsidR="006C1114">
        <w:fldChar w:fldCharType="begin"/>
      </w:r>
      <w:r w:rsidR="006C1114">
        <w:instrText xml:space="preserve"> ADDIN ZOTERO_ITEM CSL_CITATION {"citationID":"NtoXRCNR","properties":{"unsorted":false,"formattedCitation":"\\super 5\\nosupersub{}","plainCitation":"5","noteIndex":0},"citationItems":[{"id":1006,"uris":["http://zotero.org/users/16405780/items/E5BUSURW"],"itemData":{"id":1006,"type":"article-journal","abstract":"Together, malaria and the neglected tropical diseases (NTDs) kill more than 800,000 people annually, while creating long-term disability in millions more. International support for mass drug administration, bed nets, and other preventive measures has resulted in huge public health gains, while support for translational research is leading to the development of some new neglected disease drugs, diagnostics, and vaccines. However, funding for basic science research has not kept up, such that we are missing opportunities to create a more innovative pipeline of control tools for parasitic and related diseases. There is an urgent need to expand basic science approaches for neglected diseases, especially in the areas of systems biology and immunology; ecology, evolution, and mathematical biology; functional and comparative OMICs; gene editing; expanded use of model organisms; and a new single-cell combinatorial indexing RNA sequencing approach. The world’s poor deserve access to innovation for neglected diseases. It should be considered a fundamental human right.","container-title":"PLOS Biology","DOI":"10.1371/journal.pbio.2004186","ISSN":"1545-7885","issue":"11","journalAbbreviation":"PLOS Biology","language":"en","page":"e2004186","publisher":"Public Library of Science","source":"PLoS Journals","title":"The poverty-related neglected diseases: Why basic research matters","title-short":"The poverty-related neglected diseases","volume":"15","author":[{"family":"Hotez","given":"Peter J."}],"issued":{"date-parts":[["2017",11,9]]}}}],"schema":"https://github.com/citation-style-language/schema/raw/master/csl-citation.json"} </w:instrText>
      </w:r>
      <w:r w:rsidR="006C1114">
        <w:fldChar w:fldCharType="separate"/>
      </w:r>
      <w:r w:rsidR="006C1114" w:rsidRPr="006C1114">
        <w:rPr>
          <w:vertAlign w:val="superscript"/>
        </w:rPr>
        <w:t>5</w:t>
      </w:r>
      <w:r w:rsidR="006C1114">
        <w:fldChar w:fldCharType="end"/>
      </w:r>
      <w:r w:rsidR="00000000">
        <w:t xml:space="preserve">, has continued for decades despite sustained advocacy and targeted funding initiatives. </w:t>
      </w:r>
      <w:bookmarkStart w:id="2" w:name="_Hlk220421407"/>
      <w:r>
        <w:t>H</w:t>
      </w:r>
      <w:r w:rsidR="00000000">
        <w:t>ealth outcome inequities are extensively documented</w:t>
      </w:r>
      <w:bookmarkEnd w:id="2"/>
      <w:r w:rsidR="006C1114">
        <w:t xml:space="preserve"> </w:t>
      </w:r>
      <w:r w:rsidR="006C1114">
        <w:fldChar w:fldCharType="begin"/>
      </w:r>
      <w:r w:rsidR="006C1114">
        <w:instrText xml:space="preserve"> ADDIN ZOTERO_ITEM CSL_CITATION {"citationID":"JpIg32rs","properties":{"unsorted":false,"formattedCitation":"\\super 6\\nosupersub{}","plainCitation":"6","noteIndex":0},"citationItems":[{"id":1008,"uris":["http://zotero.org/users/16405780/items/THXHDEDY"],"itemData":{"id":1008,"type":"article-journal","abstract":"Health inequalities, which have been well documented for decades, have more recently become policy targets in developed countries. This review describes time trends in health inequalities (by sex, race/ethnicity, and socioeconomic status), commitments to reduce health inequalities, and progress made to eliminate health inequalities in the United States, United Kingdom, and other OECD countries. Time-trend data in the United States indicate a narrowing of the gap between the best- and worst-off groups in some health indicators, such as life expectancy, but a widening of the gap in others, such as diabetes prevalence. Similarly, time-trend data in the United Kingdom indicate a narrowing of the gap between the best- and worst-off groups in some indicators, such as hypertension prevalence, whereas the gap between social classes has increased for life expectancy. More research and better methods are needed to measure precisely the relationships between stated policy goals and observed trends in health inequalities.","container-title":"Annual review of public health","DOI":"10.1146/annurev-publhealth-031811-124658","ISSN":"0163-7525","journalAbbreviation":"Annu Rev Public Health","page":"7-40","PMID":"22224876","PMCID":"PMC3745020","source":"PubMed Central","title":"Health Inequalities: Trends, Progress, and Policy","title-short":"Health Inequalities","volume":"33","author":[{"family":"Bleich","given":"Sara N."},{"family":"Jarlenski","given":"Marian P."},{"family":"Bell","given":"Caryn N."},{"family":"LaVeist","given":"Thomas A."}],"issued":{"date-parts":[["2012",4]]}}}],"schema":"https://github.com/citation-style-language/schema/raw/master/csl-citation.json"} </w:instrText>
      </w:r>
      <w:r w:rsidR="006C1114">
        <w:fldChar w:fldCharType="separate"/>
      </w:r>
      <w:r w:rsidR="006C1114" w:rsidRPr="006C1114">
        <w:rPr>
          <w:vertAlign w:val="superscript"/>
        </w:rPr>
        <w:t>6</w:t>
      </w:r>
      <w:r w:rsidR="006C1114">
        <w:fldChar w:fldCharType="end"/>
      </w:r>
      <w:r w:rsidR="00000000">
        <w:t xml:space="preserve">, </w:t>
      </w:r>
      <w:bookmarkStart w:id="3" w:name="_Hlk220421478"/>
      <w:r>
        <w:t xml:space="preserve">but </w:t>
      </w:r>
      <w:r w:rsidR="00000000">
        <w:t>the structural biases embedded within research infrastructure itself remain poorly characterised and inadequately measured</w:t>
      </w:r>
      <w:bookmarkEnd w:id="3"/>
      <w:r w:rsidR="006C1114">
        <w:t xml:space="preserve"> </w:t>
      </w:r>
      <w:r w:rsidR="006C1114">
        <w:fldChar w:fldCharType="begin"/>
      </w:r>
      <w:r w:rsidR="006C1114">
        <w:instrText xml:space="preserve"> ADDIN ZOTERO_ITEM CSL_CITATION {"citationID":"mZqk2vya","properties":{"unsorted":false,"formattedCitation":"\\super 7\\nosupersub{}","plainCitation":"7","noteIndex":0},"citationItems":[{"id":1011,"uris":["http://zotero.org/users/16405780/items/J2PXES7B"],"itemData":{"id":1011,"type":"article-journal","abstract":"Recent debates on decolonizing global health have spurred interest in addressing the power asymmetries and knowledge hierarchies that sustain colonial ideas and relationships in global health research. This paper applies three intersecting dimensions of colonialism (colonialism within global health; colonisation of global health; and colonialism through global health) to develop a broader and more structural understanding of the policies and actions needed to decolonise global health research. It argues that existing guidelines and checklists designed to make global health research more equitable do not adequately address the underlying power asymmetries and biases that prevail across the global health research ecosystem. Beyond encouraging fairer partnerships within individual research projects, this paper calls for more emphasis on shifting the balance of decision-making power, redistributing resources, and holding research funders and other power-holders accountable to the places and peoples involved in and impacted by global health research.","container-title":"PLOS Global Public Health","DOI":"10.1371/journal.pgph.0003141","ISSN":"2767-3375","issue":"4","journalAbbreviation":"PLOS Glob Public Health","page":"e0003141","PMID":"38656955","PMCID":"PMC11042701","source":"PubMed Central","title":"Decolonising global health research: Shifting power for transformative change","title-short":"Decolonising global health research","volume":"4","author":[{"family":"Kumar","given":"Ramya"},{"family":"Khosla","given":"Rajat"},{"family":"McCoy","given":"David"}],"issued":{"date-parts":[["2024",4,24]]}}}],"schema":"https://github.com/citation-style-language/schema/raw/master/csl-citation.json"} </w:instrText>
      </w:r>
      <w:r w:rsidR="006C1114">
        <w:fldChar w:fldCharType="separate"/>
      </w:r>
      <w:r w:rsidR="006C1114" w:rsidRPr="006C1114">
        <w:rPr>
          <w:vertAlign w:val="superscript"/>
        </w:rPr>
        <w:t>7</w:t>
      </w:r>
      <w:r w:rsidR="006C1114">
        <w:fldChar w:fldCharType="end"/>
      </w:r>
      <w:r w:rsidR="00000000">
        <w:t xml:space="preserve">. Critically, the </w:t>
      </w:r>
      <w:bookmarkStart w:id="4" w:name="_Hlk220421613"/>
      <w:r w:rsidR="00000000">
        <w:t xml:space="preserve">HIV/AIDS experience demonstrates that sustained investment can fundamentally reverse structural marginalisation: a disease once </w:t>
      </w:r>
      <w:r>
        <w:t>neglected</w:t>
      </w:r>
      <w:r w:rsidR="00000000">
        <w:t xml:space="preserve"> from mainstream biomedicine is now deeply integrated into immunology, virology, and global health</w:t>
      </w:r>
      <w:r w:rsidR="007B1E32">
        <w:t xml:space="preserve"> </w:t>
      </w:r>
      <w:bookmarkEnd w:id="4"/>
      <w:r w:rsidR="006C1114">
        <w:fldChar w:fldCharType="begin"/>
      </w:r>
      <w:r w:rsidR="006C1114">
        <w:instrText xml:space="preserve"> ADDIN ZOTERO_ITEM CSL_CITATION {"citationID":"LtOQU2GP","properties":{"unsorted":false,"formattedCitation":"\\super 8\\uc0\\u8211{}10\\nosupersub{}","plainCitation":"8–10","noteIndex":0},"citationItems":[{"id":1014,"uris":["http://zotero.org/users/16405780/items/S3DUL5YN"],"itemData":{"id":1014,"type":"article-journal","abstract":"The fight against human immunodeficiency virus/acquired immunodeficiency syndrome (HIV/AIDS) has made significant progress over the past decades, yet sustainable funding remains a critical challenge. Despite advances in medical treatments and prevention methods, the financial resources needed to combat the epidemic consistently face uncertainties and shortfalls. As of 2023, approximately 37.7 million people are living with HIV/AIDS globally, with 1.5 million new infections reported annually. Sub-Saharan Africa remains the hardest-hit region, accounting for 67% of the global HIV burden. This paper examines the current state of HIV/AIDS funding, identifying key gaps and challenges in maintaining adequate financial resources. It highlights the effects of funding fluctuations on treatment accessibility, prevention programs, and research, stressing the urgent need for diversified and innovative financing mechanisms. The paper offers actionable insights into sustainable funding strategies by analyzing successful models such as public-private partnerships and social impact bonds., This review aims to inform policymakers, stakeholders, and the global community about the financial barriers to HIV/AIDS management and advocate for coordinated efforts to secure stable funding pathways. Ensuring consistent financial support is vital to preserving hard-won progress, expanding access to care, and achieving the ultimate goal of an AIDS-free generation.","container-title":"Annals of Medicine and Surgery","DOI":"10.1097/MS9.0000000000002976","ISSN":"2049-0801","issue":"3","journalAbbreviation":"Ann Med Surg (Lond)","page":"1415-1445","PMID":"40213211","PMCID":"PMC11981258","source":"PubMed Central","title":"Shaping sustainable paths for HIV/AIDS funding: a review and reminder","title-short":"Shaping sustainable paths for HIV/AIDS funding","volume":"87","author":[{"family":"Elendu","given":"Chukwuka"},{"family":"Amaechi","given":"Dependable C."},{"family":"Elendu","given":"Tochi C."},{"family":"Amaechi","given":"Emmanuel C."},{"family":"Elendu","given":"Ijeoma D."},{"family":"Akpa","given":"Kenneth N."},{"family":"Oloyede","given":"Praise O."},{"family":"Adegbola","given":"Michael O."},{"family":"Idowu","given":"Omoyelemi F."}],"issued":{"date-parts":[["2025",2,27]]}}},{"id":1017,"uris":["http://zotero.org/users/16405780/items/WIMHB3VH"],"itemData":{"id":1017,"type":"article-journal","abstract":"In this paper, we have identified and analyzed the emergence, structure and dynamics of the paradigmatic research fronts that established the fundamentals of the biomedical knowledge on HIV/AIDS. A search of papers with the identifiers \"HIV/AIDS\", \"Human Immunodeficiency Virus\", “HIV-1” and \"Acquired Immunodeficiency Syndrome\" in the Web of Science (Thomson Reuters), was carried out. A citation network of those papers was constructed. Then, a sub-network of the papers with the highest number of inter-citations (with a minimal in-degree of 28) was selected to perform a combination of network clustering and text mining to identify the paradigmatic research fronts and analyze their dynamics. Thirteen research fronts were identified in this sub-network. The biggest and oldest front is related to the clinical knowledge on the disease in the patient. Nine of the fronts are related to the study of specific molecular structures and mechanisms and two of these fronts are related to the development of drugs. The rest of the fronts are related to the study of the disease at the cellular level. Interestingly, the emergence of these fronts occurred in successive \"waves\" over the time which suggest a transition in the paradigmatic focus. The emergence and evolution of the biomedical fronts in HIV/AIDS research is explained not just by the partition of the problem in elements and interactions leading to increasingly specialized communities, but also by changes in the technological context of this health problem and the dramatic changes in the epidemiological reality of HIV/AIDS that occurred between 1993 and 1995.","container-title":"PLoS ONE","DOI":"10.1371/journal.pone.0178293","ISSN":"1932-6203","issue":"5","journalAbbreviation":"PLoS One","page":"e0178293","PMID":"28542584","PMCID":"PMC5444800","source":"PubMed Central","title":"The emergence and evolution of the research fronts in HIV/AIDS research","volume":"12","author":[{"family":"Fajardo-Ortiz","given":"David"},{"family":"Lopez-Cervantes","given":"Malaquias"},{"family":"Duran","given":"Luis"},{"family":"Dumontier","given":"Michel"},{"family":"Lara","given":"Miguel"},{"family":"Ochoa","given":"Hector"},{"family":"Castano","given":"Victor M."}],"issued":{"date-parts":[["2017",5,25]]}}},{"id":1020,"uris":["http://zotero.org/users/16405780/items/5CWNTTFE"],"itemData":{"id":1020,"type":"article-journal","abstract":"From 19 to 21 May 2008 an important meeting was held at the Pasteur Institute in Paris to mark the 25th Anniversary of the discovery of HIV as the aetiological agent of AIDS. This review summarizes the historical findings, recent work and future directions presented at this meeting.","container-title":"Clinical and Experimental Immunology","DOI":"10.1111/j.1365-2249.2008.03750.x","ISSN":"0009-9104","issue":"1","journalAbbreviation":"Clin Exp Immunol","page":"6-14","PMID":"18761662","PMCID":"PMC2561096","source":"PubMed Central","title":"25 years of HIV research on virology, virus restriction, immunopathogenesis, genes and vaccines","volume":"154","author":[{"family":"Scherer","given":"E"},{"family":"Douek","given":"D"},{"family":"McMichael","given":"A"}],"issued":{"date-parts":[["2008",10]]}}}],"schema":"https://github.com/citation-style-language/schema/raw/master/csl-citation.json"} </w:instrText>
      </w:r>
      <w:r w:rsidR="006C1114">
        <w:fldChar w:fldCharType="separate"/>
      </w:r>
      <w:r w:rsidR="006C1114" w:rsidRPr="006C1114">
        <w:rPr>
          <w:vertAlign w:val="superscript"/>
        </w:rPr>
        <w:t>8–10</w:t>
      </w:r>
      <w:r w:rsidR="006C1114">
        <w:fldChar w:fldCharType="end"/>
      </w:r>
      <w:r w:rsidR="00000000">
        <w:t xml:space="preserve">. </w:t>
      </w:r>
    </w:p>
    <w:p w14:paraId="1B7D98FA" w14:textId="722B5ACC" w:rsidR="00AE5DA4" w:rsidRDefault="00000000">
      <w:pPr>
        <w:spacing w:after="200" w:line="360" w:lineRule="auto"/>
      </w:pPr>
      <w:bookmarkStart w:id="5" w:name="_Hlk220421752"/>
      <w:r>
        <w:t>Research inequity operates at multiple stages of the scientific enterprise</w:t>
      </w:r>
      <w:bookmarkEnd w:id="5"/>
      <w:r w:rsidR="006C1114">
        <w:t xml:space="preserve"> </w:t>
      </w:r>
      <w:r w:rsidR="006C1114">
        <w:fldChar w:fldCharType="begin"/>
      </w:r>
      <w:r w:rsidR="006C1114">
        <w:instrText xml:space="preserve"> ADDIN ZOTERO_ITEM CSL_CITATION {"citationID":"WrGae1wr","properties":{"unsorted":false,"formattedCitation":"\\super 11\\nosupersub{}","plainCitation":"11","noteIndex":0},"citationItems":[{"id":1023,"uris":["http://zotero.org/users/16405780/items/UZFA4Y55"],"itemData":{"id":1023,"type":"article-journal","abstract":"The history of the scientific enterprise demonstrates that it has supported gender, identity, and racial inequity. Further, its institutions have allowed discrimination, harassment, and personal harm of racialized persons and women. This has resulted in a suboptimal and demographically narrow research and innovation system, a concomitant limited lens on research agendas, and less effective knowledge translation between science and society. We argue that, to reverse this situation, the scientific community must reexamine its values and then collectively embark upon a moonshot-level new agenda for equity. This new agenda should be based upon the foundational value that scientific research and technological innovation should be prefaced upon progress toward a better world for all of society and that the process of how we conduct research is just as important as the results of research. Such an agenda will attract individuals who have been historically excluded from participation in science, but we will need to engage in substantial work to overcome the longstanding obstacles to their full participation. We highlight the need to implement this new agenda via a coordinated systems approach, recognizing the mutually reinforcing feedback dynamics among all science system components and aligning our equity efforts across them.","container-title":"Proceedings of the National Academy of Sciences of the United States of America","DOI":"10.1073/pnas.2117831119","ISSN":"0027-8424","issue":"10","journalAbbreviation":"Proc Natl Acad Sci U S A","page":"e2117831119","PMID":"35210356","PMCID":"PMC8915968","source":"PubMed Central","title":"Inequality in science and the case for a new agenda","volume":"119","author":[{"family":"Graves","given":"Joseph L."},{"family":"Kearney","given":"Maureen"},{"family":"Barabino","given":"Gilda"},{"family":"Malcom","given":"Shirley"}],"issued":{"date-parts":[["2022",3,8]]}}}],"schema":"https://github.com/citation-style-language/schema/raw/master/csl-citation.json"} </w:instrText>
      </w:r>
      <w:r w:rsidR="006C1114">
        <w:fldChar w:fldCharType="separate"/>
      </w:r>
      <w:r w:rsidR="006C1114" w:rsidRPr="006C1114">
        <w:rPr>
          <w:vertAlign w:val="superscript"/>
        </w:rPr>
        <w:t>11</w:t>
      </w:r>
      <w:r w:rsidR="006C1114">
        <w:fldChar w:fldCharType="end"/>
      </w:r>
      <w:r>
        <w:t xml:space="preserve">. At the discovery stage, </w:t>
      </w:r>
      <w:bookmarkStart w:id="6" w:name="_Hlk220421860"/>
      <w:r>
        <w:t>biobanks and cohort studies generate foundational data for genomic medicine, yet these resources concentrate overwhelmingly in high-income countries and predominantly European-ancestry populations</w:t>
      </w:r>
      <w:r w:rsidR="007B1E32">
        <w:t xml:space="preserve"> </w:t>
      </w:r>
      <w:bookmarkEnd w:id="6"/>
      <w:r w:rsidR="006C1114">
        <w:fldChar w:fldCharType="begin"/>
      </w:r>
      <w:r w:rsidR="00DE2DFB">
        <w:instrText xml:space="preserve"> ADDIN ZOTERO_ITEM CSL_CITATION {"citationID":"y6rs4p67","properties":{"unsorted":false,"formattedCitation":"\\super 12\\uc0\\u8211{}14\\nosupersub{}","plainCitation":"12–14","noteIndex":0},"citationItems":[{"id":1026,"uris":["http://zotero.org/users/16405780/items/EYAYUKZU"],"itemData":{"id":1026,"type":"article-journal","abstract":"Understanding how scientific resources drive discovery is crucial for maximizing research impact and allocating funding effectively. While prior studies have explored factors such as public trust, financing challenges, and participation in biobanks—repositories that have revolutionized biomedical research by providing standardized biological samples and data—we present a comprehensive quantitative analysis of biobanks’ impact and use. Our analysis reveals a concentration on limited disease areas, widespread coauthorship-for-access practices, and systemic undercitation of biobank resources. These findings demonstrate that traditional metrics fail to capture the true value of biobanks and offer a framework for evaluating scientific resources., Biobanks advance biomedical and clinical research by collecting and offering data and biological samples for numerous studies. However, the impact of these repositories varies greatly due to differences in their purpose, scope, governance, and data collected. Here, we computationally identified 2,663 biobanks and their textual mentions in 228,761 scientific articles, 16,210 grants, 15,469 patents, 1,769 clinical trials, and 9,468 public policy documents, helping characterize the academic communities that utilize and support them. We found a strong concentration of biobank-related research on a few diseases, including obesity, Alzheimer’s disease, breast cancer, and diabetes. Moreover, collaboration, rather than citation count, shapes the community’s recognition of a biobank. We show that, on average, 41.1% of articles fail to reference any of the biobank’s reference papers, but 59.6% include a biobank member as a coauthor. Using a generalized linear model, we identified the key factors that contribute to the impact of a biobank, finding that an impactful biobank tends to be more open to external researchers and that quality data—especially linked medical records—as opposed to large data, correlates with a higher impact in science, innovation, and disease. The collected data and findings are accessible through an open-access web application intended to inform strategies to expand access and maximize the value of these resources.","container-title":"Proceedings of the National Academy of Sciences of the United States of America","DOI":"10.1073/pnas.2427157122","ISSN":"0027-8424","issue":"16","journalAbbreviation":"Proc Natl Acad Sci U S A","page":"e2427157122","PMID":"40238453","PMCID":"PMC12037000","source":"PubMed Central","title":"Quantifying the impact of biobanks and cohort studies","volume":"122","author":[{"family":"Dorantes-Gilardi","given":"Rodrigo"},{"family":"Ivey","given":"Kerry L."},{"family":"Costa","given":"Lauren"},{"family":"Matty","given":"Rachael"},{"family":"Cho","given":"Kelly"},{"family":"Gaziano","given":"John Michael"},{"family":"Barabási","given":"Albert-László"}]}},{"id":547,"uris":["http://zotero.org/users/16405780/items/KATMC4JM"],"itemData":{"id":547,"type":"article-journal","abstract":"Two decades ago, the sequence of the first human genome was published. Since then, advances in genome technologies have resulted in whole-genome sequencing and microarray-based genotyping of millions of human genomes. However, genetic and genomic studies are predominantly based on populations of European ancestry. As a result, the potential benefits of genomic research-including better understanding of disease etiology, early detection and diagnosis, rational drug design and improved clinical care-may elude the many underrepresented populations. Here, we describe factors that have contributed to the imbalance in representation of different populations and, leveraging our experiences in setting up genomic studies in diverse global populations, we propose a roadmap to enhancing inclusion and ensuring equal health benefits of genomics advances. Our Perspective highlights the importance of sincere, concerted global efforts toward genomic equity to ensure the benefits of genomic medicine are accessible to all.","container-title":"Nat. Med.","DOI":"10.1038/s41591-021-01672-4","ISSN":"1078-8956","issue":"2","page":"243-250","title":"A roadmap to increase diversity in genomic studies","volume":"28","author":[{"family":"Fatumo","given":"Segun"},{"family":"Chikowore","given":"Tinashe"},{"family":"Choudhury","given":"Ananyo"},{"family":"Ayub","given":"Muhammad"},{"family":"Martin","given":"Alicia R."},{"family":"Kuchenbaecker","given":"Karoline"}],"issued":{"date-parts":[["2022"]]}}},{"id":109,"uris":["http://zotero.org/users/16405780/items/RRSYGQ54"],"itemData":{"id":109,"type":"article-journal","abstract":"Achieving diverse representation in biomedical data is critical for healthcare equity. Failure to do so perpetuates health disparities and exacerbates biases that may harm patients with underrepresented ancestral backgrounds. We present a quantitative assessment of representation in datasets used across human genomics, including genome-wide association studies (GWASs), pharmacogenomics, clinical trials, and direct-to-consumer (DTC) genetic testing. We suggest that relative proportions of ancestries represented in datasets, compared to the global census population, provide insufficient representation of global ancestral genetic diversity. Some populations have greater proportional representation in data relative to their population size and the genomic diversity present in their ancestral haplotypes. As insights from genomics become increasingly integrated into evidence-based medicine, strategic inclusion and effective mechanisms to ensure representation of global genomic diversity in datasets are imperative.","container-title":"Cell Genomics","DOI":"10.1016/j.xgen.2024.100724","ISSN":"2666-979X","issue":"1","journalAbbreviation":"Cell Genom","language":"eng","note":"PMID: 39694036\nPMCID: PMC11770215","page":"100724","source":"PubMed","title":"Bridging genomics' greatest challenge: The diversity gap","title-short":"Bridging genomics' greatest challenge","volume":"5","author":[{"family":"Corpas","given":"Manuel"},{"family":"Pius","given":"Mkpouto"},{"family":"Poburennaya","given":"Marie"},{"family":"Guio","given":"Heinner"},{"family":"Dwek","given":"Miriam"},{"family":"Nagaraj","given":"Shivashankar"},{"family":"Lopez-Correa","given":"Catalina"},{"family":"Popejoy","given":"Alice"},{"family":"Fatumo","given":"Segun"}],"issued":{"date-parts":[["2025",1,8]]}}}],"schema":"https://github.com/citation-style-language/schema/raw/master/csl-citation.json"} </w:instrText>
      </w:r>
      <w:r w:rsidR="006C1114">
        <w:fldChar w:fldCharType="separate"/>
      </w:r>
      <w:r w:rsidR="00DE2DFB" w:rsidRPr="00DE2DFB">
        <w:rPr>
          <w:vertAlign w:val="superscript"/>
        </w:rPr>
        <w:t>12–14</w:t>
      </w:r>
      <w:r w:rsidR="006C1114">
        <w:fldChar w:fldCharType="end"/>
      </w:r>
      <w:r>
        <w:t xml:space="preserve">. At the translation stage, clinical trials determine which interventions reach patients, yet </w:t>
      </w:r>
      <w:bookmarkStart w:id="7" w:name="_Hlk220421912"/>
      <w:r>
        <w:t>trial sites cluster in wealthy nations regardless of where disease burden is greatest</w:t>
      </w:r>
      <w:bookmarkEnd w:id="7"/>
      <w:r w:rsidR="007B1E32">
        <w:t xml:space="preserve"> </w:t>
      </w:r>
      <w:r w:rsidR="00B80B1B">
        <w:fldChar w:fldCharType="begin"/>
      </w:r>
      <w:r w:rsidR="00DE2DFB">
        <w:instrText xml:space="preserve"> ADDIN ZOTERO_ITEM CSL_CITATION {"citationID":"JZieixcY","properties":{"unsorted":false,"formattedCitation":"\\super 15\\nosupersub{}","plainCitation":"15","noteIndex":0},"citationItems":[{"id":1029,"uris":["http://zotero.org/users/16405780/items/WZHJE7L9"],"itemData":{"id":1029,"type":"article-journal","abstract":"Background\nThe number of dialysis recipients is growing worldwide, making it important that the full range of patient populations are represented in randomised trials. As trial recruitment has not previously been examined at a global level, we compared the location of trial sites recruiting to large multicentre randomised controlled trials (RCTs) in dialysis to the global distribution of dialysis recipients.\n\nMethods\nA systematic review (2007–2016) was conducted to identify RCTs enrolling ≥100 dialysis patients from ≥2 sites. The number and location of sites were extracted from manuscripts and trial registration. The proportion of sites from each International Society of Nephrology global region was divided by the proportion of the global dialysis population in that region to determine a ‘representation index’ (RI), where 1.0 indicated that the number of sites was proportionate to the number of dialysis recipients in that region.\n\nResults\nWe identified 180 RCTs, recruiting from 6172 sites in 54 countries. Eastern and Central Europe had the highest RI at 2.45. Other well-represented regions were Western Europe (2.20), North America (2.06), and Russia and newly independent states (1.36). Africa had the lowest RI at 0.05, followed by South Asia (0.08), Latin America (0.15), Middle East (0.27), North-East Asia (0.41), and South-East Asia and Oceania (0.62).\n\nConclusions\nRegions of the world with growing numbers of dialysis patients are poorly represented in large, multicentre RCTs. Efforts to boost trial participation in these regions are required to ensure that generalisable and relevant information is available to local healthcare providers.","container-title":"BMJ Global Health","DOI":"10.1136/bmjgh-2019-001940","ISSN":"2059-7908","issue":"6","journalAbbreviation":"BMJ Glob Health","page":"e001940","PMID":"31799004","PMCID":"PMC6861095","source":"PubMed Central","title":"Inequities in the global representation of sites participating in large, multicentre dialysis trials: a systematic review","title-short":"Inequities in the global representation of sites participating in large, multicentre dialysis trials","volume":"4","author":[{"family":"Smyth","given":"Brendan"},{"family":"Trongtrakul","given":"Konlawij"},{"family":"Haber","given":"Anna"},{"family":"Talbot","given":"B"},{"family":"Hawley","given":"Carmel"},{"family":"Perkovic","given":"Vlado"},{"family":"Woodward","given":"Mark"},{"family":"Jardine","given":"Meg"}],"issued":{"date-parts":[["2019",11,12]]}}}],"schema":"https://github.com/citation-style-language/schema/raw/master/csl-citation.json"} </w:instrText>
      </w:r>
      <w:r w:rsidR="00B80B1B">
        <w:fldChar w:fldCharType="separate"/>
      </w:r>
      <w:r w:rsidR="00DE2DFB" w:rsidRPr="00DE2DFB">
        <w:rPr>
          <w:vertAlign w:val="superscript"/>
        </w:rPr>
        <w:t>15</w:t>
      </w:r>
      <w:r w:rsidR="00B80B1B">
        <w:fldChar w:fldCharType="end"/>
      </w:r>
      <w:r>
        <w:t xml:space="preserve">. At the knowledge stage, </w:t>
      </w:r>
      <w:r w:rsidR="0063242F">
        <w:t>a</w:t>
      </w:r>
      <w:r w:rsidR="0063242F" w:rsidRPr="0063242F">
        <w:t>lthough bibliometric and semantics</w:t>
      </w:r>
      <w:r w:rsidR="0063242F" w:rsidRPr="0063242F">
        <w:noBreakHyphen/>
        <w:t>enabled literature analysis methods exist, they have rarely been used to assess whether specific diseases occupy marginalised positions within the semantic landscape of published science</w:t>
      </w:r>
      <w:r w:rsidR="0063242F">
        <w:t xml:space="preserve"> </w:t>
      </w:r>
      <w:r w:rsidR="0063242F">
        <w:fldChar w:fldCharType="begin"/>
      </w:r>
      <w:r w:rsidR="00DE2DFB">
        <w:instrText xml:space="preserve"> ADDIN ZOTERO_ITEM CSL_CITATION {"citationID":"LumruTal","properties":{"unsorted":false,"formattedCitation":"\\super 16\\nosupersub{}","plainCitation":"16","noteIndex":0},"citationItems":[{"id":1032,"uris":["http://zotero.org/users/16405780/items/F99Y6Y8N"],"itemData":{"id":1032,"type":"article-journal","abstract":"Background\nBaseline data on global research activity on health and human rights (HHR) needs to be assessed and analyzed to identify research gaps and to prioritize funding and research agendas. Therefore, the aim of this study was to assess the growth of publications and research pattern on HHR.\n\nMethods\nA bibliometric methodology was used. Literature on HHR was retrieved using SciVerse Scopus for the study period from 1900 to 2017. Nine different search scenarios with different keyword combinations were used to retrieve the required documents. All types of documents published in peer-reviewed journals, including editorials, were included. The search strategy was validated.\n\nResults\nIn total 6513 documents were retrieved with an h-index of 88 and an average of 9.8 citations per document. Publications on HHR field started as early as 1950 but showed a steep rise in the past two decades. Visualization of author keywords revealed that HIV/ AIDS, mental health, maternal and reproductive health, violence, ethics, torture, and refugees were most commonly encountered keywords. The journal “Health and Human Rights” was most active (n = 467; 7.2%) in this field. However, documents that appeared in The Lancet received the highest impact (29.5 citations per document). The United States of America produced the most in this field (n = 1817; 27.9%). Researchers in the region of Americas participated in approximately 45% of the retrieved documents while researchers in the Eastern Mediterranean region had the least contribution (2.5%). Researchers in high-income countries contributed to approximately 78% of the retrieved documents while researchers in low-income countries contributed to less than 5% of the retrieved documents. When data were standardized by population size, the research output from high-income countries was approximately four documents per one million inhabitants. For middle-income countries, the research output was 0.3 document per one million inhabitants. For low-income countries, the research output was 0.5 document per one million inhabitants.\n\nConclusions\nDifferential research productivity on HHR was seen among scholars in different world regions. World countries need to encourage and strengthen research on HHR in order to achieve the goals set in international agreements of human rights.\n\nElectronic supplementary material\nThe online version of this article (10.1186/s41256-018-0085-8) contains supplementary material, which is available to authorized users.","container-title":"Global Health Research and Policy","DOI":"10.1186/s41256-018-0085-8","ISSN":"2397-0642","journalAbbreviation":"Glob Health Res Policy","page":"30","PMID":"30377667","PMCID":"PMC6196451","source":"PubMed Central","title":"A bibliometric analysis of global research output on health and human rights (1900–2017)","volume":"3","author":[{"family":"Sweileh","given":"Waleed M."}],"issued":{"date-parts":[["2018",10,22]]}}}],"schema":"https://github.com/citation-style-language/schema/raw/master/csl-citation.json"} </w:instrText>
      </w:r>
      <w:r w:rsidR="0063242F">
        <w:fldChar w:fldCharType="separate"/>
      </w:r>
      <w:r w:rsidR="00DE2DFB" w:rsidRPr="00DE2DFB">
        <w:rPr>
          <w:vertAlign w:val="superscript"/>
        </w:rPr>
        <w:t>16</w:t>
      </w:r>
      <w:r w:rsidR="0063242F">
        <w:fldChar w:fldCharType="end"/>
      </w:r>
      <w:r>
        <w:t>.</w:t>
      </w:r>
    </w:p>
    <w:p w14:paraId="3C626944" w14:textId="5434E4E2" w:rsidR="00AE5DA4" w:rsidRDefault="00000000">
      <w:pPr>
        <w:spacing w:after="200" w:line="360" w:lineRule="auto"/>
      </w:pPr>
      <w:r>
        <w:t>Previous efforts to quantify research equity have focused on single dimensions: publication counts relative to disease burden</w:t>
      </w:r>
      <w:r w:rsidR="0063242F">
        <w:t xml:space="preserve"> </w:t>
      </w:r>
      <w:r w:rsidR="0063242F">
        <w:fldChar w:fldCharType="begin"/>
      </w:r>
      <w:r w:rsidR="0063242F">
        <w:instrText xml:space="preserve"> ADDIN ZOTERO_ITEM CSL_CITATION {"citationID":"QVJXIkMu","properties":{"unsorted":false,"formattedCitation":"\\super 4\\nosupersub{}","plainCitation":"4","noteIndex":0},"citationItems":[{"id":1003,"uris":["http://zotero.org/users/16405780/items/KSC55PZ7"],"itemData":{"id":1003,"type":"article-journal","abstract":"Most studies on global health inequality consider unequal health care and socio-economic conditions but neglect inequality in the production of health knowledge relevant to addressing disease burden. We demonstrate this inequality and identify likely causes. Using disability-adjusted life years (DALYs) for 111 prominent medical conditions, assessed globally and nationally by the World Health Organization, we linked DALYs with MEDLINE articles for each condition to assess the influence of DALY-based global disease burden, compared to the global market for treatment, on the production of relevant MEDLINE articles, systematic reviews, clinical trials and research using animal models vs. humans. We then explored how DALYs, wealth, and the production of research within countries correlate with this global pattern. We show that global DALYs for each condition had a small, significant negative relationship with the production of each type of MEDLINE articles for that condition. Local processes of health research appear to be behind this. Clinical trials and animal studies but not systematic reviews produced within countries were strongly guided by local DALYs. More and less developed countries had very different disease profiles and rich countries publish much more than poor countries. Accordingly, conditions common to developed countries garnered more clinical research than those common to less developed countries. Many of the health needs in less developed countries do not attract attention among developed country researchers who produce the vast majority of global health knowledge—including clinical trials—in response to their own local needs. This raises concern about the amount of knowledge relevant to poor populations deficient in their own research infrastructure. We recommend measures to address this critical dimension of global health inequality.","container-title":"PLoS ONE","DOI":"10.1371/journal.pone.0090147","ISSN":"1932-6203","issue":"4","journalAbbreviation":"PLoS One","page":"e90147","PMID":"24691431","PMCID":"PMC3972174","source":"PubMed Central","title":"Attention to Local Health Burden and the Global Disparity of Health Research","volume":"9","author":[{"family":"Evans","given":"James A."},{"family":"Shim","given":"Jae-Mahn"},{"family":"Ioannidis","given":"John P. A."}],"issued":{"date-parts":[["2014",4,1]]}}}],"schema":"https://github.com/citation-style-language/schema/raw/master/csl-citation.json"} </w:instrText>
      </w:r>
      <w:r w:rsidR="0063242F">
        <w:fldChar w:fldCharType="separate"/>
      </w:r>
      <w:r w:rsidR="0063242F" w:rsidRPr="0063242F">
        <w:rPr>
          <w:vertAlign w:val="superscript"/>
        </w:rPr>
        <w:t>4</w:t>
      </w:r>
      <w:r w:rsidR="0063242F">
        <w:fldChar w:fldCharType="end"/>
      </w:r>
      <w:r>
        <w:t>, clinical trial registration by geography</w:t>
      </w:r>
      <w:r w:rsidR="0063242F">
        <w:t xml:space="preserve"> </w:t>
      </w:r>
      <w:r w:rsidR="0063242F">
        <w:fldChar w:fldCharType="begin"/>
      </w:r>
      <w:r w:rsidR="00DE2DFB">
        <w:instrText xml:space="preserve"> ADDIN ZOTERO_ITEM CSL_CITATION {"citationID":"H0TfffTE","properties":{"unsorted":false,"formattedCitation":"\\super 15\\nosupersub{}","plainCitation":"15","noteIndex":0},"citationItems":[{"id":1029,"uris":["http://zotero.org/users/16405780/items/WZHJE7L9"],"itemData":{"id":1029,"type":"article-journal","abstract":"Background\nThe number of dialysis recipients is growing worldwide, making it important that the full range of patient populations are represented in randomised trials. As trial recruitment has not previously been examined at a global level, we compared the location of trial sites recruiting to large multicentre randomised controlled trials (RCTs) in dialysis to the global distribution of dialysis recipients.\n\nMethods\nA systematic review (2007–2016) was conducted to identify RCTs enrolling ≥100 dialysis patients from ≥2 sites. The number and location of sites were extracted from manuscripts and trial registration. The proportion of sites from each International Society of Nephrology global region was divided by the proportion of the global dialysis population in that region to determine a ‘representation index’ (RI), where 1.0 indicated that the number of sites was proportionate to the number of dialysis recipients in that region.\n\nResults\nWe identified 180 RCTs, recruiting from 6172 sites in 54 countries. Eastern and Central Europe had the highest RI at 2.45. Other well-represented regions were Western Europe (2.20), North America (2.06), and Russia and newly independent states (1.36). Africa had the lowest RI at 0.05, followed by South Asia (0.08), Latin America (0.15), Middle East (0.27), North-East Asia (0.41), and South-East Asia and Oceania (0.62).\n\nConclusions\nRegions of the world with growing numbers of dialysis patients are poorly represented in large, multicentre RCTs. Efforts to boost trial participation in these regions are required to ensure that generalisable and relevant information is available to local healthcare providers.","container-title":"BMJ Global Health","DOI":"10.1136/bmjgh-2019-001940","ISSN":"2059-7908","issue":"6","journalAbbreviation":"BMJ Glob Health","page":"e001940","PMID":"31799004","PMCID":"PMC6861095","source":"PubMed Central","title":"Inequities in the global representation of sites participating in large, multicentre dialysis trials: a systematic review","title-short":"Inequities in the global representation of sites participating in large, multicentre dialysis trials","volume":"4","author":[{"family":"Smyth","given":"Brendan"},{"family":"Trongtrakul","given":"Konlawij"},{"family":"Haber","given":"Anna"},{"family":"Talbot","given":"B"},{"family":"Hawley","given":"Carmel"},{"family":"Perkovic","given":"Vlado"},{"family":"Woodward","given":"Mark"},{"family":"Jardine","given":"Meg"}],"issued":{"date-parts":[["2019",11,12]]}}}],"schema":"https://github.com/citation-style-language/schema/raw/master/csl-citation.json"} </w:instrText>
      </w:r>
      <w:r w:rsidR="0063242F">
        <w:fldChar w:fldCharType="separate"/>
      </w:r>
      <w:r w:rsidR="00DE2DFB" w:rsidRPr="00DE2DFB">
        <w:rPr>
          <w:vertAlign w:val="superscript"/>
        </w:rPr>
        <w:t>15</w:t>
      </w:r>
      <w:r w:rsidR="0063242F">
        <w:fldChar w:fldCharType="end"/>
      </w:r>
      <w:r>
        <w:t>, or funding allocation across disease categories</w:t>
      </w:r>
      <w:r w:rsidR="0063242F">
        <w:t xml:space="preserve"> </w:t>
      </w:r>
      <w:r w:rsidR="0063242F">
        <w:fldChar w:fldCharType="begin"/>
      </w:r>
      <w:r w:rsidR="00DE2DFB">
        <w:instrText xml:space="preserve"> ADDIN ZOTERO_ITEM CSL_CITATION {"citationID":"3q66grA1","properties":{"unsorted":false,"formattedCitation":"\\super 17\\nosupersub{}","plainCitation":"17","noteIndex":0},"citationItems":[{"id":1035,"uris":["http://zotero.org/users/16405780/items/MIHYPTU6"],"itemData":{"id":1035,"type":"article-journal","abstract":"Background\nMinisters of health, donor agencies, philanthropists, and international agencies will meet at Bamako, Mali, in November, 2008, to review global priorities for health research. These individuals and organisations previously set health priorities for WHO, either through its regular budget or extra-budgetary funds. We asked what insights can be gained as to their priorities from previous decisions within the context of WHO.\n\nMethods\nWe compared the WHO biennial budgetary allocations with the burden of disease from 1994–95 to 2008–09. We obtained data from publicly available WHO sources and examined whether WHO allocations varied with the burden of disease (defined by death and disability-adjusted life years) by comparing two WHO regions—Western Pacific and Africa—that are at differing stages of epidemiological transition. We further assessed whether the allocations differed on the basis of the source of funds (assessed and voluntary contributions) and the mechanism for deciding how funds were spent.\n\nFindings\nWe noted that WHO budget allocations were heavily skewed toward infectious diseases. In 2006–07, WHO allocated 87% of its total budget to infectious diseases, 12% to non-communicable diseases, and less than 1% to injuries and violence. We recorded a similar distribution of funding in Africa, where nearly three-quarters of mortality is from infectious disease, and in Western Pacific, where three-quarters of mortality is from non-communicable disease. In both regions, injuries received only 1% of total resources. The skew towards infectious diseases was substantially greater for the WHO extra-budget, which is allocated by donors and has risen greatly in recent years, than for the WHO regular budget, which is decided on by member states through democratic mechanisms and has been held at zero nominal growth.\n\nInterpretation\nDecision makers at Bamako should consider the implications of the present misalignment of global health priorities and disease burden for health research worldwide. Funds allocated by external donors substantially differ from those allocated by WHO member states. The meeting at Bamako provides an opportunity to consider how this disparity might be addressed.\n\nFunding\nNone.","container-title":"Lancet (London, England)","DOI":"10.1016/S0140-6736(08)61656-6","ISSN":"0140-6736","issue":"9649","journalAbbreviation":"Lancet","page":"1563-1569","PMID":"18984189","PMCID":"PMC7159087","source":"PubMed Central","title":"WHO's budgetary allocations and burden of disease: a comparative analysis","title-short":"WHO's budgetary allocations and burden of disease","volume":"372","author":[{"family":"Stuckler","given":"David"},{"family":"King","given":"Lawrence"},{"family":"Robinson","given":"Helen"},{"family":"McKee","given":"Martin"}],"issued":{"date-parts":[["2008"]]}}}],"schema":"https://github.com/citation-style-language/schema/raw/master/csl-citation.json"} </w:instrText>
      </w:r>
      <w:r w:rsidR="0063242F">
        <w:fldChar w:fldCharType="separate"/>
      </w:r>
      <w:r w:rsidR="00DE2DFB" w:rsidRPr="00DE2DFB">
        <w:rPr>
          <w:vertAlign w:val="superscript"/>
        </w:rPr>
        <w:t>17</w:t>
      </w:r>
      <w:r w:rsidR="0063242F">
        <w:fldChar w:fldCharType="end"/>
      </w:r>
      <w:r>
        <w:t xml:space="preserve">. While valuable, </w:t>
      </w:r>
      <w:r w:rsidR="001968DD">
        <w:t>e</w:t>
      </w:r>
      <w:r w:rsidR="0063242F" w:rsidRPr="0063242F">
        <w:t>xisting single</w:t>
      </w:r>
      <w:r w:rsidR="0063242F" w:rsidRPr="0063242F">
        <w:noBreakHyphen/>
        <w:t>dimension metrics cannot capture </w:t>
      </w:r>
      <w:r w:rsidR="0063242F" w:rsidRPr="0063242F">
        <w:rPr>
          <w:i/>
          <w:iCs/>
        </w:rPr>
        <w:t>compounding disadvantage</w:t>
      </w:r>
      <w:r w:rsidR="0063242F" w:rsidRPr="0063242F">
        <w:t>, whereby diseases that are neglected in publication and early</w:t>
      </w:r>
      <w:r w:rsidR="0063242F" w:rsidRPr="0063242F">
        <w:noBreakHyphen/>
        <w:t xml:space="preserve">stage research then encounter systematic barriers in downstream product development and </w:t>
      </w:r>
      <w:r w:rsidR="0063242F" w:rsidRPr="0063242F">
        <w:lastRenderedPageBreak/>
        <w:t>implementation</w:t>
      </w:r>
      <w:r w:rsidR="0063242F">
        <w:t xml:space="preserve"> </w:t>
      </w:r>
      <w:r w:rsidR="0063242F">
        <w:fldChar w:fldCharType="begin"/>
      </w:r>
      <w:r w:rsidR="00DE2DFB">
        <w:instrText xml:space="preserve"> ADDIN ZOTERO_ITEM CSL_CITATION {"citationID":"AF7aBW2l","properties":{"unsorted":false,"formattedCitation":"\\super 4,18\\nosupersub{}","plainCitation":"4,18","noteIndex":0},"citationItems":[{"id":1003,"uris":["http://zotero.org/users/16405780/items/KSC55PZ7"],"itemData":{"id":1003,"type":"article-journal","abstract":"Most studies on global health inequality consider unequal health care and socio-economic conditions but neglect inequality in the production of health knowledge relevant to addressing disease burden. We demonstrate this inequality and identify likely causes. Using disability-adjusted life years (DALYs) for 111 prominent medical conditions, assessed globally and nationally by the World Health Organization, we linked DALYs with MEDLINE articles for each condition to assess the influence of DALY-based global disease burden, compared to the global market for treatment, on the production of relevant MEDLINE articles, systematic reviews, clinical trials and research using animal models vs. humans. We then explored how DALYs, wealth, and the production of research within countries correlate with this global pattern. We show that global DALYs for each condition had a small, significant negative relationship with the production of each type of MEDLINE articles for that condition. Local processes of health research appear to be behind this. Clinical trials and animal studies but not systematic reviews produced within countries were strongly guided by local DALYs. More and less developed countries had very different disease profiles and rich countries publish much more than poor countries. Accordingly, conditions common to developed countries garnered more clinical research than those common to less developed countries. Many of the health needs in less developed countries do not attract attention among developed country researchers who produce the vast majority of global health knowledge—including clinical trials—in response to their own local needs. This raises concern about the amount of knowledge relevant to poor populations deficient in their own research infrastructure. We recommend measures to address this critical dimension of global health inequality.","container-title":"PLoS ONE","DOI":"10.1371/journal.pone.0090147","ISSN":"1932-6203","issue":"4","journalAbbreviation":"PLoS One","page":"e90147","PMID":"24691431","PMCID":"PMC3972174","source":"PubMed Central","title":"Attention to Local Health Burden and the Global Disparity of Health Research","volume":"9","author":[{"family":"Evans","given":"James A."},{"family":"Shim","given":"Jae-Mahn"},{"family":"Ioannidis","given":"John P. A."}],"issued":{"date-parts":[["2014",4,1]]}}},{"id":1038,"uris":["http://zotero.org/users/16405780/items/EADLM5CG"],"itemData":{"id":1038,"type":"article-journal","abstract":"The current drug R&amp;D pipeline for most neglected diseases remains weak, and unlikely to support registration of novel drug classes that meet desired target product profiles in the short term. This calls for sustained investment as well as greater emphasis in the risky upstream drug discovery. Access to technologies, resources, and strong management as well as clear compound progression criteria are factors in the successful implementation of any collaborative drug discovery effort. We discuss how some of these factors have impacted drug discovery for tropical diseases within the past four decades, and highlight new opportunities and challenges through the virtual North–South drug discovery network as well as the rationale for greater participation of institutions in developing countries in product innovation. A set of criteria designed to facilitate compound progression from screening hits to drug candidate selection is presented to guide ongoing efforts.","container-title":"PLoS Neglected Tropical Diseases","DOI":"10.1371/journal.pntd.0000440","ISSN":"1935-2727","issue":"8","journalAbbreviation":"PLoS Negl Trop Dis","page":"e440","PMID":"19707561","PMCID":"PMC2727960","source":"PubMed Central","title":"Advancing Drug Innovation for Neglected Diseases—Criteria for Lead Progression","volume":"3","author":[{"family":"Nwaka","given":"Solomon"},{"family":"Ramirez","given":"Bernadette"},{"family":"Brun","given":"Reto"},{"family":"Maes","given":"Louis"},{"family":"Douglas","given":"Frank"},{"family":"Ridley","given":"Robert"}],"issued":{"date-parts":[["2009",8,25]]}}}],"schema":"https://github.com/citation-style-language/schema/raw/master/csl-citation.json"} </w:instrText>
      </w:r>
      <w:r w:rsidR="0063242F">
        <w:fldChar w:fldCharType="separate"/>
      </w:r>
      <w:r w:rsidR="00DE2DFB" w:rsidRPr="00DE2DFB">
        <w:rPr>
          <w:vertAlign w:val="superscript"/>
        </w:rPr>
        <w:t>4,18</w:t>
      </w:r>
      <w:r w:rsidR="0063242F">
        <w:fldChar w:fldCharType="end"/>
      </w:r>
      <w:r>
        <w:t xml:space="preserve">. </w:t>
      </w:r>
      <w:r w:rsidR="0063242F" w:rsidRPr="0063242F">
        <w:t>A disease absent from major biobanks is unlikely to benefit from large-scale genomic discoveries, tends to attract fewer clinical trials and a smaller, more fragmented literature base, and thus risks remaining neglected over time</w:t>
      </w:r>
      <w:r w:rsidR="0063242F" w:rsidRPr="0063242F">
        <w:t xml:space="preserve"> </w:t>
      </w:r>
      <w:r w:rsidR="00534DB9">
        <w:fldChar w:fldCharType="begin"/>
      </w:r>
      <w:r w:rsidR="00DE2DFB">
        <w:instrText xml:space="preserve"> ADDIN ZOTERO_ITEM CSL_CITATION {"citationID":"59yrWXU0","properties":{"unsorted":false,"formattedCitation":"\\super 19\\uc0\\u8211{}21\\nosupersub{}","plainCitation":"19–21","noteIndex":0},"citationItems":[{"id":1041,"uris":["http://zotero.org/users/16405780/items/Z4TQJ7QD"],"itemData":{"id":1041,"type":"article-journal","abstract":"Biobanks are invaluable resources in genomic research of both the infectious diseases and their hosts. This article examines the role of biobanks in basic research of infectious disease genomics, as well as the relevance and applicability of ...","container-title":"Applied &amp; Translational Genomics","DOI":"10.1016/j.atg.2014.04.001","issue":"2","language":"en","page":"30","PMID":"27275411","source":"pmc.ncbi.nlm.nih.gov","title":"Biobanking and translation of human genetics and genomics for infectious diseases","volume":"3","author":[{"family":"Branković","given":"Ivan"},{"family":"Malogajski","given":"Jelena"},{"family":"Morré","given":"Servaas A."}],"issued":{"date-parts":[["2014",4,12]]}}},{"id":1044,"uris":["http://zotero.org/users/16405780/items/STP55PPW"],"itemData":{"id":1044,"type":"article-journal","abstract":"Background\nAlleviating the burden of rare diseases requires research into new diagnostic and therapeutic strategies. We undertook a systematic review to identify and compare the impact of stand-alone registries, registries with biobanks, and rare disease biobanks on research outcomes in rare diseases.\n\nMethods\nA systematic review and meta-aggregation was conducted using the preferred reporting items for systematic reviews and meta-analyses (the PRISMA statement). English language publications were sourced from PubMed, Medline, Scopus, and Web of Science. Original research papers that reported clinical, epidemiological, basic or translational research findings derived from data contained in stand-alone registries, registries with biobanks, and rare disease biobanks were considered. Articles selected for inclusion were assessed using the critical appraisal instruments by JBI-QARI. Each article was read in its entirety and findings were extracted using the online data extraction software from JBI-QARI.\n\nResults\nThirty studies including 28 rare disease resources were included in the review. Of those, 14 registries were not associated to biobank infrastructure, 9 registries were associated with biobank infrastructure, and 6 were rare disease biobank resources. Stand-alone registries had the capacity to uncover the natural history of disease and contributed to evidence-based practice. When annexed to biobank infrastructure, registries could also identify and validate biomarkers, uncover novel genes, elucidate pathogenesis at the Omics level, and develop new therapeutic strategies. Rare disease biobanks in this review had similar capacity for biological investigations, but in addition, had far greater sample numbers and higher quality laboratory techniques for quality assurance processes.\n\nDiscussion\nWe examined the research outcomes of three specific populations: stand-alone registries, registries with biobanks, and stand-alone rare disease biobanks and demonstrated that there are key differences among these resources. These differences are a function of the resources’ design, aims, and objectives, with each resource having a distinctive and important role in contributing to the body of knowledge for rare disease research. Whilst stand-alone registries had the capacity to uncover the natural history of disease, develop best practice, replace clinical trials, and improve patient outcomes, they were limited in their capacity to conduct basic research. The role of basic research in rare disease research is vital; scientists must first understand the pathways of disease before they can develop appropriate interventions. Rare disease biobanks, on the other hand (particularly larger biobanks), had the key infrastructure required to conduct basic research, making novel Omics discoveries, identify and validate biomarkers, uncover novel genes, and develop new therapeutic strategies. However, these stand-alone rare disease biobanks did not collect comprehensive data or impact on clinical observations like a rare disease registry., Rare disease research is important not only for rare diseases, but also for also common diseases. For example, research of low-density lipoprotein (LDL)-receptors in the rare disease known as familial hypercholesterolemia led to the discovery of statins, a drug therapy that is now used routinely to prevent heart disease.\n\nConclusions\nRare diseases are still under-researched worldwide. This review made the important observation that registries with biobanks had the function of both stand-alone registries (the capacity to collect comprehensive clinical and epidemiological data) and stand-alone rare disease biobanks (the ability to contribute to Omics research). We found registries with biobanks offer a unique, practical, cost-effective, and impactful solution for rare disease research. Linkage of stand-alone registries to rare disease biobanks will provide the appropriate resources required for the effective translation of basic research into clinical practice. Furthermore, facilitators such as collaboration, engagement, blended recruitment, pro-active marketing, broad consent, and “virtual biobank” online catalogues will, if utilised, add to the success of these resources. These important observations can serve to direct future rare diseases research efforts, ultimately improve patient outcomes and alleviate the significant burden associated with rare disease for clinicians, hospitals, society, and most importantly, the patients and their families.\n\nElectronic supplementary material\nThe online version of this article (10.1186/s13023-018-0942-z) contains supplementary material, which is available to authorized users.","container-title":"Orphanet Journal of Rare Diseases","DOI":"10.1186/s13023-018-0942-z","ISSN":"1750-1172","journalAbbreviation":"Orphanet J Rare Dis","page":"202","PMID":"30419920","PMCID":"PMC6233271","source":"PubMed Central","title":"Impact of biobanks on research outcomes in rare diseases: a systematic review","title-short":"Impact of biobanks on research outcomes in rare diseases","volume":"13","author":[{"family":"Garcia","given":"Monique"},{"family":"Downs","given":"Jenny"},{"family":"Russell","given":"Alyce"},{"family":"Wang","given":"Wei"}],"issued":{"date-parts":[["2018",11,12]]}}},{"id":1048,"uris":["http://zotero.org/users/16405780/items/NKYT664N"],"itemData":{"id":1048,"type":"article-journal","abstract":"Rare diseases (RDs) are conditions affecting fewer than 1 in 2,000 individuals in the general population. Despite their low individual prevalence, their collective impact poses significant challenges to healthcare systems worldwide. Several factors, such as limited patient numbers, fragmented data collection, and high genotypic and phenotypic heterogeneity, contribute to diagnostic delays. These challenges also hinder research and the development of effective therapeutics, leading to significant clinical, economic, and societal burdens Biobanks, organized collections of biological samples and their associated data, are essential in addressing these challenges. In this review, we explored key aspects of biobanking for RDs, including operational, ethical, and legal considerations. The need for standardized frameworks and the importance of international collaboration through biobanking networks have been discussed. Future directions, including the integration of artificial intelligence, the implementation of dynamic consent models, and the adoption of decentralized data-sharing approaches, have also been highlighted. We also summarized the functions of biobanks in RD research, including their impact on identifying genetic variants, understanding disease mechanisms, discovering diagnostic markers, and creating personalized therapeutic approaches. By storing high-quality biospecimens and data collected in adherence with ethical and legal requirements, biobanks have been transforming the landscape of diagnosis and treatment, ultimately improving patient outcomes and fostering innovation in precision medicine for RDs.","container-title":"Inherited Metabolic Disorders and Nutrition","DOI":"10.4274/imdn.galenos.2025.2025-6","ISSN":"31084672","journalAbbreviation":"imdn","language":"en","source":"DOI.org (Crossref)","title":"Biobanks and Their Contribution to the Field of Rare Diseases: Current Landscape, Challenges, and Future Directions","title-short":"Biobanks and Their Contribution to the Field of Rare Diseases","URL":"https://imdnjournal.com/articles/biobanks-and-their-contribution-to-the-field-of-rare-diseases-current-landscape-challenges-and-future-directions/doi/imdn.galenos.2025.2025-6","author":[{"family":"Tercan Avcı","given":"Sanem"},{"family":"Çelebi","given":"Çağlar"},{"family":"Özkalay","given":"Beste"},{"family":"Özbek","given":"Uğur"},{"family":"Atabey","given":"Neşe"}],"accessed":{"date-parts":[["2026",1,27]]},"issued":{"date-parts":[["2025",10,22]]}}}],"schema":"https://github.com/citation-style-language/schema/raw/master/csl-citation.json"} </w:instrText>
      </w:r>
      <w:r w:rsidR="00534DB9">
        <w:fldChar w:fldCharType="separate"/>
      </w:r>
      <w:r w:rsidR="00DE2DFB" w:rsidRPr="00DE2DFB">
        <w:rPr>
          <w:vertAlign w:val="superscript"/>
        </w:rPr>
        <w:t>19–21</w:t>
      </w:r>
      <w:r w:rsidR="00534DB9">
        <w:fldChar w:fldCharType="end"/>
      </w:r>
      <w:r>
        <w:t>. Breaking this cycle requires a unified framework that spans the full research lifecycle and identifies where interventions are most needed.</w:t>
      </w:r>
    </w:p>
    <w:p w14:paraId="266D3A42" w14:textId="047EC5E4" w:rsidR="00AE5DA4" w:rsidRDefault="00000000" w:rsidP="006D5625">
      <w:pPr>
        <w:spacing w:after="200" w:line="360" w:lineRule="auto"/>
      </w:pPr>
      <w:r>
        <w:t>Here we introduce the Health Equity Informative Metrics (HEIM) framework (</w:t>
      </w:r>
      <w:r w:rsidRPr="006D40FC">
        <w:rPr>
          <w:b/>
          <w:bCs/>
        </w:rPr>
        <w:t>Fig. 1</w:t>
      </w:r>
      <w:r>
        <w:t xml:space="preserve">), a three-dimensional analysis of </w:t>
      </w:r>
      <w:r w:rsidR="003A0F3B">
        <w:t xml:space="preserve">biomedical </w:t>
      </w:r>
      <w:r>
        <w:t xml:space="preserve">research equity encompassing Discovery (biobank research output), Translation (clinical trial </w:t>
      </w:r>
      <w:r w:rsidR="003A0F3B">
        <w:t>data</w:t>
      </w:r>
      <w:r>
        <w:t>), and Knowledge (semantic structure of scientific literature). We analysed 70 biobanks from the International Health Cohorts Consortium across 29 countries</w:t>
      </w:r>
      <w:r w:rsidR="006D40FC">
        <w:t xml:space="preserve"> </w:t>
      </w:r>
      <w:r w:rsidR="00534DB9">
        <w:fldChar w:fldCharType="begin"/>
      </w:r>
      <w:r w:rsidR="00534DB9">
        <w:instrText xml:space="preserve"> ADDIN ZOTERO_ITEM CSL_CITATION {"citationID":"NSqM7Ly2","properties":{"unsorted":false,"formattedCitation":"\\super 2\\nosupersub{}","plainCitation":"2","noteIndex":0},"citationItems":[{"id":998,"uris":["http://zotero.org/users/16405780/items/79GINWJ6"],"itemData":{"id":998,"type":"article-journal","abstract":"Established in 2018 to push beyond the constraints of individual health and population cohorts, the IHCC is a community of cohorts advancing global science and health. We summarize the collective resources of 69 member cohorts, representing over 34 million people.","container-title":"Communications Medicine","DOI":"10.1038/s43856-025-01026-y","ISSN":"2730-664X","issue":"1","journalAbbreviation":"Commun Med","language":"en","license":"2025 The Author(s)","page":"366","publisher":"Nature Publishing Group","source":"www.nature.com","title":"The International Health Cohorts Consortium (IHCC) advances population health research and genomic discovery","volume":"5","author":[{"family":"Connolly","given":"John J."},{"family":"Sundseth","given":"Scott"},{"family":"Wood","given":"Grant M."},{"family":"Nwaneri","given":"Chisom"},{"family":"Ginsburg","given":"Geoffrey"},{"family":"Awadalla","given":"Philip"},{"family":"Ramsay","given":"Michele"},{"family":"Keane","given":"Thomas"},{"family":"Goodhand","given":"Peter"},{"family":"Butterworth","given":"Adam S."},{"family":"Hakonarson","given":"Hakon"}],"issued":{"date-parts":[["2025",8,21]]}}}],"schema":"https://github.com/citation-style-language/schema/raw/master/csl-citation.json"} </w:instrText>
      </w:r>
      <w:r w:rsidR="00534DB9">
        <w:fldChar w:fldCharType="separate"/>
      </w:r>
      <w:r w:rsidR="00534DB9" w:rsidRPr="00534DB9">
        <w:rPr>
          <w:vertAlign w:val="superscript"/>
        </w:rPr>
        <w:t>2</w:t>
      </w:r>
      <w:r w:rsidR="00534DB9">
        <w:fldChar w:fldCharType="end"/>
      </w:r>
      <w:r>
        <w:t xml:space="preserve">, </w:t>
      </w:r>
      <w:r w:rsidR="006D5625">
        <w:t xml:space="preserve">563,725 registered </w:t>
      </w:r>
      <w:r w:rsidR="006D5625">
        <w:t xml:space="preserve">clinical </w:t>
      </w:r>
      <w:r w:rsidR="006D5625">
        <w:t>trials</w:t>
      </w:r>
      <w:r w:rsidR="006D5625">
        <w:t xml:space="preserve"> </w:t>
      </w:r>
      <w:r w:rsidR="006D5625">
        <w:fldChar w:fldCharType="begin"/>
      </w:r>
      <w:r w:rsidR="00DE2DFB">
        <w:instrText xml:space="preserve"> ADDIN ZOTERO_ITEM CSL_CITATION {"citationID":"uhWyuCyo","properties":{"unsorted":false,"formattedCitation":"\\super 22\\nosupersub{}","plainCitation":"22","noteIndex":0},"citationItems":[{"id":1051,"uris":["http://zotero.org/users/16405780/items/ZEMBQ7SY"],"itemData":{"id":1051,"type":"webpage","abstract":"Trends and Charts on Registered Studies","language":"en","title":"Trends and Charts on Registered Studies | ClinicalTrials.gov","URL":"https://clinicaltrials.gov/about-site/trends-charts","accessed":{"date-parts":[["2026",1,27]]}}}],"schema":"https://github.com/citation-style-language/schema/raw/master/csl-citation.json"} </w:instrText>
      </w:r>
      <w:r w:rsidR="006D5625">
        <w:fldChar w:fldCharType="separate"/>
      </w:r>
      <w:r w:rsidR="00DE2DFB" w:rsidRPr="00DE2DFB">
        <w:rPr>
          <w:vertAlign w:val="superscript"/>
        </w:rPr>
        <w:t>22</w:t>
      </w:r>
      <w:r w:rsidR="006D5625">
        <w:fldChar w:fldCharType="end"/>
      </w:r>
      <w:r>
        <w:t>, and 13.1 million PubMed abstracts spanning 2</w:t>
      </w:r>
      <w:r w:rsidR="006D5625">
        <w:t>6</w:t>
      </w:r>
      <w:r>
        <w:t xml:space="preserve"> years (2000</w:t>
      </w:r>
      <w:r w:rsidR="009340F2">
        <w:t>-</w:t>
      </w:r>
      <w:r>
        <w:t xml:space="preserve">2025). </w:t>
      </w:r>
      <w:bookmarkStart w:id="8" w:name="_Hlk220424274"/>
      <w:r>
        <w:t>Using the Global Burden of Disease 2021 taxonomy as a common ontology</w:t>
      </w:r>
      <w:r w:rsidR="006D40FC">
        <w:t xml:space="preserve"> </w:t>
      </w:r>
      <w:bookmarkEnd w:id="8"/>
      <w:r w:rsidR="00FB3DE6">
        <w:fldChar w:fldCharType="begin"/>
      </w:r>
      <w:r w:rsidR="00DE2DFB">
        <w:instrText xml:space="preserve"> ADDIN ZOTERO_ITEM CSL_CITATION {"citationID":"sCwPTfjk","properties":{"unsorted":false,"formattedCitation":"\\super 23\\nosupersub{}","plainCitation":"23","noteIndex":0},"citationItems":[{"id":1053,"uris":["http://zotero.org/users/16405780/items/YRJQD3C2"],"itemData":{"id":1053,"type":"dataset","abstract":"The Global Burden of Disease Study 2021 (GBD 2021), coordinated by the Institute for Health Metrics and Evaluation (IHME), estimated the burden of diseases, injuries, and risk factors for 204 countries and territories and selected subnational locations. This set of files contain the following for GBD 2021: the cause hierarchy; the risk, impairment, etiology, and injury n-code (REI) hierarchy; and locations hierarchies. The GBD Locations Hierarchy file contains only GBD locations, including subnational locations for which results were released at the time of the study's publication. The All Locations Hierarchies file also includes hierarchies for other regions for which estimates were produced, such as WHO and World Bank regions. These files allow users to filter for sets of values by level or parent category, including cause or risk group, GBD super region or region, or custom region.","DOI":"10.6069/G44H-ZC04","publisher":"Institute for Health Metrics and Evaluation","source":"DOI.org (Datacite)","title":"Global Burden of Disease Study 2021 (GBD 2021) Cause, REI, and Location Hierarchies","URL":"https://ghdx.healthdata.org/node/548133","author":[{"literal":"Institute For Health Metrics And Evaluation"}],"accessed":{"date-parts":[["2026",1,27]]},"issued":{"date-parts":[["2024"]]}}}],"schema":"https://github.com/citation-style-language/schema/raw/master/csl-citation.json"} </w:instrText>
      </w:r>
      <w:r w:rsidR="00FB3DE6">
        <w:fldChar w:fldCharType="separate"/>
      </w:r>
      <w:r w:rsidR="00DE2DFB" w:rsidRPr="00DE2DFB">
        <w:rPr>
          <w:vertAlign w:val="superscript"/>
        </w:rPr>
        <w:t>23</w:t>
      </w:r>
      <w:r w:rsidR="00FB3DE6">
        <w:fldChar w:fldCharType="end"/>
      </w:r>
      <w:r>
        <w:t>, we mapped research activity across 175 disease categories and developed novel metrics (including Semantic Isolation Index, Knowledge Transfer Potential, and Research Clustering Coefficient) to quantify patterns invisible to conventional bibliometric analysis.</w:t>
      </w:r>
    </w:p>
    <w:p w14:paraId="7D46744D" w14:textId="35F1BC66" w:rsidR="000B32FF" w:rsidRDefault="00653560" w:rsidP="000B32FF">
      <w:pPr>
        <w:spacing w:before="200" w:after="100"/>
        <w:jc w:val="center"/>
      </w:pPr>
      <w:r>
        <w:rPr>
          <w:noProof/>
        </w:rPr>
        <w:drawing>
          <wp:inline distT="0" distB="0" distL="0" distR="0" wp14:anchorId="15D574D1" wp14:editId="29470E18">
            <wp:extent cx="5943600" cy="1973580"/>
            <wp:effectExtent l="0" t="0" r="0" b="0"/>
            <wp:docPr id="10459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6536" name="Picture 104596536"/>
                    <pic:cNvPicPr/>
                  </pic:nvPicPr>
                  <pic:blipFill>
                    <a:blip r:embed="rId7"/>
                    <a:stretch>
                      <a:fillRect/>
                    </a:stretch>
                  </pic:blipFill>
                  <pic:spPr>
                    <a:xfrm>
                      <a:off x="0" y="0"/>
                      <a:ext cx="5943600" cy="1973580"/>
                    </a:xfrm>
                    <a:prstGeom prst="rect">
                      <a:avLst/>
                    </a:prstGeom>
                  </pic:spPr>
                </pic:pic>
              </a:graphicData>
            </a:graphic>
          </wp:inline>
        </w:drawing>
      </w:r>
    </w:p>
    <w:p w14:paraId="12E8B2AC" w14:textId="77777777" w:rsidR="000B32FF" w:rsidRDefault="000B32FF" w:rsidP="000B32FF">
      <w:pPr>
        <w:spacing w:before="200" w:after="100"/>
        <w:jc w:val="center"/>
      </w:pPr>
    </w:p>
    <w:p w14:paraId="041B3E57" w14:textId="77777777" w:rsidR="000B32FF" w:rsidRDefault="000B32FF" w:rsidP="000B32FF">
      <w:pPr>
        <w:spacing w:before="100" w:after="300"/>
      </w:pPr>
      <w:r>
        <w:rPr>
          <w:rFonts w:ascii="Arial" w:eastAsia="Arial" w:hAnsi="Arial" w:cs="Arial"/>
          <w:b/>
          <w:bCs/>
          <w:sz w:val="22"/>
          <w:szCs w:val="22"/>
        </w:rPr>
        <w:t>Figure 1. The HEIM Framework.</w:t>
      </w:r>
      <w:r>
        <w:rPr>
          <w:sz w:val="22"/>
          <w:szCs w:val="22"/>
        </w:rPr>
        <w:t xml:space="preserve"> Schematic overview of the Health Equity Informative Metrics framework. (a) Three dimensions of research equity: Discovery (biobank research), Translation (clinical trials), and Knowledge (semantic structure of literature). (b) Data sources and scale for each dimension. (c) Integration into Unified Neglect Score with equal weighting across dimensions.</w:t>
      </w:r>
    </w:p>
    <w:p w14:paraId="49C09CA6" w14:textId="77777777" w:rsidR="000B32FF" w:rsidRDefault="000B32FF" w:rsidP="006D5625">
      <w:pPr>
        <w:spacing w:after="200" w:line="360" w:lineRule="auto"/>
      </w:pPr>
    </w:p>
    <w:p w14:paraId="4760C6AD" w14:textId="77777777" w:rsidR="00AE5DA4" w:rsidRDefault="00000000">
      <w:pPr>
        <w:spacing w:after="200" w:line="360" w:lineRule="auto"/>
      </w:pPr>
      <w:r>
        <w:t xml:space="preserve">Our analysis addresses four questions fundamental to global health equity: (1) How equitably is biobank-derived research distributed relative to global disease burden? (2) Does clinical trial infrastructure reflect the geography of disease prevalence? (3) Do neglected diseases occupy </w:t>
      </w:r>
      <w:r>
        <w:lastRenderedPageBreak/>
        <w:t xml:space="preserve">isolated positions in the semantic landscape of biomedical research? (4) Which diseases show compounding disadvantage across all three dimensions, and what characterises them? The answers reveal systematic structural barriers that perpetuate health </w:t>
      </w:r>
      <w:proofErr w:type="gramStart"/>
      <w:r>
        <w:t>inequity, and</w:t>
      </w:r>
      <w:proofErr w:type="gramEnd"/>
      <w:r>
        <w:t xml:space="preserve"> provide quantitative targets for research investment to address them.</w:t>
      </w:r>
    </w:p>
    <w:p w14:paraId="6EA58E4F" w14:textId="77777777" w:rsidR="00AE5DA4" w:rsidRDefault="00000000">
      <w:pPr>
        <w:pStyle w:val="Heading1"/>
      </w:pPr>
      <w:r>
        <w:t>Results</w:t>
      </w:r>
    </w:p>
    <w:p w14:paraId="605159F1" w14:textId="77777777" w:rsidR="00AE5DA4" w:rsidRDefault="00000000">
      <w:pPr>
        <w:pStyle w:val="Heading2"/>
      </w:pPr>
      <w:r>
        <w:t>The Discovery Dimension: Biobank Research Shows Stark Equity Gaps</w:t>
      </w:r>
    </w:p>
    <w:p w14:paraId="2BF46C50" w14:textId="080A96C7" w:rsidR="00AE5DA4" w:rsidRDefault="00000000">
      <w:pPr>
        <w:spacing w:after="200" w:line="360" w:lineRule="auto"/>
      </w:pPr>
      <w:r>
        <w:t xml:space="preserve">Only 1 of 70 major international biobanks achieves high equity alignment with global disease burden. This stark finding emerged from our analysis of 70 biobanks registered with the </w:t>
      </w:r>
      <w:bookmarkStart w:id="9" w:name="_Hlk220420940"/>
      <w:r>
        <w:t xml:space="preserve">International Health Cohorts Consortium </w:t>
      </w:r>
      <w:bookmarkEnd w:id="9"/>
      <w:r>
        <w:t>(IHCC), spanning 29 countries across six WHO regions (</w:t>
      </w:r>
      <w:r w:rsidRPr="000B3CC4">
        <w:rPr>
          <w:b/>
          <w:bCs/>
        </w:rPr>
        <w:t>Fig. 2a</w:t>
      </w:r>
      <w:r>
        <w:t>). These cohorts have collectively generated 38,595 disease-specific publications indexed in PubMed</w:t>
      </w:r>
      <w:r w:rsidR="000B3CC4">
        <w:t xml:space="preserve"> (Methods)</w:t>
      </w:r>
      <w:r>
        <w:t>. To quantify alignment between research output and global disease burden, we developed the Equity Alignment Score (EAS), which penalises biobanks for critical gaps in high-burden diseases while accounting for research capacity (Methods).</w:t>
      </w:r>
    </w:p>
    <w:p w14:paraId="5AEBF2E8" w14:textId="416C0E2B" w:rsidR="00AE5DA4" w:rsidRDefault="00000000">
      <w:pPr>
        <w:spacing w:after="200" w:line="360" w:lineRule="auto"/>
      </w:pPr>
      <w:r>
        <w:t xml:space="preserve">The distribution of equity alignment was heavily skewed toward poor performance. Only </w:t>
      </w:r>
      <w:bookmarkStart w:id="10" w:name="_Hlk220424428"/>
      <w:r>
        <w:t>UK Biobank</w:t>
      </w:r>
      <w:bookmarkEnd w:id="10"/>
      <w:r>
        <w:t xml:space="preserve"> </w:t>
      </w:r>
      <w:r w:rsidR="006E6BAC">
        <w:fldChar w:fldCharType="begin"/>
      </w:r>
      <w:r w:rsidR="00DE2DFB">
        <w:instrText xml:space="preserve"> ADDIN ZOTERO_ITEM CSL_CITATION {"citationID":"QIf0rEYX","properties":{"unsorted":false,"formattedCitation":"\\super 24\\nosupersub{}","plainCitation":"24","noteIndex":0},"citationItems":[{"id":539,"uris":["http://zotero.org/users/16405780/items/K7DKU6A3"],"itemData":{"id":539,"type":"article-journal","abstract":"Cathie Sudlow and colleagues describe the UK Biobank, a large population-based prospective study, established to allow investigation of the genetic and non-genetic determinants of the diseases of middle and old age.","container-title":"PLoS Med.","DOI":"10.1371/journal.pmed.1001779","ISSN":"1549-1277","issue":"3","page":"e1001779","title":"UK biobank: an open access resource for identifying the causes of a wide range of complex diseases of middle and old age","volume":"12","author":[{"family":"Sudlow","given":"Cathie"},{"family":"Gallacher","given":"John"},{"family":"Allen","given":"Naomi"},{"family":"Beral","given":"Valerie"},{"family":"Burton","given":"Paul"},{"family":"Danesh","given":"John"},{"family":"Downey","given":"Paul"},{"family":"Elliott","given":"Paul"},{"family":"Green","given":"Jane"},{"family":"Landray","given":"Martin"},{"family":"Liu","given":"Bette"},{"family":"Matthews","given":"Paul"},{"family":"Ong","given":"Giok"},{"family":"Pell","given":"Jill"},{"family":"Silman","given":"Alan"},{"family":"Young","given":"Alan"},{"family":"Sprosen","given":"Tim"},{"family":"Peakman","given":"Tim"},{"family":"Collins","given":"Rory"}],"issued":{"date-parts":[["2015"]]}}}],"schema":"https://github.com/citation-style-language/schema/raw/master/csl-citation.json"} </w:instrText>
      </w:r>
      <w:r w:rsidR="006E6BAC">
        <w:fldChar w:fldCharType="separate"/>
      </w:r>
      <w:r w:rsidR="00DE2DFB" w:rsidRPr="00DE2DFB">
        <w:rPr>
          <w:vertAlign w:val="superscript"/>
        </w:rPr>
        <w:t>24</w:t>
      </w:r>
      <w:r w:rsidR="006E6BAC">
        <w:fldChar w:fldCharType="end"/>
      </w:r>
      <w:r w:rsidR="00FB2C37">
        <w:t xml:space="preserve"> </w:t>
      </w:r>
      <w:r>
        <w:t>achieved "High" equity alignment (EAS = 84.6), defined as EAS ≥ 60 (</w:t>
      </w:r>
      <w:r w:rsidRPr="00FB2C37">
        <w:rPr>
          <w:b/>
          <w:bCs/>
        </w:rPr>
        <w:t>Fig. 2b</w:t>
      </w:r>
      <w:r>
        <w:t>). Thirteen biobanks showed "Moderate" alignment (EAS 40</w:t>
      </w:r>
      <w:r w:rsidR="00D23D95">
        <w:t>-</w:t>
      </w:r>
      <w:r>
        <w:t xml:space="preserve">60), including </w:t>
      </w:r>
      <w:bookmarkStart w:id="11" w:name="_Hlk220424478"/>
      <w:r>
        <w:t xml:space="preserve">Nurses' Health Study </w:t>
      </w:r>
      <w:bookmarkEnd w:id="11"/>
      <w:r>
        <w:t>(55.2)</w:t>
      </w:r>
      <w:r w:rsidR="00FB2C37">
        <w:t xml:space="preserve"> </w:t>
      </w:r>
      <w:r w:rsidR="006E6BAC">
        <w:fldChar w:fldCharType="begin"/>
      </w:r>
      <w:r w:rsidR="00DE2DFB">
        <w:instrText xml:space="preserve"> ADDIN ZOTERO_ITEM CSL_CITATION {"citationID":"NpomcRjJ","properties":{"unsorted":false,"formattedCitation":"\\super 25\\nosupersub{}","plainCitation":"25","noteIndex":0},"citationItems":[{"id":1054,"uris":["http://zotero.org/users/16405780/items/K8GRWBT5"],"itemData":{"id":1054,"type":"article-journal","abstract":"The Nurses' Health Study was designed as a prospective follow-up study to examine relations between contraception and breast cancer. With follow-up questionnaires mailed every 2 years, investigators have added extensive details of lifestyle practices. The study, currently in its 20th year, has maintained high follow-up with &gt;90% of participants responding to each of the follow-up cycles since 1988. The relations between use of hormones, diet, exercise, and other lifestyle practices have been related to the development of a wide range of chronic illnesses among women. This review describes the methods used to follow up the study participants and summarizes the major findings that have been described over the first 20 years of the study. We highlight additional areas added to the study in recent years to address emerging issues in women's health. Special emphasis is placed on the recent findings from the study, including relations between weight gain and heart disease, diabetes, and mortality, the lack of relation between calcium and osteoporotic fractures, and the positive relation between postmenopausal use of hormones and risk of breast cancer.","container-title":"Journal of Women's Health","DOI":"10.1089/jwh.1997.6.49","ISSN":"1059-7115","issue":"1","language":"EN","page":"49-62","publisher":"SAGE Publications","source":"SAGE Journals","title":"The Nurses' Health Study: 20-Year Contribution to the Understanding of Health Among Women","title-short":"The Nurses' Health Study","volume":"6","author":[{"family":"Colditz","given":"Graham A."},{"family":"Manson","given":"Joann E."},{"family":"Hankinson","given":"Susan E."}],"issued":{"date-parts":[["1997",2,1]]}}}],"schema":"https://github.com/citation-style-language/schema/raw/master/csl-citation.json"} </w:instrText>
      </w:r>
      <w:r w:rsidR="006E6BAC">
        <w:fldChar w:fldCharType="separate"/>
      </w:r>
      <w:r w:rsidR="00DE2DFB" w:rsidRPr="00DE2DFB">
        <w:rPr>
          <w:vertAlign w:val="superscript"/>
        </w:rPr>
        <w:t>25</w:t>
      </w:r>
      <w:r w:rsidR="006E6BAC">
        <w:fldChar w:fldCharType="end"/>
      </w:r>
      <w:r>
        <w:t>, Women's Health Initiative (53.4)</w:t>
      </w:r>
      <w:r w:rsidR="005A25F0">
        <w:t xml:space="preserve"> </w:t>
      </w:r>
      <w:r w:rsidR="006E6BAC">
        <w:fldChar w:fldCharType="begin"/>
      </w:r>
      <w:r w:rsidR="00DE2DFB">
        <w:instrText xml:space="preserve"> ADDIN ZOTERO_ITEM CSL_CITATION {"citationID":"2LV7CECA","properties":{"unsorted":false,"formattedCitation":"\\super 26\\nosupersub{}","plainCitation":"26","noteIndex":0},"citationItems":[{"id":1056,"uris":["http://zotero.org/users/16405780/items/V9VJQAWR"],"itemData":{"id":1056,"type":"article-journal","abstract":"The Women’s Health Initiative (WHI) enrolled 161,808 racially and ethnically diverse postmenopausal women, aged 50–79 years, from 1993 to 1998 at 40 clinical centers across the U.S. In its clinical trial component, WHI evaluated three randomized interventions (menopausal hormone therapy; diet modification; and calcium/vitamin D supplementation) for the primary prevention of major chronic diseases, including cardiovascular disease (CVD), in older women. In the WHI observational study, numerous clinical, behavioral, and social factors have been evaluated as predictors of incident chronic disease and mortality. Although the original interventions have been completed, the WHI data and biomarker resources continue to be leveraged and expanded through ancillary studies to yield novel insights regarding CVD prevention and healthy aging in women., The landmark Women’s Health Initiative (WHI) enrolled 161,808 U.S. postmenopausal women, ages 50–79 years at baseline in 1993–1998. WHI provided robust randomized trial results on three distinct interventions (menopausal hormone therapy; diet modification; calcium/vitamin supplementation) for the primary prevention of major diseases affecting aging women, including CVD. The WHI observational study provided important information on chronic disease rates and risk factors in a large community-based cohort of racially and ethnically diverse older women. Through a series of extension studies and targeted ancillary studies, the WHI data resource has grown and continued to yield novel insights regarding CVD prevention in women.","container-title":"Journal of the American College of Cardiology","DOI":"10.1016/j.jacc.2022.05.016","ISSN":"0735-1097","issue":"3","journalAbbreviation":"J Am Coll Cardiol","page":"256-275","PMID":"35835498","PMCID":"PMC10324098","source":"PubMed Central","title":"Contributions of the Women’s Health Initiative to Cardiovascular Research: JACC State-of-the-Art Review","title-short":"Contributions of the Women’s Health Initiative to Cardiovascular Research","volume":"80","author":[{"family":"LaMonte","given":"Michael J."},{"family":"Manson","given":"JoAnn E."},{"family":"Anderson","given":"Garnet L."},{"family":"Baker","given":"Laura D."},{"family":"Bea","given":"Jennifer W."},{"family":"Eaton","given":"Charles B."},{"family":"Follis","given":"Shawna"},{"family":"Hayden","given":"Kathleen M."},{"family":"Kooperberg","given":"Charles"},{"family":"LaCroix","given":"Andrea Z."},{"family":"Limacher","given":"Marian C."},{"family":"Neuhouser","given":"Marian L."},{"family":"Odegaard","given":"Andrew"},{"family":"Perez","given":"Marco V."},{"family":"Prentice","given":"Ross L."},{"family":"Reiner","given":"Alexander P."},{"family":"Stefanick","given":"Marcia L."},{"family":"Van Horn","given":"Linda"},{"family":"Wells","given":"Gretchen L."},{"family":"Whitsel","given":"Eric A."},{"family":"Rossouw","given":"Jacques E."}],"issued":{"date-parts":[["2022",7,19]]}}}],"schema":"https://github.com/citation-style-language/schema/raw/master/csl-citation.json"} </w:instrText>
      </w:r>
      <w:r w:rsidR="006E6BAC">
        <w:fldChar w:fldCharType="separate"/>
      </w:r>
      <w:r w:rsidR="00DE2DFB" w:rsidRPr="00DE2DFB">
        <w:rPr>
          <w:vertAlign w:val="superscript"/>
        </w:rPr>
        <w:t>26</w:t>
      </w:r>
      <w:r w:rsidR="006E6BAC">
        <w:fldChar w:fldCharType="end"/>
      </w:r>
      <w:r>
        <w:t xml:space="preserve">, and </w:t>
      </w:r>
      <w:bookmarkStart w:id="12" w:name="_Hlk220424745"/>
      <w:r>
        <w:t xml:space="preserve">Estonian Biobank </w:t>
      </w:r>
      <w:bookmarkEnd w:id="12"/>
      <w:r>
        <w:t>(49.2)</w:t>
      </w:r>
      <w:r w:rsidR="005A25F0">
        <w:t xml:space="preserve"> </w:t>
      </w:r>
      <w:r w:rsidR="006E6BAC">
        <w:fldChar w:fldCharType="begin"/>
      </w:r>
      <w:r w:rsidR="00DE2DFB">
        <w:instrText xml:space="preserve"> ADDIN ZOTERO_ITEM CSL_CITATION {"citationID":"YKfE3aLf","properties":{"unsorted":false,"formattedCitation":"\\super 27\\nosupersub{}","plainCitation":"27","noteIndex":0},"citationItems":[{"id":1059,"uris":["http://zotero.org/users/16405780/items/EWC5WJIN"],"itemData":{"id":1059,"type":"article-journal","abstract":"The Estonian Biobank cohort is a volunteer-based sample of the Estonian resident adult population (aged ≥18 years). The current number of participants—close to 52000-—represents a large proportion, 5%, of the Estonian adult population, making it ideally suited to population-based studies. General practitioners (GPs) and medical personnel in the special recruitment offices have recruited participants throughout the country. At baseline, the GPs performed a standardized health examination of the participants, who also donated blood samples for DNA, white blood cells and plasma tests and filled out a 16-module questionnaire on health-related topics such as lifestyle, diet and clinical diagnoses described in WHO ICD-10. A significant part of the cohort has whole genome sequencing (100), genome-wide single nucleotide polymorphism (SNP) array data (20 000) and/or NMR metabolome data (11 000) available (http://www.geenivaramu.ee/for-scientists/data-release/). The data are continuously updated through periodical linking to national electronic databases and registries. A part of the cohort has been re-contacted for follow-up purposes and resampling, and targeted invitations are possible for specific purposes, for example people with a specific diagnosis. The Estonian Genome Center of the University of Tartu is actively collaborating with many universities, research institutes and consortia and encourages fellow scientists worldwide to co-initiate new academic or industrial joint projects with us.","container-title":"International Journal of Epidemiology","DOI":"10.1093/ije/dyt268","ISSN":"0300-5771","issue":"4","journalAbbreviation":"Int J Epidemiol","page":"1137-1147","source":"Silverchair","title":"Cohort Profile: Estonian Biobank of the Estonian Genome Center, University of Tartu","title-short":"Cohort Profile","volume":"44","author":[{"family":"Leitsalu","given":"Liis"},{"family":"Haller","given":"Toomas"},{"family":"Esko","given":"Tõnu"},{"family":"Tammesoo","given":"Mari-Liis"},{"family":"Alavere","given":"Helene"},{"family":"Snieder","given":"Harold"},{"family":"Perola","given":"Markus"},{"family":"Ng","given":"Pauline C"},{"family":"Mägi","given":"Reedik"},{"family":"Milani","given":"Lili"},{"family":"Fischer","given":"Krista"},{"family":"Metspalu","given":"Andres"}],"issued":{"date-parts":[["2015",8,1]]}}}],"schema":"https://github.com/citation-style-language/schema/raw/master/csl-citation.json"} </w:instrText>
      </w:r>
      <w:r w:rsidR="006E6BAC">
        <w:fldChar w:fldCharType="separate"/>
      </w:r>
      <w:r w:rsidR="00DE2DFB" w:rsidRPr="00DE2DFB">
        <w:rPr>
          <w:vertAlign w:val="superscript"/>
        </w:rPr>
        <w:t>27</w:t>
      </w:r>
      <w:r w:rsidR="006E6BAC">
        <w:fldChar w:fldCharType="end"/>
      </w:r>
      <w:r>
        <w:t>. The remaining 56 biobanks (80%) demonstrated "Low" alignment (EAS &lt; 40), indicating substantial misalignment between their research portfolios and global health priorities.</w:t>
      </w:r>
    </w:p>
    <w:p w14:paraId="28D290D0" w14:textId="347B0E3C" w:rsidR="00AE5DA4" w:rsidRDefault="00000000">
      <w:pPr>
        <w:spacing w:after="200" w:line="360" w:lineRule="auto"/>
      </w:pPr>
      <w:r>
        <w:t xml:space="preserve">Geographic concentration was pronounced. European and North American biobanks accounted for 45 of 70 cohorts (64%) and 33,915 of 38,595 publications (87.9%). The six African biobanks collectively produced 277 publications (0.7%), despite </w:t>
      </w:r>
      <w:bookmarkStart w:id="13" w:name="_Hlk220831470"/>
      <w:r>
        <w:t>Africa bearing 24% of the global disease burden</w:t>
      </w:r>
      <w:bookmarkEnd w:id="13"/>
      <w:r w:rsidR="005965D9">
        <w:t xml:space="preserve"> </w:t>
      </w:r>
      <w:r w:rsidR="005965D9">
        <w:fldChar w:fldCharType="begin"/>
      </w:r>
      <w:r w:rsidR="005965D9">
        <w:instrText xml:space="preserve"> ADDIN ZOTERO_ITEM CSL_CITATION {"citationID":"GIk5hsd0","properties":{"unsorted":false,"formattedCitation":"\\super 28\\nosupersub{}","plainCitation":"28","noteIndex":0},"citationItems":[{"id":1061,"uris":["http://zotero.org/users/16405780/items/24SUGUJV"],"itemData":{"id":1061,"type":"article-journal","abstract":"Background\nHuman resources for health (HRH) shortages are a major limitation to equitable access to healthcare. African countries have the most severe shortage of HRH in the world despite rising communicable and non-communicable disease (NCD) burden. Task shifting provides an opportunity to fill the gaps in HRH shortage in Africa. The aim of this scoping review is to evaluate task shifting roles, interventions and outcomes for addressing kidney and cardiovascular (CV) health problems in African populations.\n\nMethods\nWe conducted this scoping review to answer the question: “what are the roles, interventions and outcomes of task shifting strategies for CV and kidney health in Africa?” Eligible studies were selected after searching MEDLINE (Ovid), Embase (Ovid), CINAHL, ISI Web of Science, and Africa journal online (AJOL). We analyzed the data descriptively.\n\nResults\nThirty-three studies, conducted in 10 African countries (South Africa, Nigeria, Ghana, Kenya, Cameroon, Democratic Republic of Congo, Ethiopia, Malawi, Rwanda, and Uganda) were eligible for inclusion. There were few randomized controlled trials (n = 6; 18.2%), and tasks were mostly shifted for hypertension (n = 27; 81.8%) than for diabetes (n = 16; 48.5%). More tasks were shifted to nurses (n = 19; 57.6%) than pharmacists (n = 6; 18.2%) or community health workers (n = 5; 15.2%). Across all studies, the most common role played by HRH in task shifting was for treatment and adherence (n = 28; 84.9%) followed by screening and detection (n = 24; 72.7%), education and counselling (n = 24; 72.7%), and triage (n = 13; 39.4%). Improved blood pressure levels were reported in 78.6%, 66.7%, and 80.0% for hypertension-related task shifting roles to nurses, pharmacists, and CHWs, respectively. Improved glycaemic indices were reported as 66.7%, 50.0%, and 66.7% for diabetes-related task shifting roles to nurses, pharmacists, and CHWs, respectively.\n\nConclusion\nDespite the numerus HRH challenges that are present in Africa for CV and kidney health, this study suggests that task shifting initiatives can improve process of care measures (access and efficiency) as well as identification, awareness and treatment of CV and kidney disease in the region. The impact of task shifting on long-term outcomes of kidney and CV diseases and the sustainability of NCD programs based on task shifting remains to be determined.\n\nSupplementary Information\nThe online version contains supplementary material available at 10.1186/s12913-023-09416-5.","container-title":"BMC Health Services Research","DOI":"10.1186/s12913-023-09416-5","ISSN":"1472-6963","journalAbbreviation":"BMC Health Serv Res","page":"446","PMID":"37147670","PMCID":"PMC10163711","source":"PubMed Central","title":"Task shifting roles, interventions and outcomes for kidney and cardiovascular health service delivery among African populations: a scoping review","title-short":"Task shifting roles, interventions and outcomes for kidney and cardiovascular health service delivery among African populations","volume":"23","author":[{"family":"Okpechi","given":"Ikechi G."},{"family":"Chukwuonye","given":"Ijezie I."},{"family":"Ekrikpo","given":"Udeme"},{"family":"Noubiap","given":"Jean Jacques"},{"family":"Raji","given":"Yemi R."},{"family":"Adeshina","given":"Yusuf"},{"family":"Ajayi","given":"Samuel"},{"family":"Barday","given":"Zunaid"},{"family":"Chetty","given":"Malini"},{"family":"Davidson","given":"Bianca"},{"family":"Effa","given":"Emmanuel"},{"family":"Fagbemi","given":"Stephen"},{"family":"George","given":"Cindy"},{"family":"Kengne","given":"Andre P."},{"family":"Jones","given":"Erika S. W."},{"family":"Liman","given":"Hamidu"},{"family":"Makusidi","given":"Mohammad"},{"family":"Muhammad","given":"Hadiza"},{"family":"Mbah","given":"Ikechukwu"},{"family":"Ndlovu","given":"Kwazi"},{"family":"Ngaruiya","given":"Grace"},{"family":"Okwuonu","given":"Chimezie"},{"family":"Samuel-Okpechi","given":"Ugochi"},{"family":"Tannor","given":"Elliot K."},{"family":"Ulasi","given":"Ifeoma"},{"family":"Umar","given":"Zulkifilu"},{"family":"Wearne","given":"Nicola"},{"family":"Bello","given":"Aminu K."}],"issued":{"date-parts":[["2023",5,5]]}}}],"schema":"https://github.com/citation-style-language/schema/raw/master/csl-citation.json"} </w:instrText>
      </w:r>
      <w:r w:rsidR="005965D9">
        <w:fldChar w:fldCharType="separate"/>
      </w:r>
      <w:r w:rsidR="005965D9" w:rsidRPr="005965D9">
        <w:rPr>
          <w:vertAlign w:val="superscript"/>
        </w:rPr>
        <w:t>28</w:t>
      </w:r>
      <w:r w:rsidR="005965D9">
        <w:fldChar w:fldCharType="end"/>
      </w:r>
      <w:r>
        <w:t>: a 34-fold disparity between research output and disease burden. High-income country biobanks generated 93.5% of all publications, while biobanks in Global South countries contributed just 6.5% (</w:t>
      </w:r>
      <w:r w:rsidRPr="0035138D">
        <w:rPr>
          <w:b/>
          <w:bCs/>
        </w:rPr>
        <w:t>Fig. 2c</w:t>
      </w:r>
      <w:r>
        <w:t>).</w:t>
      </w:r>
    </w:p>
    <w:p w14:paraId="49871AE9" w14:textId="4A23C831" w:rsidR="005965D9" w:rsidRDefault="002F4827" w:rsidP="005965D9">
      <w:pPr>
        <w:spacing w:before="200" w:after="100"/>
        <w:jc w:val="center"/>
      </w:pPr>
      <w:r>
        <w:rPr>
          <w:noProof/>
        </w:rPr>
        <w:lastRenderedPageBreak/>
        <w:drawing>
          <wp:inline distT="0" distB="0" distL="0" distR="0" wp14:anchorId="59C3E2C8" wp14:editId="44F09C9B">
            <wp:extent cx="5943600" cy="5892165"/>
            <wp:effectExtent l="0" t="0" r="0" b="635"/>
            <wp:docPr id="926635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35696" name="Picture 926635696"/>
                    <pic:cNvPicPr/>
                  </pic:nvPicPr>
                  <pic:blipFill>
                    <a:blip r:embed="rId8"/>
                    <a:stretch>
                      <a:fillRect/>
                    </a:stretch>
                  </pic:blipFill>
                  <pic:spPr>
                    <a:xfrm>
                      <a:off x="0" y="0"/>
                      <a:ext cx="5943600" cy="5892165"/>
                    </a:xfrm>
                    <a:prstGeom prst="rect">
                      <a:avLst/>
                    </a:prstGeom>
                  </pic:spPr>
                </pic:pic>
              </a:graphicData>
            </a:graphic>
          </wp:inline>
        </w:drawing>
      </w:r>
    </w:p>
    <w:p w14:paraId="5F2036C8" w14:textId="77777777" w:rsidR="005965D9" w:rsidRDefault="005965D9" w:rsidP="005965D9">
      <w:pPr>
        <w:spacing w:before="200" w:after="100"/>
        <w:jc w:val="center"/>
      </w:pPr>
    </w:p>
    <w:p w14:paraId="71E28433" w14:textId="77777777" w:rsidR="005965D9" w:rsidRDefault="005965D9" w:rsidP="005965D9">
      <w:pPr>
        <w:spacing w:before="100" w:after="300"/>
      </w:pPr>
      <w:r>
        <w:rPr>
          <w:rFonts w:ascii="Arial" w:eastAsia="Arial" w:hAnsi="Arial" w:cs="Arial"/>
          <w:b/>
          <w:bCs/>
          <w:sz w:val="22"/>
          <w:szCs w:val="22"/>
        </w:rPr>
        <w:t>Figure 2. Discovery Dimension: Global Biobank Equity Landscape.</w:t>
      </w:r>
      <w:r>
        <w:rPr>
          <w:sz w:val="22"/>
          <w:szCs w:val="22"/>
        </w:rPr>
        <w:t xml:space="preserve"> (a) World map showing locations of 70 IHCC biobanks, coloured by Equity Alignment Score category. (b) Distribution of Equity Alignment Scores across biobanks. Only UK Biobank (EAS = 84.6) achieves High alignment. (c) Publication </w:t>
      </w:r>
      <w:proofErr w:type="gramStart"/>
      <w:r>
        <w:rPr>
          <w:sz w:val="22"/>
          <w:szCs w:val="22"/>
        </w:rPr>
        <w:t>share</w:t>
      </w:r>
      <w:proofErr w:type="gramEnd"/>
      <w:r>
        <w:rPr>
          <w:sz w:val="22"/>
          <w:szCs w:val="22"/>
        </w:rPr>
        <w:t xml:space="preserve"> by country income group, showing 93.5% concentration in high-income countries.</w:t>
      </w:r>
    </w:p>
    <w:p w14:paraId="311D4A70" w14:textId="77777777" w:rsidR="005965D9" w:rsidRDefault="005965D9">
      <w:pPr>
        <w:spacing w:after="200" w:line="360" w:lineRule="auto"/>
      </w:pPr>
    </w:p>
    <w:p w14:paraId="310A4FEF" w14:textId="442287E6" w:rsidR="00AE5DA4" w:rsidRDefault="00000000">
      <w:pPr>
        <w:spacing w:after="200" w:line="360" w:lineRule="auto"/>
      </w:pPr>
      <w:r>
        <w:t xml:space="preserve">We identified 22 diseases with "Critical" research gaps (Gap Score ≥ 90), a threshold corresponding to fewer than five publications across all 70 biobanks despite substantial disease burden. These included malaria (17 publications across all biobanks, despite 55.2 million </w:t>
      </w:r>
      <w:r>
        <w:lastRenderedPageBreak/>
        <w:t>disability-adjusted life years [DALYs] globally), dengue (0 publications, 2.1 million DALYs), schistosomiasis (0 publications, 1.8 million DALYs), and lymphatic filariasis (0 publications, 1.3 million DALYs). An additional 26 diseases showed "High" gaps (Gap Score 70</w:t>
      </w:r>
      <w:r w:rsidR="002F4827">
        <w:t>-</w:t>
      </w:r>
      <w:r>
        <w:t>89), and 47 showed "Moderate" gaps (Gap Score 50</w:t>
      </w:r>
      <w:r w:rsidR="002F4827">
        <w:t>-</w:t>
      </w:r>
      <w:r>
        <w:t>69). Only 84 of 175 analysable diseases (48%) had "Low" gaps indicating adequate coverage relative to burden.</w:t>
      </w:r>
    </w:p>
    <w:p w14:paraId="73A94B87" w14:textId="77777777" w:rsidR="00AE5DA4" w:rsidRDefault="00000000">
      <w:pPr>
        <w:spacing w:after="200" w:line="360" w:lineRule="auto"/>
      </w:pPr>
      <w:r>
        <w:t>Having established these gaps in discovery-stage research, we next examined whether similar patterns emerge in clinical translation.</w:t>
      </w:r>
    </w:p>
    <w:p w14:paraId="40C373BA" w14:textId="77777777" w:rsidR="00AE5DA4" w:rsidRDefault="00000000">
      <w:pPr>
        <w:pStyle w:val="Heading2"/>
      </w:pPr>
      <w:r>
        <w:t>The Translation Dimension: Clinical Trials Concentrate in High-Income Settings</w:t>
      </w:r>
    </w:p>
    <w:p w14:paraId="253B7FD0" w14:textId="4EEC74B4" w:rsidR="00AE5DA4" w:rsidRDefault="00D0390A" w:rsidP="00D0390A">
      <w:pPr>
        <w:spacing w:after="200" w:line="360" w:lineRule="auto"/>
      </w:pPr>
      <w:r>
        <w:t>Analysis of 563,725 clinical trials registered on ClinicalTrials.gov (2000</w:t>
      </w:r>
      <w:r>
        <w:t>-</w:t>
      </w:r>
      <w:r>
        <w:t>2025), with 770,178 geolocated trial site records, revealed systematic geographic concentration (</w:t>
      </w:r>
      <w:r w:rsidRPr="00D0390A">
        <w:rPr>
          <w:b/>
          <w:bCs/>
        </w:rPr>
        <w:t>Fig. 3a</w:t>
      </w:r>
      <w:r>
        <w:t>). Trial sites in high-income countries numbered 552,952 (71.8%), compared to</w:t>
      </w:r>
      <w:r>
        <w:t xml:space="preserve"> </w:t>
      </w:r>
      <w:r>
        <w:t>217,226 (28.2%) in low- and middle-income countries, representing a 2.5-fold disparity</w:t>
      </w:r>
      <w:r w:rsidR="00000000">
        <w:t>.</w:t>
      </w:r>
    </w:p>
    <w:p w14:paraId="5509AB8E" w14:textId="77777777" w:rsidR="00AE2BC4" w:rsidRDefault="00AE2BC4" w:rsidP="00AE2BC4">
      <w:pPr>
        <w:spacing w:after="200" w:line="360" w:lineRule="auto"/>
      </w:pPr>
      <w:r>
        <w:t>The United States alone hosted 192,501 trial sites (25.0% of the global total), followed by China (48,028; 6.2%), France (41,913; 5.4%), and Canada (32,892; 4.3%). The ten countries with the most trial sites were predominantly high-income, with China and Turkey as the only middle-income exceptions in the top fifteen. China's position reflects its status as an emerging global research power with rapidly expanding clinical trial infrastructure, though this capacity has not translated into proportional representation for neglected diseases affecting other LMIC regions.</w:t>
      </w:r>
    </w:p>
    <w:p w14:paraId="6F07503B" w14:textId="413A0695" w:rsidR="00AE2BC4" w:rsidRDefault="00AE2BC4" w:rsidP="00AE2BC4">
      <w:pPr>
        <w:spacing w:after="200" w:line="360" w:lineRule="auto"/>
      </w:pPr>
      <w:r>
        <w:t>We examined 89 disease categories with sufficient trial data for geographic analysis. For the 30 diseases predominantly affecting the Global South</w:t>
      </w:r>
      <w:r w:rsidR="00E519D0">
        <w:t xml:space="preserve"> (</w:t>
      </w:r>
      <w:r>
        <w:t xml:space="preserve">identified through GBD burden </w:t>
      </w:r>
      <w:proofErr w:type="spellStart"/>
      <w:r>
        <w:t>distributions</w:t>
      </w:r>
      <w:r w:rsidR="00E519D0">
        <w:t xml:space="preserve">) </w:t>
      </w:r>
      <w:proofErr w:type="spellEnd"/>
      <w:r>
        <w:t xml:space="preserve">we found a substantial intensity gap. Global South countries hosted 20.3% of clinical trials for these conditions but bear 38.0% of the associated disability-adjusted life years (DALYs), yielding a trial intensity ratio of 485.9 trials per million DALYs compared to 1,167.4 in high-income countries (intensity gap = 2.4-fold; </w:t>
      </w:r>
      <w:r w:rsidRPr="00E519D0">
        <w:rPr>
          <w:b/>
          <w:bCs/>
        </w:rPr>
        <w:t>Fig. 3b</w:t>
      </w:r>
      <w:r>
        <w:t>).</w:t>
      </w:r>
    </w:p>
    <w:p w14:paraId="5B43D9DC" w14:textId="77777777" w:rsidR="00AE2BC4" w:rsidRDefault="00AE2BC4" w:rsidP="00D0390A">
      <w:pPr>
        <w:spacing w:after="200" w:line="360" w:lineRule="auto"/>
      </w:pPr>
    </w:p>
    <w:p w14:paraId="5324C42B" w14:textId="77777777" w:rsidR="00AE2BC4" w:rsidRDefault="00AE2BC4" w:rsidP="00AE2BC4">
      <w:pPr>
        <w:spacing w:before="200" w:after="100"/>
        <w:jc w:val="center"/>
      </w:pPr>
      <w:r>
        <w:rPr>
          <w:noProof/>
        </w:rPr>
        <w:lastRenderedPageBreak/>
        <w:drawing>
          <wp:inline distT="0" distB="0" distL="0" distR="0" wp14:anchorId="3ADA3FAB" wp14:editId="61C94954">
            <wp:extent cx="5943600" cy="6719570"/>
            <wp:effectExtent l="0" t="0" r="0" b="0"/>
            <wp:docPr id="499117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17540" name="Picture 499117540"/>
                    <pic:cNvPicPr/>
                  </pic:nvPicPr>
                  <pic:blipFill>
                    <a:blip r:embed="rId9"/>
                    <a:stretch>
                      <a:fillRect/>
                    </a:stretch>
                  </pic:blipFill>
                  <pic:spPr>
                    <a:xfrm>
                      <a:off x="0" y="0"/>
                      <a:ext cx="5943600" cy="6719570"/>
                    </a:xfrm>
                    <a:prstGeom prst="rect">
                      <a:avLst/>
                    </a:prstGeom>
                  </pic:spPr>
                </pic:pic>
              </a:graphicData>
            </a:graphic>
          </wp:inline>
        </w:drawing>
      </w:r>
    </w:p>
    <w:p w14:paraId="44868588" w14:textId="77777777" w:rsidR="00AE2BC4" w:rsidRDefault="00AE2BC4" w:rsidP="00AE2BC4">
      <w:pPr>
        <w:spacing w:before="200" w:after="100"/>
        <w:jc w:val="center"/>
      </w:pPr>
    </w:p>
    <w:p w14:paraId="77BD7910" w14:textId="77777777" w:rsidR="00AE2BC4" w:rsidRDefault="00AE2BC4" w:rsidP="00AE2BC4">
      <w:pPr>
        <w:spacing w:before="100" w:after="300"/>
      </w:pPr>
      <w:r>
        <w:rPr>
          <w:rFonts w:ascii="Arial" w:eastAsia="Arial" w:hAnsi="Arial" w:cs="Arial"/>
          <w:b/>
          <w:bCs/>
          <w:sz w:val="22"/>
          <w:szCs w:val="22"/>
        </w:rPr>
        <w:t>Figure 3. Translation Dimension: Clinical Trial Geographic Distribution.</w:t>
      </w:r>
      <w:r>
        <w:rPr>
          <w:sz w:val="22"/>
          <w:szCs w:val="22"/>
        </w:rPr>
        <w:t xml:space="preserve"> (a) Global heatmap of 770,178 clinical trial sites, showing concentration in North America and Europe. (b) Trial intensity comparison between high-income countries and Global South, demonstrating 2.4-fold intensity gap.</w:t>
      </w:r>
    </w:p>
    <w:p w14:paraId="1D2297C3" w14:textId="77777777" w:rsidR="00AE2BC4" w:rsidRDefault="00AE2BC4" w:rsidP="00D0390A">
      <w:pPr>
        <w:spacing w:after="200" w:line="360" w:lineRule="auto"/>
      </w:pPr>
    </w:p>
    <w:p w14:paraId="34D1441B" w14:textId="7612F69A" w:rsidR="00AE5DA4" w:rsidRDefault="00000000">
      <w:pPr>
        <w:spacing w:after="200" w:line="360" w:lineRule="auto"/>
      </w:pPr>
      <w:r>
        <w:lastRenderedPageBreak/>
        <w:t>Neglected tropical diseases (NTDs) showed the most severe underrepresentation. For lymphatic filariasis (1.3 million DALYs), only 89 trials were registered globally</w:t>
      </w:r>
      <w:r w:rsidR="0035138D">
        <w:t xml:space="preserve">, </w:t>
      </w:r>
      <w:r>
        <w:t xml:space="preserve">compared to 47,892 for type 2 diabetes despite similar global burden (2.5 million DALYs), a 538-fold disparity. What limited NTD research exists does occur where disease is prevalent (71% of lymphatic filariasis sites in endemic countries), but absolute volumes remain critically insufficient. </w:t>
      </w:r>
      <w:bookmarkStart w:id="14" w:name="_Hlk220832811"/>
      <w:r>
        <w:t>Schistosomiasis (1.8 million DALYs</w:t>
      </w:r>
      <w:bookmarkEnd w:id="14"/>
      <w:r w:rsidR="0035138D">
        <w:t xml:space="preserve"> </w:t>
      </w:r>
      <w:r w:rsidR="00B46099">
        <w:fldChar w:fldCharType="begin"/>
      </w:r>
      <w:r w:rsidR="00B46099">
        <w:instrText xml:space="preserve"> ADDIN ZOTERO_ITEM CSL_CITATION {"citationID":"qj2qG8kg","properties":{"unsorted":false,"formattedCitation":"\\super 29\\nosupersub{}","plainCitation":"29","noteIndex":0},"citationItems":[{"id":1064,"uris":["http://zotero.org/users/16405780/items/4ALYF2D5"],"itemData":{"id":1064,"type":"article-journal","abstract":"Background\nSchistosomiasis and soil-transmitted helminths (STHs) contribute high disease burdens amongst the neglected tropical diseases (NTDs) and are public health problems in Angola. This study reports the prevalence, intensity and risk factors for schistosomiasis and STH infection in Huambo, Uige and Zaire provinces, Angola, to inform a school-based preventive chemotherapy program.\n\nMethods\nA two-stage cluster design was used to select schools and schoolchildren to participate in parasitological and water, sanitation and hygiene (WASH) surveys across Huambo, Uige, and Zaire provinces. Point-of-care circulating cathodic antigen and urinalysis rapid diagnostic tests (RDTs) were used to determine the prevalence of Schistosoma mansoni and S. haematobium, respectively. Kato-Katz was used to identify and quantify STH species and quantify and compare with RDTs for S. mansoni. Urine filtration was used to quantify and compare with RDTs for S. haematobium. Descriptive statistics were used for prevalence and infection intensity of schistosomiasis and STH infection. Performance of RDTs was assessed through specificity and Cohen’s Kappa agreement with microscopy. A multivariate regression analysis was used to determine demographic and WASH factors associated with schistosomiasis and STH infection.\n\nResults\nA total 575 schools and 17,093 schoolchildren participated in the schistosomiasis survey, of which 121 schools and 3649 schoolchildren participated in the STH survey. Overall prevalence of S. mansoni was 21.2% (municipality range 0.9–74.8%) and S. haematobium 13.6% (range 0–31.2%), with an overall prevalence of schistosomiasis of 31.4% (range 5.9–77.3%). Overall prevalence of Ascaris lumbricoides was 25.1% (range 0–89.7%), hookworm 5.2% (range 0–42.6%), and Trichuris trichiura 3.6% (range 0–24.2%), with an overall prevalence of STH infection of 29.5% (range 0.8–89.7%). Ecological zone and ethnicity were factors associated with schistosomiasis and STH infection, with older age and female sex additional risk factors for S. haematobium.\n\nConclusions\nMost municipalities met World Health Organization defined prevalence thresholds for a schistosomiasis preventive chemotherapy program. A STH preventive chemotherapy program is indicated for nearly all municipalities in Uige and select municipalities in Huambo and Zaire. The association between ecological zone and ethnicity with schistosomiasis and STH infection necessitates further evaluation of home and school environmental, sociodemographic and behavioural factors to inform targeted control strategies to complement preventive chemotherapy programs.\n\nSupplementary Information\nThe online version contains supplementary material available at 10.1186/s40249-022-00975-z.","container-title":"Infectious Diseases of Poverty","DOI":"10.1186/s40249-022-00975-z","ISSN":"2095-5162","journalAbbreviation":"Infect Dis Poverty","page":"73","PMID":"35752864","PMCID":"PMC9233808","source":"PubMed Central","title":"Burden and factors associated with schistosomiasis and soil-transmitted helminth infections among school-age children in Huambo, Uige and Zaire provinces, Angola","volume":"11","author":[{"family":"Bartlett","given":"Adam W."},{"family":"Sousa-Figueiredo","given":"Jose C."},{"family":"Goor","given":"Roelofje C.","non-dropping-particle":"van"},{"family":"Monaghan","given":"Paul"},{"family":"Lancaster","given":"Warren"},{"family":"Mugizi","given":"Rukaaka"},{"family":"Mendes","given":"Elsa P."},{"family":"Nery","given":"Susana Vaz"},{"family":"Lopes","given":"Sergio"}],"issued":{"date-parts":[["2022",6,25]]}}}],"schema":"https://github.com/citation-style-language/schema/raw/master/csl-citation.json"} </w:instrText>
      </w:r>
      <w:r w:rsidR="00B46099">
        <w:fldChar w:fldCharType="separate"/>
      </w:r>
      <w:r w:rsidR="00B46099" w:rsidRPr="00B46099">
        <w:rPr>
          <w:vertAlign w:val="superscript"/>
        </w:rPr>
        <w:t>29</w:t>
      </w:r>
      <w:r w:rsidR="00B46099">
        <w:fldChar w:fldCharType="end"/>
      </w:r>
      <w:r>
        <w:t>) had 156 trials; cysticercosis (</w:t>
      </w:r>
      <w:r w:rsidR="00B46099">
        <w:t>2.8</w:t>
      </w:r>
      <w:r>
        <w:t xml:space="preserve"> million DALYs</w:t>
      </w:r>
      <w:r w:rsidR="0035138D">
        <w:t xml:space="preserve"> </w:t>
      </w:r>
      <w:r w:rsidR="00B46099">
        <w:fldChar w:fldCharType="begin"/>
      </w:r>
      <w:r w:rsidR="00B46099">
        <w:instrText xml:space="preserve"> ADDIN ZOTERO_ITEM CSL_CITATION {"citationID":"FoGx4Vx1","properties":{"unsorted":false,"formattedCitation":"\\super 30\\nosupersub{}","plainCitation":"30","noteIndex":0},"citationItems":[{"id":1067,"uris":["http://zotero.org/users/16405780/items/QR9LNU6H"],"itemData":{"id":1067,"type":"article-journal","abstract":"In this data synthesis, Paul Robert Torgerson and colleagues estimate the global and regional disease burden of 11 foodborne parasitic diseases.","container-title":"PLoS Medicine","DOI":"10.1371/journal.pmed.1001920","ISSN":"1549-1277","issue":"12","journalAbbreviation":"PLoS Med","page":"e1001920","PMID":"26633705","PMCID":"PMC4668834","source":"PubMed Central","title":"World Health Organization Estimates of the Global and Regional Disease Burden of 11 Foodborne Parasitic Diseases, 2010: A Data Synthesis","title-short":"World Health Organization Estimates of the Global and Regional Disease Burden of 11 Foodborne Parasitic Diseases, 2010","volume":"12","author":[{"family":"Torgerson","given":"Paul R."},{"family":"Devleesschauwer","given":"Brecht"},{"family":"Praet","given":"Nicolas"},{"family":"Speybroeck","given":"Niko"},{"family":"Willingham","given":"Arve Lee"},{"family":"Kasuga","given":"Fumiko"},{"family":"Rokni","given":"Mohammad B."},{"family":"Zhou","given":"Xiao-Nong"},{"family":"Fèvre","given":"Eric M."},{"family":"Sripa","given":"Banchob"},{"family":"Gargouri","given":"Neyla"},{"family":"Fürst","given":"Thomas"},{"family":"Budke","given":"Christine M."},{"family":"Carabin","given":"Hélène"},{"family":"Kirk","given":"Martyn D."},{"family":"Angulo","given":"Frederick J."},{"family":"Havelaar","given":"Arie"},{"family":"Silva","given":"Nilanthi","non-dropping-particle":"de"}],"issued":{"date-parts":[["2015",12,3]]}}}],"schema":"https://github.com/citation-style-language/schema/raw/master/csl-citation.json"} </w:instrText>
      </w:r>
      <w:r w:rsidR="00B46099">
        <w:fldChar w:fldCharType="separate"/>
      </w:r>
      <w:r w:rsidR="00B46099" w:rsidRPr="00B46099">
        <w:rPr>
          <w:vertAlign w:val="superscript"/>
        </w:rPr>
        <w:t>30</w:t>
      </w:r>
      <w:r w:rsidR="00B46099">
        <w:fldChar w:fldCharType="end"/>
      </w:r>
      <w:r>
        <w:t>) had 47 trials. By contrast, ischemic heart disease (</w:t>
      </w:r>
      <w:r w:rsidR="00B46099">
        <w:t>182.0</w:t>
      </w:r>
      <w:r>
        <w:t xml:space="preserve"> million DALYs</w:t>
      </w:r>
      <w:r w:rsidR="0035138D">
        <w:t xml:space="preserve"> </w:t>
      </w:r>
      <w:r w:rsidR="00B46099">
        <w:fldChar w:fldCharType="begin"/>
      </w:r>
      <w:r w:rsidR="00B46099">
        <w:instrText xml:space="preserve"> ADDIN ZOTERO_ITEM CSL_CITATION {"citationID":"6NGCFZ9V","properties":{"unsorted":false,"formattedCitation":"\\super 31\\nosupersub{}","plainCitation":"31","noteIndex":0},"citationItems":[{"id":1070,"uris":["http://zotero.org/users/16405780/items/MKCL6DR3"],"itemData":{"id":1070,"type":"article-journal","abstract":"AIMS: To report the prevalence, deaths, and disability-adjusted life years (DALYs) associated with ischemic heart disease (IHD) and its attributable risk factors in 204 countries and territories from 1990 to 2019, by age, sex, and socio-demographic index (SDI).\nMETHODS AND RESULTS: Ischemic heart disease was defined as acute myocardial infarction (MI) and chronic IHD (angina; asymptomatic IHD following MI). Cause of death ensemble modelling was used to produce fatality estimates. The prevalence of the non-fatal sequalae of IHD was estimated using DisMod MR 2.1. All estimates were presented as counts and age-standardized rates per 100 000 population. In 2019, IHD accounted for 197.2 million (177.7-219.5) prevalent cases, 9.1 million (8.4-9.7) deaths, and 182.0 million (170.2-193.5) DALYs worldwide. There were decreases in the global age-standardized prevalence rates of IHD [-4.6% (-5.7, -3.6)], deaths [-30.8% (-34.8, -27.2)], and DALYs [-28.6% (-33.3, -24.2)] from 1990 to 2019. In 2019, the global prevalence and death rates of IHD were higher among males across all age groups, while the death rate peaked in the oldest group for both sexes. A negative association was found between the age-standardized DALY rates and SDI. Globally, high systolic blood pressure (54.6%), high low-density lipoprotein cholesterol (46.6%), and smoking (23.9%) were the three largest contributors to the DALYs attributable to IHD.\nCONCLUSION: Although the global age-standardized prevalence, death, and DALY rates all decreased. Prevention and control programmes should be implemented to reduce population exposure to risk factors, reduce the risk of IHD in high-risk populations, and provide appropriate care for communities.","container-title":"European Journal of Preventive Cardiology","DOI":"10.1093/eurjpc/zwab213","ISSN":"2047-4881","issue":"2","journalAbbreviation":"Eur J Prev Cardiol","language":"eng","page":"420-431","PMID":"34922374","source":"PubMed","title":"Burden of ischemic heart disease and its attributable risk factors in 204 countries and territories, 1990-2019","volume":"29","author":[{"family":"Safiri","given":"Saeid"},{"family":"Karamzad","given":"Nahid"},{"family":"Singh","given":"Kuljit"},{"family":"Carson-Chahhoud","given":"Kristin"},{"family":"Adams","given":"Cobi"},{"family":"Nejadghaderi","given":"Seyed Aria"},{"family":"Almasi-Hashiani","given":"Amir"},{"family":"Sullman","given":"Mark J. M."},{"family":"Mansournia","given":"Mohammad Ali"},{"family":"Bragazzi","given":"Nicola Luigi"},{"family":"Kaufman","given":"Jay S."},{"family":"Collins","given":"Gary S."},{"family":"Kolahi","given":"Ali-Asghar"}],"issued":{"date-parts":[["2022",3,11]]}}}],"schema":"https://github.com/citation-style-language/schema/raw/master/csl-citation.json"} </w:instrText>
      </w:r>
      <w:r w:rsidR="00B46099">
        <w:fldChar w:fldCharType="separate"/>
      </w:r>
      <w:r w:rsidR="00B46099" w:rsidRPr="00B46099">
        <w:rPr>
          <w:vertAlign w:val="superscript"/>
        </w:rPr>
        <w:t>31</w:t>
      </w:r>
      <w:r w:rsidR="00B46099">
        <w:fldChar w:fldCharType="end"/>
      </w:r>
      <w:r>
        <w:t>) had 38,441 trials</w:t>
      </w:r>
      <w:r w:rsidR="0035138D">
        <w:t xml:space="preserve">, </w:t>
      </w:r>
      <w:r>
        <w:t>representing approximately 4,200 trials per million DALYs compared to just 68 for lymphatic filariasis.</w:t>
      </w:r>
    </w:p>
    <w:p w14:paraId="5B2E8856" w14:textId="77777777" w:rsidR="00AE5DA4" w:rsidRDefault="00000000">
      <w:pPr>
        <w:spacing w:after="200" w:line="360" w:lineRule="auto"/>
      </w:pPr>
      <w:r>
        <w:t>Beyond research volume and geography, we asked whether neglected diseases also occupy marginalised positions in the structure of scientific knowledge itself.</w:t>
      </w:r>
    </w:p>
    <w:p w14:paraId="233144DA" w14:textId="77777777" w:rsidR="00AE5DA4" w:rsidRDefault="00000000">
      <w:pPr>
        <w:pStyle w:val="Heading2"/>
      </w:pPr>
      <w:r>
        <w:t>The Knowledge Dimension: Neglected Diseases Occupy Isolated Semantic Space</w:t>
      </w:r>
    </w:p>
    <w:p w14:paraId="342B3178" w14:textId="054CC100" w:rsidR="00AE5DA4" w:rsidRDefault="00000000">
      <w:pPr>
        <w:spacing w:after="200" w:line="360" w:lineRule="auto"/>
      </w:pPr>
      <w:r>
        <w:t xml:space="preserve">To assess structural marginalisation in the research literature beyond simple publication counts, we generated semantic embeddings for 13.1 million PubMed abstracts spanning 175 GBD disease categories (2000–2025). Using </w:t>
      </w:r>
      <w:proofErr w:type="spellStart"/>
      <w:r>
        <w:t>PubMedBERT</w:t>
      </w:r>
      <w:proofErr w:type="spellEnd"/>
      <w:r w:rsidR="00841DFF">
        <w:t xml:space="preserve"> [</w:t>
      </w:r>
      <w:r w:rsidR="00841DFF" w:rsidRPr="00841DFF">
        <w:rPr>
          <w:highlight w:val="yellow"/>
        </w:rPr>
        <w:t>ref</w:t>
      </w:r>
      <w:r w:rsidR="00841DFF">
        <w:t>]</w:t>
      </w:r>
      <w:r>
        <w:t>, we represented each abstract as a 768-dimensional vector capturing its semantic content, then computed disease-level centroids and inter-disease similarity matrices (Methods).</w:t>
      </w:r>
    </w:p>
    <w:p w14:paraId="78158D00" w14:textId="66FD0686" w:rsidR="00AE5DA4" w:rsidRDefault="00000000">
      <w:pPr>
        <w:spacing w:after="200" w:line="360" w:lineRule="auto"/>
      </w:pPr>
      <w:r>
        <w:t>We developed three novel metrics to characterise the semantic landscape. The Semantic Isolation Index (SII) measures the distance between a disease's research centroid and the centroid of all biomedical literature</w:t>
      </w:r>
      <w:r w:rsidR="002C70E7">
        <w:t xml:space="preserve">; </w:t>
      </w:r>
      <w:r>
        <w:t>higher values indicate greater isolation from mainstream research discourse. In practical terms, a semantically isolated disease cannot easily benefit from methodological advances in adjacent fields; when immunology develops new therapeutic paradigms, isolated diseases remain disconnected from these innovations. The Knowledge Transfer Potential (KTP) quantifies the average semantic similarity between a disease and all other diseases, reflecting opportunities for cross-disciplinary knowledge flow. The Research Clustering Coefficient (RCC) measures the internal cohesion of a disease's research community relative to its connections with other fields.</w:t>
      </w:r>
    </w:p>
    <w:p w14:paraId="6DCF32FB" w14:textId="77777777" w:rsidR="00AE5DA4" w:rsidRDefault="00000000">
      <w:pPr>
        <w:spacing w:after="200" w:line="360" w:lineRule="auto"/>
      </w:pPr>
      <w:r>
        <w:t xml:space="preserve">Neglected tropical diseases exhibited significantly higher semantic isolation than non-NTD conditions. The mean SII for 15 NTDs was 0.00211 compared to 0.00146 for other diseases, a 44% elevation that was highly statistically significant (Welch's t-test, P &lt; 0.0001) with a very </w:t>
      </w:r>
      <w:r>
        <w:lastRenderedPageBreak/>
        <w:t xml:space="preserve">large effect size (Cohen's d = 1.80, exceeding the threshold typically considered "large" by more than twofold; </w:t>
      </w:r>
      <w:r w:rsidRPr="00B95C9C">
        <w:rPr>
          <w:b/>
          <w:bCs/>
        </w:rPr>
        <w:t>Fig. 4a</w:t>
      </w:r>
      <w:r>
        <w:t>). This isolation was visually apparent in UMAP projections of the disease semantic space, where NTDs formed a distinct cluster separated from cardiovascular, oncological, and neurological research (</w:t>
      </w:r>
      <w:r w:rsidRPr="00B95C9C">
        <w:rPr>
          <w:b/>
          <w:bCs/>
        </w:rPr>
        <w:t>Fig. 4b</w:t>
      </w:r>
      <w:r>
        <w:t>).</w:t>
      </w:r>
    </w:p>
    <w:p w14:paraId="40E3BC4C" w14:textId="77777777" w:rsidR="00AE5DA4" w:rsidRDefault="00000000">
      <w:pPr>
        <w:spacing w:after="200" w:line="360" w:lineRule="auto"/>
      </w:pPr>
      <w:r>
        <w:t>The five diseases with highest semantic isolation were African trypanosomiasis (SII = 0.00265), lymphatic filariasis (SII = 0.00237), Guinea worm disease (SII = 0.00229), cysticercosis (SII = 0.00203), and onchocerciasis (SII = 0.00198). All five are conditions predominantly affecting low-income populations. These diseases showed low Knowledge Transfer Potential scores, indicating limited semantic bridges to other research areas that might facilitate methodological or therapeutic cross-fertilisation.</w:t>
      </w:r>
    </w:p>
    <w:p w14:paraId="7BBB85D9" w14:textId="77777777" w:rsidR="00AE5DA4" w:rsidRDefault="00000000">
      <w:pPr>
        <w:spacing w:after="200" w:line="360" w:lineRule="auto"/>
      </w:pPr>
      <w:r>
        <w:t>The semantic structure analysis (</w:t>
      </w:r>
      <w:r w:rsidRPr="00B95C9C">
        <w:rPr>
          <w:b/>
          <w:bCs/>
        </w:rPr>
        <w:t>Fig. 5</w:t>
      </w:r>
      <w:r>
        <w:t>) revealed systematic patterns across disease categories. NTDs exhibited higher isolation across all metrics (</w:t>
      </w:r>
      <w:r w:rsidRPr="00B95C9C">
        <w:rPr>
          <w:b/>
          <w:bCs/>
        </w:rPr>
        <w:t>Fig. 5a</w:t>
      </w:r>
      <w:r>
        <w:t>), with the top 20 most isolated diseases dominated by Global South conditions (</w:t>
      </w:r>
      <w:r w:rsidRPr="00B95C9C">
        <w:rPr>
          <w:b/>
          <w:bCs/>
        </w:rPr>
        <w:t>Fig. 5b</w:t>
      </w:r>
      <w:r>
        <w:t>). Critically, isolation was not simply a function of research volume: diseases with fewer publications were not uniformly isolated, suggesting that semantic positioning reflects structural factors beyond publication count (</w:t>
      </w:r>
      <w:r w:rsidRPr="00B95C9C">
        <w:rPr>
          <w:b/>
          <w:bCs/>
        </w:rPr>
        <w:t>Fig. 5c</w:t>
      </w:r>
      <w:r>
        <w:t>). The NTD versus non-NTD comparison demonstrated clear distributional separation (</w:t>
      </w:r>
      <w:r w:rsidRPr="00B95C9C">
        <w:rPr>
          <w:b/>
          <w:bCs/>
        </w:rPr>
        <w:t>Fig. 5d</w:t>
      </w:r>
      <w:r>
        <w:t>). Notably, HIV/AIDS showed moderate semantic integration (SII = 0.00142) despite its origins as a disease of poverty, a pattern we examine further in the Discussion.</w:t>
      </w:r>
    </w:p>
    <w:p w14:paraId="640AD8A8" w14:textId="77777777" w:rsidR="00AE5DA4" w:rsidRDefault="00000000">
      <w:pPr>
        <w:spacing w:after="200" w:line="360" w:lineRule="auto"/>
      </w:pPr>
      <w:r>
        <w:t xml:space="preserve">Semantic isolation correlated significantly with Discovery dimension Gap Scores (Pearson's r = 0.67, P &lt; 0.001; </w:t>
      </w:r>
      <w:r w:rsidRPr="00B95C9C">
        <w:rPr>
          <w:b/>
          <w:bCs/>
        </w:rPr>
        <w:t>Extended Data Fig. 4</w:t>
      </w:r>
      <w:r>
        <w:t>), suggesting that diseases neglected in biobank research also occupy marginalised positions in the broader scientific literature. This correlation held after controlling for total publication volume (partial r = 0.58, P &lt; 0.001), indicating that isolation reflects qualitative positioning, not merely quantity.</w:t>
      </w:r>
    </w:p>
    <w:p w14:paraId="0F26846B" w14:textId="77777777" w:rsidR="00AE5DA4" w:rsidRDefault="00000000">
      <w:pPr>
        <w:pStyle w:val="Heading2"/>
      </w:pPr>
      <w:r>
        <w:t>HIV/AIDS: Empirical Evidence That Semantic Isolation Can Be Reversed</w:t>
      </w:r>
    </w:p>
    <w:p w14:paraId="53B2B91D" w14:textId="77777777" w:rsidR="00AE5DA4" w:rsidRDefault="00000000">
      <w:pPr>
        <w:spacing w:after="200" w:line="360" w:lineRule="auto"/>
      </w:pPr>
      <w:r>
        <w:t xml:space="preserve">HIV/AIDS provides a natural experiment demonstrating that sustained investment can reverse semantic isolation. We computed SII values for HIV/AIDS across five-year windows from 2000 to 2025. In 2000–2004, HIV/AIDS had an SII of 0.00187, placing it among the more isolated conditions. By 2020–2025, this had decreased to 0.00142, a 24% reduction in semantic isolation. </w:t>
      </w:r>
      <w:r>
        <w:lastRenderedPageBreak/>
        <w:t>This trajectory contrasts sharply with NTDs, which showed no significant change in SII over the same period (mean change: +2.1%, P = 0.71).</w:t>
      </w:r>
    </w:p>
    <w:p w14:paraId="0A7468E0" w14:textId="77777777" w:rsidR="00AE5DA4" w:rsidRDefault="00000000">
      <w:pPr>
        <w:spacing w:after="200" w:line="360" w:lineRule="auto"/>
      </w:pPr>
      <w:r>
        <w:t>The semantic integration of HIV/AIDS was not uniform across knowledge domains. HIV research showed the strongest connectivity gains with immunology (KTP increase: 0.034), clinical trial methodology (0.028), and global health systems research (0.025). These are precisely the domains where PEPFAR, the Global Fund, and other coordinated investments concentrated capacity-building efforts. By contrast, HIV's connectivity with neglected disease research remained low (KTP: 0.011), suggesting that integration benefits did not diffuse to other diseases of poverty. This pattern indicates that strategic investment can reduce isolation for targeted diseases but does not automatically benefit adjacent neglected conditions.</w:t>
      </w:r>
    </w:p>
    <w:p w14:paraId="2EE81CF6" w14:textId="77777777" w:rsidR="00AE5DA4" w:rsidRDefault="00000000">
      <w:pPr>
        <w:pStyle w:val="Heading2"/>
      </w:pPr>
      <w:r>
        <w:t>Unified Neglect Score: Identifying Compounding Disadvantage</w:t>
      </w:r>
    </w:p>
    <w:p w14:paraId="19ABDD11" w14:textId="77777777" w:rsidR="00AE5DA4" w:rsidRDefault="00000000">
      <w:pPr>
        <w:spacing w:after="200" w:line="360" w:lineRule="auto"/>
      </w:pPr>
      <w:r>
        <w:t>To identify diseases experiencing systematic neglect across all dimensions, we computed a Unified Neglect Score integrating Discovery (Gap Score), Translation (clinical trial equity), and Knowledge (Semantic Isolation Index) with equal weighting (33%/33%/34%; see Methods for normalisation). The score ranges from 0 (no neglect) to ~50 (maximum neglect across available dimensions).</w:t>
      </w:r>
    </w:p>
    <w:p w14:paraId="714C8487" w14:textId="77777777" w:rsidR="00AE5DA4" w:rsidRDefault="00000000">
      <w:pPr>
        <w:spacing w:after="200" w:line="360" w:lineRule="auto"/>
      </w:pPr>
      <w:r>
        <w:t>Among 175 diseases with sufficient data, the mean Unified Score was 18.7 (SD = 13.3), with a range from 0.1 (ischemic heart disease) to 46.9 (lymphatic filariasis). The distribution was right-skewed, with a long tail of highly neglected conditions (</w:t>
      </w:r>
      <w:r w:rsidRPr="00B95C9C">
        <w:rPr>
          <w:b/>
          <w:bCs/>
        </w:rPr>
        <w:t>Fig. 6</w:t>
      </w:r>
      <w:r>
        <w:t>).</w:t>
      </w:r>
    </w:p>
    <w:p w14:paraId="1F852774" w14:textId="77777777" w:rsidR="00AE5DA4" w:rsidRDefault="00000000">
      <w:r>
        <w:br w:type="page"/>
      </w:r>
    </w:p>
    <w:p w14:paraId="52476315" w14:textId="77777777" w:rsidR="00AE5DA4" w:rsidRDefault="00000000">
      <w:pPr>
        <w:pStyle w:val="Heading3"/>
      </w:pPr>
      <w:r>
        <w:lastRenderedPageBreak/>
        <w:t>Table 1. Top Ten Most Neglected Diseases by Unified Score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7"/>
        <w:gridCol w:w="1831"/>
        <w:gridCol w:w="1088"/>
        <w:gridCol w:w="1254"/>
        <w:gridCol w:w="1010"/>
        <w:gridCol w:w="850"/>
        <w:gridCol w:w="2658"/>
      </w:tblGrid>
      <w:tr w:rsidR="00AE5DA4" w14:paraId="2B3D82AA"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17B10395" w14:textId="77777777" w:rsidR="00AE5DA4" w:rsidRDefault="00000000">
            <w:pPr>
              <w:jc w:val="center"/>
            </w:pPr>
            <w:r>
              <w:rPr>
                <w:b/>
                <w:bCs/>
                <w:sz w:val="20"/>
                <w:szCs w:val="20"/>
              </w:rPr>
              <w:t>Rank</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7CE334A1" w14:textId="77777777" w:rsidR="00AE5DA4" w:rsidRDefault="00000000">
            <w:r>
              <w:rPr>
                <w:b/>
                <w:bCs/>
                <w:sz w:val="20"/>
                <w:szCs w:val="20"/>
              </w:rPr>
              <w:t>Disease</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33670BF6" w14:textId="77777777" w:rsidR="00AE5DA4" w:rsidRDefault="00000000">
            <w:pPr>
              <w:jc w:val="center"/>
            </w:pPr>
            <w:r>
              <w:rPr>
                <w:b/>
                <w:bCs/>
                <w:sz w:val="20"/>
                <w:szCs w:val="20"/>
              </w:rPr>
              <w:t>WHO NTD</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13429F6E" w14:textId="77777777" w:rsidR="00AE5DA4" w:rsidRDefault="00000000">
            <w:pPr>
              <w:jc w:val="center"/>
            </w:pPr>
            <w:r>
              <w:rPr>
                <w:b/>
                <w:bCs/>
                <w:sz w:val="20"/>
                <w:szCs w:val="20"/>
              </w:rPr>
              <w:t>Unified Score</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7DEB083D" w14:textId="77777777" w:rsidR="00AE5DA4" w:rsidRDefault="00000000">
            <w:pPr>
              <w:jc w:val="center"/>
            </w:pPr>
            <w:r>
              <w:rPr>
                <w:b/>
                <w:bCs/>
                <w:sz w:val="20"/>
                <w:szCs w:val="20"/>
              </w:rPr>
              <w:t>Gap Score</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3CA7FEBA" w14:textId="77777777" w:rsidR="00AE5DA4" w:rsidRDefault="00000000">
            <w:pPr>
              <w:jc w:val="center"/>
            </w:pPr>
            <w:r>
              <w:rPr>
                <w:b/>
                <w:bCs/>
                <w:sz w:val="20"/>
                <w:szCs w:val="20"/>
              </w:rPr>
              <w:t>SII</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13E3F512" w14:textId="77777777" w:rsidR="00AE5DA4" w:rsidRDefault="00000000">
            <w:r>
              <w:rPr>
                <w:b/>
                <w:bCs/>
                <w:sz w:val="20"/>
                <w:szCs w:val="20"/>
              </w:rPr>
              <w:t>Primary Burden Region</w:t>
            </w:r>
          </w:p>
        </w:tc>
      </w:tr>
      <w:tr w:rsidR="00AE5DA4" w14:paraId="6A4730D1"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CA8667" w14:textId="77777777" w:rsidR="00AE5DA4" w:rsidRDefault="00000000">
            <w:pPr>
              <w:jc w:val="center"/>
            </w:pPr>
            <w:r>
              <w:rPr>
                <w:sz w:val="20"/>
                <w:szCs w:val="20"/>
              </w:rPr>
              <w:t>1</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9304AC" w14:textId="77777777" w:rsidR="00AE5DA4" w:rsidRDefault="00000000">
            <w:r>
              <w:rPr>
                <w:sz w:val="20"/>
                <w:szCs w:val="20"/>
              </w:rPr>
              <w:t>Lymphatic filariasis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26F981" w14:textId="77777777" w:rsidR="00AE5DA4" w:rsidRDefault="00000000">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3E741F" w14:textId="77777777" w:rsidR="00AE5DA4" w:rsidRDefault="00000000">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F9BFAF" w14:textId="77777777" w:rsidR="00AE5DA4" w:rsidRDefault="00000000">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3B78A9" w14:textId="77777777" w:rsidR="00AE5DA4" w:rsidRDefault="00000000">
            <w:pPr>
              <w:jc w:val="center"/>
            </w:pPr>
            <w:r>
              <w:rPr>
                <w:sz w:val="20"/>
                <w:szCs w:val="20"/>
              </w:rPr>
              <w:t>0.00237</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90CE4D" w14:textId="77777777" w:rsidR="00AE5DA4" w:rsidRDefault="00000000">
            <w:r>
              <w:rPr>
                <w:sz w:val="20"/>
                <w:szCs w:val="20"/>
              </w:rPr>
              <w:t>Sub-Saharan Africa, South Asia</w:t>
            </w:r>
          </w:p>
        </w:tc>
      </w:tr>
      <w:tr w:rsidR="00AE5DA4" w14:paraId="3B61E880"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28C1C1" w14:textId="77777777" w:rsidR="00AE5DA4" w:rsidRDefault="00000000">
            <w:pPr>
              <w:jc w:val="center"/>
            </w:pPr>
            <w:r>
              <w:rPr>
                <w:sz w:val="20"/>
                <w:szCs w:val="20"/>
              </w:rPr>
              <w:t>2</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9DDE4E" w14:textId="77777777" w:rsidR="00AE5DA4" w:rsidRDefault="00000000">
            <w:r>
              <w:rPr>
                <w:sz w:val="20"/>
                <w:szCs w:val="20"/>
              </w:rPr>
              <w:t>Guinea worm disease</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664454" w14:textId="77777777" w:rsidR="00AE5DA4" w:rsidRDefault="00000000">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583D3C" w14:textId="77777777" w:rsidR="00AE5DA4" w:rsidRDefault="00000000">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31DDCB" w14:textId="77777777" w:rsidR="00AE5DA4" w:rsidRDefault="00000000">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169B07" w14:textId="77777777" w:rsidR="00AE5DA4" w:rsidRDefault="00000000">
            <w:pPr>
              <w:jc w:val="center"/>
            </w:pPr>
            <w:r>
              <w:rPr>
                <w:sz w:val="20"/>
                <w:szCs w:val="20"/>
              </w:rPr>
              <w:t>0.00229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460CB3" w14:textId="77777777" w:rsidR="00AE5DA4" w:rsidRDefault="00000000">
            <w:r>
              <w:rPr>
                <w:sz w:val="20"/>
                <w:szCs w:val="20"/>
              </w:rPr>
              <w:t>Sub-Saharan Africa</w:t>
            </w:r>
          </w:p>
        </w:tc>
      </w:tr>
      <w:tr w:rsidR="00AE5DA4" w:rsidRPr="00677B3C" w14:paraId="5C644A3C"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214D31" w14:textId="77777777" w:rsidR="00AE5DA4" w:rsidRDefault="00000000">
            <w:pPr>
              <w:jc w:val="center"/>
            </w:pPr>
            <w:r>
              <w:rPr>
                <w:sz w:val="20"/>
                <w:szCs w:val="20"/>
              </w:rPr>
              <w:t>3</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9B30B6" w14:textId="77777777" w:rsidR="00AE5DA4" w:rsidRDefault="00000000">
            <w:r>
              <w:rPr>
                <w:sz w:val="20"/>
                <w:szCs w:val="20"/>
              </w:rPr>
              <w:t>Cysticercosis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A87CC5" w14:textId="77777777" w:rsidR="00AE5DA4" w:rsidRDefault="00000000">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C79CC9" w14:textId="77777777" w:rsidR="00AE5DA4" w:rsidRDefault="00000000">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D6913B" w14:textId="77777777" w:rsidR="00AE5DA4" w:rsidRDefault="00000000">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8E3F7A" w14:textId="77777777" w:rsidR="00AE5DA4" w:rsidRDefault="00000000">
            <w:pPr>
              <w:jc w:val="center"/>
            </w:pPr>
            <w:r>
              <w:rPr>
                <w:sz w:val="20"/>
                <w:szCs w:val="20"/>
              </w:rPr>
              <w:t>0.00203</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260A41" w14:textId="77777777" w:rsidR="00AE5DA4" w:rsidRPr="00677B3C" w:rsidRDefault="00000000">
            <w:pPr>
              <w:rPr>
                <w:lang w:val="es-ES"/>
              </w:rPr>
            </w:pPr>
            <w:proofErr w:type="spellStart"/>
            <w:r w:rsidRPr="00677B3C">
              <w:rPr>
                <w:sz w:val="20"/>
                <w:szCs w:val="20"/>
                <w:lang w:val="es-ES"/>
              </w:rPr>
              <w:t>Latin</w:t>
            </w:r>
            <w:proofErr w:type="spellEnd"/>
            <w:r w:rsidRPr="00677B3C">
              <w:rPr>
                <w:sz w:val="20"/>
                <w:szCs w:val="20"/>
                <w:lang w:val="es-ES"/>
              </w:rPr>
              <w:t xml:space="preserve"> </w:t>
            </w:r>
            <w:proofErr w:type="spellStart"/>
            <w:r w:rsidRPr="00677B3C">
              <w:rPr>
                <w:sz w:val="20"/>
                <w:szCs w:val="20"/>
                <w:lang w:val="es-ES"/>
              </w:rPr>
              <w:t>America</w:t>
            </w:r>
            <w:proofErr w:type="spellEnd"/>
            <w:r w:rsidRPr="00677B3C">
              <w:rPr>
                <w:sz w:val="20"/>
                <w:szCs w:val="20"/>
                <w:lang w:val="es-ES"/>
              </w:rPr>
              <w:t>, Sub-</w:t>
            </w:r>
            <w:proofErr w:type="spellStart"/>
            <w:r w:rsidRPr="00677B3C">
              <w:rPr>
                <w:sz w:val="20"/>
                <w:szCs w:val="20"/>
                <w:lang w:val="es-ES"/>
              </w:rPr>
              <w:t>Saharan</w:t>
            </w:r>
            <w:proofErr w:type="spellEnd"/>
            <w:r w:rsidRPr="00677B3C">
              <w:rPr>
                <w:sz w:val="20"/>
                <w:szCs w:val="20"/>
                <w:lang w:val="es-ES"/>
              </w:rPr>
              <w:t xml:space="preserve"> </w:t>
            </w:r>
            <w:proofErr w:type="spellStart"/>
            <w:r w:rsidRPr="00677B3C">
              <w:rPr>
                <w:sz w:val="20"/>
                <w:szCs w:val="20"/>
                <w:lang w:val="es-ES"/>
              </w:rPr>
              <w:t>Africa</w:t>
            </w:r>
            <w:proofErr w:type="spellEnd"/>
          </w:p>
        </w:tc>
      </w:tr>
      <w:tr w:rsidR="00AE5DA4" w14:paraId="7029D917"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80CBD9" w14:textId="77777777" w:rsidR="00AE5DA4" w:rsidRDefault="00000000">
            <w:pPr>
              <w:jc w:val="center"/>
            </w:pPr>
            <w:r>
              <w:rPr>
                <w:sz w:val="20"/>
                <w:szCs w:val="20"/>
              </w:rPr>
              <w:t>4</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18F475" w14:textId="77777777" w:rsidR="00AE5DA4" w:rsidRDefault="00000000">
            <w:r>
              <w:rPr>
                <w:sz w:val="20"/>
                <w:szCs w:val="20"/>
              </w:rPr>
              <w:t>Dengue</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67284A" w14:textId="77777777" w:rsidR="00AE5DA4" w:rsidRDefault="00000000">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81550E" w14:textId="77777777" w:rsidR="00AE5DA4" w:rsidRDefault="00000000">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A8E070" w14:textId="77777777" w:rsidR="00AE5DA4" w:rsidRDefault="00000000">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B7072D" w14:textId="77777777" w:rsidR="00AE5DA4" w:rsidRDefault="00000000">
            <w:pPr>
              <w:jc w:val="center"/>
            </w:pPr>
            <w:r>
              <w:rPr>
                <w:sz w:val="20"/>
                <w:szCs w:val="20"/>
              </w:rPr>
              <w:t>0.00188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9AFEB2" w14:textId="77777777" w:rsidR="00AE5DA4" w:rsidRDefault="00000000">
            <w:r>
              <w:rPr>
                <w:sz w:val="20"/>
                <w:szCs w:val="20"/>
              </w:rPr>
              <w:t>Southeast Asia, Latin America</w:t>
            </w:r>
          </w:p>
        </w:tc>
      </w:tr>
      <w:tr w:rsidR="00AE5DA4" w14:paraId="74FD57CA"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7A2CD0" w14:textId="77777777" w:rsidR="00AE5DA4" w:rsidRDefault="00000000">
            <w:pPr>
              <w:jc w:val="center"/>
            </w:pPr>
            <w:r>
              <w:rPr>
                <w:sz w:val="20"/>
                <w:szCs w:val="20"/>
              </w:rPr>
              <w:t>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15D8CB" w14:textId="77777777" w:rsidR="00AE5DA4" w:rsidRDefault="00000000">
            <w:r>
              <w:rPr>
                <w:sz w:val="20"/>
                <w:szCs w:val="20"/>
              </w:rPr>
              <w:t>Scabies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2AA42E" w14:textId="77777777" w:rsidR="00AE5DA4" w:rsidRDefault="00000000">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E98101" w14:textId="77777777" w:rsidR="00AE5DA4" w:rsidRDefault="00000000">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06ECCA" w14:textId="77777777" w:rsidR="00AE5DA4" w:rsidRDefault="00000000">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B6CAA9" w14:textId="77777777" w:rsidR="00AE5DA4" w:rsidRDefault="00000000">
            <w:pPr>
              <w:jc w:val="center"/>
            </w:pPr>
            <w:r>
              <w:rPr>
                <w:sz w:val="20"/>
                <w:szCs w:val="20"/>
              </w:rPr>
              <w:t>0.00187</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89A7F7" w14:textId="77777777" w:rsidR="00AE5DA4" w:rsidRDefault="00000000">
            <w:r>
              <w:rPr>
                <w:sz w:val="20"/>
                <w:szCs w:val="20"/>
              </w:rPr>
              <w:t>Global South</w:t>
            </w:r>
          </w:p>
        </w:tc>
      </w:tr>
      <w:tr w:rsidR="00AE5DA4" w14:paraId="1C533A04"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1DCEE7" w14:textId="77777777" w:rsidR="00AE5DA4" w:rsidRDefault="00000000">
            <w:pPr>
              <w:jc w:val="center"/>
            </w:pPr>
            <w:r>
              <w:rPr>
                <w:sz w:val="20"/>
                <w:szCs w:val="20"/>
              </w:rPr>
              <w:t>6</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974AC3" w14:textId="77777777" w:rsidR="00AE5DA4" w:rsidRDefault="00000000">
            <w:r>
              <w:rPr>
                <w:sz w:val="20"/>
                <w:szCs w:val="20"/>
              </w:rPr>
              <w:t>Malaria</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1BE253" w14:textId="77777777" w:rsidR="00AE5DA4" w:rsidRDefault="00000000">
            <w:pPr>
              <w:jc w:val="center"/>
            </w:pPr>
            <w:r>
              <w:rPr>
                <w:sz w:val="20"/>
                <w:szCs w:val="20"/>
              </w:rPr>
              <w:t>—</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C64891" w14:textId="77777777" w:rsidR="00AE5DA4" w:rsidRDefault="00000000">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DAC848" w14:textId="77777777" w:rsidR="00AE5DA4" w:rsidRDefault="00000000">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423152" w14:textId="77777777" w:rsidR="00AE5DA4" w:rsidRDefault="00000000">
            <w:pPr>
              <w:jc w:val="center"/>
            </w:pPr>
            <w:r>
              <w:rPr>
                <w:sz w:val="20"/>
                <w:szCs w:val="20"/>
              </w:rPr>
              <w:t>0.00176</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6AF559" w14:textId="77777777" w:rsidR="00AE5DA4" w:rsidRDefault="00000000">
            <w:r>
              <w:rPr>
                <w:sz w:val="20"/>
                <w:szCs w:val="20"/>
              </w:rPr>
              <w:t>Sub-Saharan Africa</w:t>
            </w:r>
          </w:p>
        </w:tc>
      </w:tr>
      <w:tr w:rsidR="00AE5DA4" w14:paraId="1A440D72"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E56765" w14:textId="77777777" w:rsidR="00AE5DA4" w:rsidRDefault="00000000">
            <w:pPr>
              <w:jc w:val="center"/>
            </w:pPr>
            <w:r>
              <w:rPr>
                <w:sz w:val="20"/>
                <w:szCs w:val="20"/>
              </w:rPr>
              <w:t>7</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BC7384" w14:textId="77777777" w:rsidR="00AE5DA4" w:rsidRDefault="00000000">
            <w:r>
              <w:rPr>
                <w:sz w:val="20"/>
                <w:szCs w:val="20"/>
              </w:rPr>
              <w:t>Schistosomiasis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A88962" w14:textId="77777777" w:rsidR="00AE5DA4" w:rsidRDefault="00000000">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AB6D2A" w14:textId="77777777" w:rsidR="00AE5DA4" w:rsidRDefault="00000000">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87A1C7" w14:textId="77777777" w:rsidR="00AE5DA4" w:rsidRDefault="00000000">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5607A3" w14:textId="77777777" w:rsidR="00AE5DA4" w:rsidRDefault="00000000">
            <w:pPr>
              <w:jc w:val="center"/>
            </w:pPr>
            <w:r>
              <w:rPr>
                <w:sz w:val="20"/>
                <w:szCs w:val="20"/>
              </w:rPr>
              <w:t>0.00172</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6FE8D6" w14:textId="77777777" w:rsidR="00AE5DA4" w:rsidRDefault="00000000">
            <w:r>
              <w:rPr>
                <w:sz w:val="20"/>
                <w:szCs w:val="20"/>
              </w:rPr>
              <w:t>Sub-Saharan Africa</w:t>
            </w:r>
          </w:p>
        </w:tc>
      </w:tr>
      <w:tr w:rsidR="00AE5DA4" w14:paraId="216F7575"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C48EA1" w14:textId="77777777" w:rsidR="00AE5DA4" w:rsidRDefault="00000000">
            <w:pPr>
              <w:jc w:val="center"/>
            </w:pPr>
            <w:r>
              <w:rPr>
                <w:sz w:val="20"/>
                <w:szCs w:val="20"/>
              </w:rPr>
              <w:t>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A09A84" w14:textId="77777777" w:rsidR="00AE5DA4" w:rsidRDefault="00000000">
            <w:r>
              <w:rPr>
                <w:sz w:val="20"/>
                <w:szCs w:val="20"/>
              </w:rPr>
              <w:t>Ascariasis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54A69A" w14:textId="77777777" w:rsidR="00AE5DA4" w:rsidRDefault="00000000">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8823F5" w14:textId="77777777" w:rsidR="00AE5DA4" w:rsidRDefault="00000000">
            <w:pPr>
              <w:jc w:val="center"/>
            </w:pPr>
            <w:r>
              <w:rPr>
                <w:sz w:val="20"/>
                <w:szCs w:val="20"/>
              </w:rPr>
              <w:t>46.8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D848D2" w14:textId="77777777" w:rsidR="00AE5DA4" w:rsidRDefault="00000000">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6E5975" w14:textId="77777777" w:rsidR="00AE5DA4" w:rsidRDefault="00000000">
            <w:pPr>
              <w:jc w:val="center"/>
            </w:pPr>
            <w:r>
              <w:rPr>
                <w:sz w:val="20"/>
                <w:szCs w:val="20"/>
              </w:rPr>
              <w:t>0.00164</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6ACE0C" w14:textId="77777777" w:rsidR="00AE5DA4" w:rsidRDefault="00000000">
            <w:r>
              <w:rPr>
                <w:sz w:val="20"/>
                <w:szCs w:val="20"/>
              </w:rPr>
              <w:t>South Asia, Sub-Saharan Africa</w:t>
            </w:r>
          </w:p>
        </w:tc>
      </w:tr>
      <w:tr w:rsidR="00AE5DA4" w14:paraId="50051EB1"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F9CDD7" w14:textId="77777777" w:rsidR="00AE5DA4" w:rsidRDefault="00000000">
            <w:pPr>
              <w:jc w:val="center"/>
            </w:pPr>
            <w:r>
              <w:rPr>
                <w:sz w:val="20"/>
                <w:szCs w:val="20"/>
              </w:rPr>
              <w:t>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5A7DC2" w14:textId="77777777" w:rsidR="00AE5DA4" w:rsidRDefault="00000000">
            <w:r>
              <w:rPr>
                <w:sz w:val="20"/>
                <w:szCs w:val="20"/>
              </w:rPr>
              <w:t>Rabies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974E59" w14:textId="77777777" w:rsidR="00AE5DA4" w:rsidRDefault="00000000">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A58220" w14:textId="77777777" w:rsidR="00AE5DA4" w:rsidRDefault="00000000">
            <w:pPr>
              <w:jc w:val="center"/>
            </w:pPr>
            <w:r>
              <w:rPr>
                <w:sz w:val="20"/>
                <w:szCs w:val="20"/>
              </w:rPr>
              <w:t>46.8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7DDEA4" w14:textId="77777777" w:rsidR="00AE5DA4" w:rsidRDefault="00000000">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D30B53" w14:textId="77777777" w:rsidR="00AE5DA4" w:rsidRDefault="00000000">
            <w:pPr>
              <w:jc w:val="center"/>
            </w:pPr>
            <w:r>
              <w:rPr>
                <w:sz w:val="20"/>
                <w:szCs w:val="20"/>
              </w:rPr>
              <w:t>0.00168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664F82" w14:textId="77777777" w:rsidR="00AE5DA4" w:rsidRDefault="00000000">
            <w:r>
              <w:rPr>
                <w:sz w:val="20"/>
                <w:szCs w:val="20"/>
              </w:rPr>
              <w:t>South Asia, Sub-Saharan Africa</w:t>
            </w:r>
          </w:p>
        </w:tc>
      </w:tr>
      <w:tr w:rsidR="00AE5DA4" w:rsidRPr="00677B3C" w14:paraId="512FF2DB"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775ECA" w14:textId="77777777" w:rsidR="00AE5DA4" w:rsidRDefault="00000000">
            <w:pPr>
              <w:jc w:val="center"/>
            </w:pPr>
            <w:r>
              <w:rPr>
                <w:sz w:val="20"/>
                <w:szCs w:val="20"/>
              </w:rPr>
              <w:t>10</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7C5A33" w14:textId="77777777" w:rsidR="00AE5DA4" w:rsidRDefault="00000000">
            <w:r>
              <w:rPr>
                <w:sz w:val="20"/>
                <w:szCs w:val="20"/>
              </w:rPr>
              <w:t>Yellow fever</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9D493F" w14:textId="77777777" w:rsidR="00AE5DA4" w:rsidRDefault="00000000">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0FACE2" w14:textId="77777777" w:rsidR="00AE5DA4" w:rsidRDefault="00000000">
            <w:pPr>
              <w:jc w:val="center"/>
            </w:pPr>
            <w:r>
              <w:rPr>
                <w:sz w:val="20"/>
                <w:szCs w:val="20"/>
              </w:rPr>
              <w:t>46.7</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684061" w14:textId="77777777" w:rsidR="00AE5DA4" w:rsidRDefault="00000000">
            <w:pPr>
              <w:jc w:val="center"/>
            </w:pPr>
            <w:r>
              <w:rPr>
                <w:sz w:val="20"/>
                <w:szCs w:val="20"/>
              </w:rPr>
              <w:t>90</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7AA0D5" w14:textId="77777777" w:rsidR="00AE5DA4" w:rsidRDefault="00000000">
            <w:pPr>
              <w:jc w:val="center"/>
            </w:pPr>
            <w:r>
              <w:rPr>
                <w:sz w:val="20"/>
                <w:szCs w:val="20"/>
              </w:rPr>
              <w:t>0.00189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78CBD1" w14:textId="77777777" w:rsidR="00AE5DA4" w:rsidRPr="00677B3C" w:rsidRDefault="00000000">
            <w:pPr>
              <w:rPr>
                <w:lang w:val="es-ES"/>
              </w:rPr>
            </w:pPr>
            <w:r w:rsidRPr="00677B3C">
              <w:rPr>
                <w:sz w:val="20"/>
                <w:szCs w:val="20"/>
                <w:lang w:val="es-ES"/>
              </w:rPr>
              <w:t>Sub-</w:t>
            </w:r>
            <w:proofErr w:type="spellStart"/>
            <w:r w:rsidRPr="00677B3C">
              <w:rPr>
                <w:sz w:val="20"/>
                <w:szCs w:val="20"/>
                <w:lang w:val="es-ES"/>
              </w:rPr>
              <w:t>Saharan</w:t>
            </w:r>
            <w:proofErr w:type="spellEnd"/>
            <w:r w:rsidRPr="00677B3C">
              <w:rPr>
                <w:sz w:val="20"/>
                <w:szCs w:val="20"/>
                <w:lang w:val="es-ES"/>
              </w:rPr>
              <w:t xml:space="preserve"> </w:t>
            </w:r>
            <w:proofErr w:type="spellStart"/>
            <w:r w:rsidRPr="00677B3C">
              <w:rPr>
                <w:sz w:val="20"/>
                <w:szCs w:val="20"/>
                <w:lang w:val="es-ES"/>
              </w:rPr>
              <w:t>Africa</w:t>
            </w:r>
            <w:proofErr w:type="spellEnd"/>
            <w:r w:rsidRPr="00677B3C">
              <w:rPr>
                <w:sz w:val="20"/>
                <w:szCs w:val="20"/>
                <w:lang w:val="es-ES"/>
              </w:rPr>
              <w:t xml:space="preserve">, South </w:t>
            </w:r>
            <w:proofErr w:type="spellStart"/>
            <w:r w:rsidRPr="00677B3C">
              <w:rPr>
                <w:sz w:val="20"/>
                <w:szCs w:val="20"/>
                <w:lang w:val="es-ES"/>
              </w:rPr>
              <w:t>America</w:t>
            </w:r>
            <w:proofErr w:type="spellEnd"/>
          </w:p>
        </w:tc>
      </w:tr>
    </w:tbl>
    <w:p w14:paraId="3784A4E9" w14:textId="77777777" w:rsidR="00AE5DA4" w:rsidRDefault="00000000">
      <w:pPr>
        <w:spacing w:before="100" w:after="300"/>
      </w:pPr>
      <w:r>
        <w:rPr>
          <w:i/>
          <w:iCs/>
          <w:sz w:val="18"/>
          <w:szCs w:val="18"/>
        </w:rPr>
        <w:t>Note: Nine of ten are WHO-classified NTDs; malaria is addressed separately by the WHO Global Malaria Programme. The clustering of top scores at ~46.9 reflects that these diseases lack sufficient clinical trial data; their Unified Score is computed from Discovery and Knowledge dimensions only.</w:t>
      </w:r>
    </w:p>
    <w:p w14:paraId="76B740F4" w14:textId="29C2FDA1" w:rsidR="00AE5DA4" w:rsidRDefault="00000000">
      <w:pPr>
        <w:spacing w:after="200" w:line="360" w:lineRule="auto"/>
      </w:pPr>
      <w:r>
        <w:t xml:space="preserve">All ten diseases in </w:t>
      </w:r>
      <w:r w:rsidRPr="00B95C9C">
        <w:rPr>
          <w:b/>
          <w:bCs/>
        </w:rPr>
        <w:t>Table 1</w:t>
      </w:r>
      <w:r>
        <w:t xml:space="preserve"> are infectious diseases with primary burden in the Global South. Nine are classified as neglected tropical diseases by the WHO. None had substantial clinical trial representation (Translation dimension data unavailable due to low trial counts). This convergence across independent dimensions</w:t>
      </w:r>
      <w:r w:rsidR="00B95C9C">
        <w:t xml:space="preserve"> (</w:t>
      </w:r>
      <w:r>
        <w:t>Discovery, Translation, and Knowledge</w:t>
      </w:r>
      <w:r w:rsidR="00B95C9C">
        <w:t xml:space="preserve">) </w:t>
      </w:r>
      <w:r>
        <w:t>demonstrates cumulative neglect: these diseases are simultaneously absent from major biobanks, underrepresented in clinical trials, and semantically isolated in the research literature.</w:t>
      </w:r>
    </w:p>
    <w:p w14:paraId="6F43C753" w14:textId="77777777" w:rsidR="00AE5DA4" w:rsidRDefault="00000000">
      <w:pPr>
        <w:spacing w:after="200" w:line="360" w:lineRule="auto"/>
      </w:pPr>
      <w:r>
        <w:t>By contrast, the ten diseases with lowest Unified Scores (greatest research equity) included ischemic heart disease (0.1), breast cancer (0.8), type 2 diabetes (1.2), lung cancer (1.4), and Alzheimer's disease (2.1). These are all conditions with substantial burden in high-income countries and correspondingly robust research ecosystems spanning biobanks, trials, and interconnected literature.</w:t>
      </w:r>
    </w:p>
    <w:p w14:paraId="1642B091" w14:textId="77777777" w:rsidR="00AE5DA4" w:rsidRDefault="00000000">
      <w:pPr>
        <w:pStyle w:val="Heading2"/>
      </w:pPr>
      <w:r>
        <w:t>Temporal Trends: The Gap Is Not Closing</w:t>
      </w:r>
    </w:p>
    <w:p w14:paraId="177C766E" w14:textId="77777777" w:rsidR="00AE5DA4" w:rsidRDefault="00000000">
      <w:pPr>
        <w:spacing w:after="200" w:line="360" w:lineRule="auto"/>
      </w:pPr>
      <w:r>
        <w:lastRenderedPageBreak/>
        <w:t>We analysed temporal evolution of research equity across the 25-year study period (2000–2025) using five-year rolling windows. Three findings emerged (</w:t>
      </w:r>
      <w:r w:rsidRPr="00B95C9C">
        <w:rPr>
          <w:b/>
          <w:bCs/>
        </w:rPr>
        <w:t>Extended Data Fig. 3</w:t>
      </w:r>
      <w:r>
        <w:t>).</w:t>
      </w:r>
    </w:p>
    <w:p w14:paraId="1CD825F1" w14:textId="77777777" w:rsidR="00AE5DA4" w:rsidRDefault="00000000">
      <w:pPr>
        <w:spacing w:after="200" w:line="360" w:lineRule="auto"/>
      </w:pPr>
      <w:r>
        <w:t>First, biobank research has become more concentrated rather than less. UK Biobank's share of total biobank publications rose from 12% (2000–2009) to 36% (2015–2025), reflecting its scale and data accessibility. Global South biobanks' collective share remained static at approximately 6–7% throughout the period.</w:t>
      </w:r>
    </w:p>
    <w:p w14:paraId="2B344912" w14:textId="77777777" w:rsidR="00AE5DA4" w:rsidRDefault="00000000">
      <w:pPr>
        <w:spacing w:after="200" w:line="360" w:lineRule="auto"/>
      </w:pPr>
      <w:r>
        <w:t xml:space="preserve">Second, clinical trial site distribution showed no significant trend toward geographic equity. The </w:t>
      </w:r>
      <w:proofErr w:type="gramStart"/>
      <w:r>
        <w:t>HIC:LMIC</w:t>
      </w:r>
      <w:proofErr w:type="gramEnd"/>
      <w:r>
        <w:t xml:space="preserve"> site ratio fluctuated between 2.3 and 2.7 across five-year windows without directional improvement (trend test P = 0.41).</w:t>
      </w:r>
    </w:p>
    <w:p w14:paraId="0FE40C10" w14:textId="0C72FE16" w:rsidR="00AE5DA4" w:rsidRDefault="00000000">
      <w:pPr>
        <w:spacing w:after="200" w:line="360" w:lineRule="auto"/>
      </w:pPr>
      <w:r>
        <w:t>Third, semantic isolation of NTDs has not decreased. We computed temporal drift</w:t>
      </w:r>
      <w:r w:rsidR="00B95C9C">
        <w:t xml:space="preserve"> (</w:t>
      </w:r>
      <w:r>
        <w:t>the mean change in disease centroid position across consecutive time windows</w:t>
      </w:r>
      <w:r w:rsidR="00B95C9C">
        <w:t xml:space="preserve">) </w:t>
      </w:r>
      <w:r>
        <w:t>as a measure of research evolution. NTDs showed lower mean temporal drift (0.00012) than non-NTDs (0.00019). While low drift could theoretically indicate a mature, stable research field, the combination of low drift with high isolation suggests stagnation rather than maturity: NTD research is not accumulating new knowledge that might connect it to broader methodological developments in adjacent fields.</w:t>
      </w:r>
    </w:p>
    <w:p w14:paraId="3AAF7118" w14:textId="77777777" w:rsidR="00AE5DA4" w:rsidRDefault="00000000">
      <w:pPr>
        <w:spacing w:after="200" w:line="360" w:lineRule="auto"/>
      </w:pPr>
      <w:r>
        <w:t>Collectively, these trends demonstrate a sobering conclusion: despite three decades of global health equity initiatives, the structural position of neglected diseases in the research landscape has not materially improved. The gap identified by HEIM is not a historical artefact but an ongoing feature of contemporary biomedical research. Incremental improvements in individual programmes have not translated into systemic change.</w:t>
      </w:r>
    </w:p>
    <w:p w14:paraId="779270CB" w14:textId="77777777" w:rsidR="00AE5DA4" w:rsidRDefault="00000000">
      <w:r>
        <w:br w:type="page"/>
      </w:r>
    </w:p>
    <w:p w14:paraId="47FE1C19" w14:textId="77777777" w:rsidR="00AE5DA4" w:rsidRDefault="00000000">
      <w:pPr>
        <w:pStyle w:val="Heading1"/>
      </w:pPr>
      <w:r>
        <w:lastRenderedPageBreak/>
        <w:t>Discussion</w:t>
      </w:r>
    </w:p>
    <w:p w14:paraId="7A88CAC3" w14:textId="26AEB74D" w:rsidR="00AE5DA4" w:rsidRDefault="00000000">
      <w:pPr>
        <w:spacing w:after="200" w:line="360" w:lineRule="auto"/>
      </w:pPr>
      <w:r>
        <w:t>Our analysis reveals that health research inequity is not merely a matter of funding disparities but reflects deep structural biases embedded across the entire research enterprise. The HEIM framework demonstrates that neglected diseases</w:t>
      </w:r>
      <w:r w:rsidR="005A77D6">
        <w:t xml:space="preserve">, </w:t>
      </w:r>
      <w:r>
        <w:t>particularly those affecting the Global South</w:t>
      </w:r>
      <w:r w:rsidR="005A77D6">
        <w:t xml:space="preserve">, </w:t>
      </w:r>
      <w:r>
        <w:t>face compounding disadvantage: they are absent from major biobanks, underrepresented in clinical trials, and semantically isolated in the scientific literature. This triple burden creates self-reinforcing cycles that perpetuate neglect regardless of individual funding initiatives. The ten most neglected diseases in our analysis collectively affect over 1.5 billion people, predominantly in sub-Saharan Africa and South Asia.</w:t>
      </w:r>
    </w:p>
    <w:p w14:paraId="6CD79951" w14:textId="77777777" w:rsidR="00AE5DA4" w:rsidRDefault="00000000">
      <w:pPr>
        <w:spacing w:after="200" w:line="360" w:lineRule="auto"/>
      </w:pPr>
      <w:r>
        <w:t xml:space="preserve">The finding that neglected tropical diseases exhibit 44% higher semantic isolation than other conditions </w:t>
      </w:r>
      <w:proofErr w:type="gramStart"/>
      <w:r>
        <w:t>has</w:t>
      </w:r>
      <w:proofErr w:type="gramEnd"/>
      <w:r>
        <w:t xml:space="preserve"> important implications. Semantic isolation indicates not only fewer publications but qualitatively different positioning in the knowledge landscape. These diseases are disconnected from the methodological innovations, therapeutic paradigms, and conceptual frameworks that drive progress in mainstream biomedicine. A disease that is semantically isolated cannot easily benefit from advances in adjacent fields, cannot attract researchers trained in well-resourced areas, and cannot leverage the infrastructure of interconnected research communities.</w:t>
      </w:r>
    </w:p>
    <w:p w14:paraId="2621A9A5" w14:textId="16BCC9A8" w:rsidR="00AE5DA4" w:rsidRDefault="00000000">
      <w:pPr>
        <w:spacing w:after="200" w:line="360" w:lineRule="auto"/>
      </w:pPr>
      <w:r>
        <w:t>The contrast with HIV/AIDS is instructive. Sustained global investment over four decades has not only increased publication volume but fundamentally integrated HIV research into immunology, virology, global health, and implementation science, reducing its semantic isolation despite its origins as a disease of poverty. This transformation occurred through specific mechanisms: dedicated funding streams (PEPFAR, Global Fund) that required collaboration with established research institutions; training pipelines that built capacity in endemic regions while connecting researchers to mainstream methodological communities; and deliberate efforts to publish in high-impact journals that reach broad audiences. The result is that HIV/AIDS research today is semantically connected to cancer immunotherapy, vaccine development, and health systems research in ways that NTD research is not. This demonstrates that structural marginalisation is not inevitable</w:t>
      </w:r>
      <w:r w:rsidR="005A77D6">
        <w:t xml:space="preserve">: </w:t>
      </w:r>
      <w:r>
        <w:t>it can be reversed through strategic, sustained investment that deliberately connects neglected disease research to established methodological communities.</w:t>
      </w:r>
    </w:p>
    <w:p w14:paraId="7475E419" w14:textId="77777777" w:rsidR="00AE5DA4" w:rsidRDefault="00000000">
      <w:pPr>
        <w:pStyle w:val="Heading3"/>
      </w:pPr>
      <w:r>
        <w:lastRenderedPageBreak/>
        <w:t>Implications for Research Funders</w:t>
      </w:r>
    </w:p>
    <w:p w14:paraId="69BC8605" w14:textId="4215A21B" w:rsidR="00AE5DA4" w:rsidRDefault="00000000">
      <w:pPr>
        <w:spacing w:after="200" w:line="360" w:lineRule="auto"/>
      </w:pPr>
      <w:r>
        <w:t>HEIM provides quantitative targets that can guide strategic investment. Funders seeking to maximise equity impact should prioritise diseases with high Unified Scores, particularly those where investment might reduce semantic isolation by connecting neglected disease research to established methodological communities. Our data suggest that the current portfolio of major funders</w:t>
      </w:r>
      <w:r w:rsidR="004076F7">
        <w:t xml:space="preserve"> (</w:t>
      </w:r>
      <w:r>
        <w:t>reflected in biobank output and trial registration</w:t>
      </w:r>
      <w:r w:rsidR="004076F7">
        <w:t xml:space="preserve">) </w:t>
      </w:r>
      <w:r>
        <w:t xml:space="preserve">remains substantially misaligned with global disease burden. The persistence of this gap over 25 years, despite explicit equity mandates from organisations including the </w:t>
      </w:r>
      <w:proofErr w:type="spellStart"/>
      <w:r>
        <w:t>Wellcome</w:t>
      </w:r>
      <w:proofErr w:type="spellEnd"/>
      <w:r>
        <w:t xml:space="preserve"> Trust, Gates Foundation, and National Institutes of Health, indicates that incremental adjustments are insufficient. Structural change may require dedicated funding streams for neglected diseases with mandated cross-disciplinary collaboration to reduce semantic isolation.</w:t>
      </w:r>
    </w:p>
    <w:p w14:paraId="006E6016" w14:textId="77777777" w:rsidR="00AE5DA4" w:rsidRDefault="00000000">
      <w:pPr>
        <w:pStyle w:val="Heading3"/>
      </w:pPr>
      <w:r>
        <w:t>Implications for Biobank Consortia</w:t>
      </w:r>
    </w:p>
    <w:p w14:paraId="2568DF8B" w14:textId="60846A2E" w:rsidR="00AE5DA4" w:rsidRDefault="00000000">
      <w:pPr>
        <w:spacing w:after="200" w:line="360" w:lineRule="auto"/>
      </w:pPr>
      <w:r>
        <w:t>The concentration of research output in a single biobank</w:t>
      </w:r>
      <w:r w:rsidR="004076F7">
        <w:t xml:space="preserve"> (</w:t>
      </w:r>
      <w:r>
        <w:t>UK Biobank accounts for 36% of recent publications</w:t>
      </w:r>
      <w:r w:rsidR="004076F7">
        <w:t xml:space="preserve">) </w:t>
      </w:r>
      <w:r>
        <w:t>creates both opportunity and risk. On one hand, UK Biobank demonstrates that well-resourced, accessible infrastructure generates substantial scientific return. On the other hand, this concentration means that diseases not represented in UK Biobank's primarily European, primarily healthy-at-recruitment population remain systematically understudied. The IHCC and similar consortia should consider explicit equity metrics when evaluating member contributions, potentially weighting research on high-burden, high-gap diseases more heavily than incremental contributions to well-studied conditions. Our Equity Alignment Score provides a ready framework for such evaluation.</w:t>
      </w:r>
    </w:p>
    <w:p w14:paraId="4354B023" w14:textId="77777777" w:rsidR="00AE5DA4" w:rsidRDefault="00000000">
      <w:pPr>
        <w:pStyle w:val="Heading3"/>
      </w:pPr>
      <w:r>
        <w:t>Implications for Clinical Trial Design</w:t>
      </w:r>
    </w:p>
    <w:p w14:paraId="22F60F7D" w14:textId="77777777" w:rsidR="00AE5DA4" w:rsidRDefault="00000000">
      <w:pPr>
        <w:spacing w:after="200" w:line="360" w:lineRule="auto"/>
      </w:pPr>
      <w:r>
        <w:t xml:space="preserve">The 2.5-fold concentration of trial sites in high-income countries persists despite decades of recognition that trials should be conducted in populations who will use the resulting interventions. Regulatory frameworks, institutional capacity, and investigator networks all contribute to this concentration. Our data suggest that even for diseases predominantly affecting the Global South, </w:t>
      </w:r>
      <w:proofErr w:type="gramStart"/>
      <w:r>
        <w:t>the majority of</w:t>
      </w:r>
      <w:proofErr w:type="gramEnd"/>
      <w:r>
        <w:t xml:space="preserve"> trial infrastructure remains in the Global North. This mismatch raises questions about generalisability, implementation feasibility, and research justice. Trial sponsors and regulators should consider geographic representation as a design criterion, not merely an aspiration.</w:t>
      </w:r>
    </w:p>
    <w:p w14:paraId="54BCE555" w14:textId="77777777" w:rsidR="00AE5DA4" w:rsidRDefault="00000000">
      <w:pPr>
        <w:pStyle w:val="Heading3"/>
      </w:pPr>
      <w:r>
        <w:lastRenderedPageBreak/>
        <w:t>Actionable Policy Targets</w:t>
      </w:r>
    </w:p>
    <w:p w14:paraId="6DB6CD2F" w14:textId="77777777" w:rsidR="00AE5DA4" w:rsidRDefault="00000000">
      <w:pPr>
        <w:spacing w:after="200" w:line="360" w:lineRule="auto"/>
      </w:pPr>
      <w:r>
        <w:rPr>
          <w:b/>
          <w:bCs/>
        </w:rPr>
        <w:t>Based on our findings, we propose three measurable targets for structural change:</w:t>
      </w:r>
    </w:p>
    <w:p w14:paraId="18EA8614" w14:textId="77777777" w:rsidR="00AE5DA4" w:rsidRDefault="00000000">
      <w:pPr>
        <w:spacing w:after="200" w:line="360" w:lineRule="auto"/>
      </w:pPr>
      <w:r>
        <w:rPr>
          <w:b/>
          <w:bCs/>
        </w:rPr>
        <w:t xml:space="preserve">1. Funders: </w:t>
      </w:r>
      <w:r>
        <w:t>Allocate a minimum of 15% of global health research portfolios to diseases with Unified Neglect Scores above 40, with explicit requirements for cross-disciplinary collaboration to reduce semantic isolation.</w:t>
      </w:r>
    </w:p>
    <w:p w14:paraId="7826666F" w14:textId="77777777" w:rsidR="00AE5DA4" w:rsidRDefault="00000000">
      <w:pPr>
        <w:spacing w:after="200" w:line="360" w:lineRule="auto"/>
      </w:pPr>
      <w:r>
        <w:rPr>
          <w:b/>
          <w:bCs/>
        </w:rPr>
        <w:t xml:space="preserve">2. Biobank Consortia: </w:t>
      </w:r>
      <w:r>
        <w:t>Adopt standardised Equity Alignment Score reporting as a condition of consortium membership, with a target of achieving EAS ≥ 40 (Moderate alignment) for all member biobanks within five years.</w:t>
      </w:r>
    </w:p>
    <w:p w14:paraId="7434A0DD" w14:textId="77777777" w:rsidR="00AE5DA4" w:rsidRDefault="00000000">
      <w:pPr>
        <w:spacing w:after="200" w:line="360" w:lineRule="auto"/>
      </w:pPr>
      <w:r>
        <w:rPr>
          <w:b/>
          <w:bCs/>
        </w:rPr>
        <w:t xml:space="preserve">3. Clinical Trial Sponsors: </w:t>
      </w:r>
      <w:r>
        <w:t>Require that trials for diseases with primary burden in the Global South include at least 50% of sites in endemic regions, moving from the current 29% toward proportional representation.</w:t>
      </w:r>
    </w:p>
    <w:p w14:paraId="220C37BF" w14:textId="77777777" w:rsidR="00AE5DA4" w:rsidRDefault="00000000">
      <w:pPr>
        <w:spacing w:after="200" w:line="360" w:lineRule="auto"/>
      </w:pPr>
      <w:r>
        <w:t>These targets are informed by HEIM metrics and can be monitored through the interactive dashboard, enabling accountability and progress tracking.</w:t>
      </w:r>
    </w:p>
    <w:p w14:paraId="49C35ECC" w14:textId="77777777" w:rsidR="00AE5DA4" w:rsidRDefault="00000000">
      <w:pPr>
        <w:pStyle w:val="Heading3"/>
      </w:pPr>
      <w:r>
        <w:t>Limitations</w:t>
      </w:r>
    </w:p>
    <w:p w14:paraId="67188BBA" w14:textId="77777777" w:rsidR="00AE5DA4" w:rsidRDefault="00000000">
      <w:pPr>
        <w:spacing w:after="200" w:line="360" w:lineRule="auto"/>
      </w:pPr>
      <w:r>
        <w:t xml:space="preserve">Several limitations warrant consideration. First, IHCC membership is voluntary, and non-member biobanks may differ systematically in their disease coverage; our findings reflect the largest coordinated biobank network but not all global biobank activity. Second, PubMed coverage favours English-language journals and may underrepresent research published in regional journals or non-English languages; </w:t>
      </w:r>
      <w:proofErr w:type="gramStart"/>
      <w:r>
        <w:t>this bias likely underestimates</w:t>
      </w:r>
      <w:proofErr w:type="gramEnd"/>
      <w:r>
        <w:t xml:space="preserve"> research activity in the Global South, meaning our findings may be conservative. Third, clinical trial registration completeness varies by country and has improved over time, particularly following the ICMJE requirement (2005), potentially affecting temporal trend estimates. Fourth, our biobank analysis relies on publication counts, which may underestimate research activity that does not result in indexed publications. Fifth, the Unified Score weights dimensions equally; alternative weightings could alter rankings, though sensitivity analyses (</w:t>
      </w:r>
      <w:r w:rsidRPr="0098329C">
        <w:rPr>
          <w:b/>
          <w:bCs/>
        </w:rPr>
        <w:t>Extended Data Fig. 2</w:t>
      </w:r>
      <w:r>
        <w:t>) suggest our conclusions are robust (Spearman's ρ &gt; 0.92 across schemes). Finally, our analysis establishes associations between disease characteristics and research neglect but cannot establish causation.</w:t>
      </w:r>
    </w:p>
    <w:p w14:paraId="33B553AF" w14:textId="77777777" w:rsidR="00AE5DA4" w:rsidRDefault="00000000">
      <w:pPr>
        <w:pStyle w:val="Heading3"/>
      </w:pPr>
      <w:r>
        <w:t>Future Directions</w:t>
      </w:r>
    </w:p>
    <w:p w14:paraId="4E5836BE" w14:textId="19470C8A" w:rsidR="00AE5DA4" w:rsidRPr="00A13B9E" w:rsidRDefault="00000000">
      <w:pPr>
        <w:spacing w:after="200" w:line="360" w:lineRule="auto"/>
        <w:rPr>
          <w:b/>
          <w:bCs/>
        </w:rPr>
      </w:pPr>
      <w:r>
        <w:lastRenderedPageBreak/>
        <w:t>HEIM provides a foundation for prospective monitoring of research equity. Integration with funding databases (NIH Reporter</w:t>
      </w:r>
      <w:r w:rsidR="0098329C">
        <w:t xml:space="preserve"> [</w:t>
      </w:r>
      <w:r w:rsidR="0098329C" w:rsidRPr="0098329C">
        <w:rPr>
          <w:highlight w:val="yellow"/>
        </w:rPr>
        <w:t>ref</w:t>
      </w:r>
      <w:r w:rsidR="0098329C">
        <w:t>]</w:t>
      </w:r>
      <w:r>
        <w:t>, Dimensions</w:t>
      </w:r>
      <w:r w:rsidR="0098329C">
        <w:t xml:space="preserve"> [</w:t>
      </w:r>
      <w:r w:rsidR="0098329C" w:rsidRPr="0098329C">
        <w:rPr>
          <w:highlight w:val="yellow"/>
        </w:rPr>
        <w:t>ref</w:t>
      </w:r>
      <w:r w:rsidR="0098329C">
        <w:t>]</w:t>
      </w:r>
      <w:r>
        <w:t xml:space="preserve">, </w:t>
      </w:r>
      <w:proofErr w:type="spellStart"/>
      <w:r>
        <w:t>OpenAlex</w:t>
      </w:r>
      <w:proofErr w:type="spellEnd"/>
      <w:r w:rsidR="0098329C">
        <w:t xml:space="preserve"> [</w:t>
      </w:r>
      <w:r w:rsidR="0098329C" w:rsidRPr="0098329C">
        <w:rPr>
          <w:highlight w:val="yellow"/>
        </w:rPr>
        <w:t>ref</w:t>
      </w:r>
      <w:r w:rsidR="0098329C">
        <w:t>]</w:t>
      </w:r>
      <w:r>
        <w:t>) would enable analysis of investment-to-output relationships. Expansion to preprints and grey literature would capture research currently invisible to PubMed-based analyses. Development of intervention studies</w:t>
      </w:r>
      <w:r w:rsidR="00A13B9E">
        <w:t xml:space="preserve">, i.e., </w:t>
      </w:r>
      <w:r>
        <w:t>testing whether targeted investments reduce semantic isolation</w:t>
      </w:r>
      <w:r w:rsidR="00A13B9E">
        <w:t xml:space="preserve">, </w:t>
      </w:r>
      <w:r>
        <w:t xml:space="preserve">would move from diagnosis to demonstrated solutions. </w:t>
      </w:r>
      <w:r w:rsidRPr="00A13B9E">
        <w:rPr>
          <w:b/>
          <w:bCs/>
        </w:rPr>
        <w:t xml:space="preserve">The interactive HEIM dashboard () </w:t>
      </w:r>
      <w:r>
        <w:t>enables real-time monitoring of research equity, transforming abstract commitments into measurable accountability.</w:t>
      </w:r>
    </w:p>
    <w:p w14:paraId="2938EC85" w14:textId="77777777" w:rsidR="00AE5DA4" w:rsidRDefault="00000000">
      <w:r>
        <w:br w:type="page"/>
      </w:r>
    </w:p>
    <w:p w14:paraId="07D66776" w14:textId="77777777" w:rsidR="00AE5DA4" w:rsidRDefault="00000000">
      <w:pPr>
        <w:pStyle w:val="Heading1"/>
      </w:pPr>
      <w:r>
        <w:lastRenderedPageBreak/>
        <w:t>Figures</w:t>
      </w:r>
    </w:p>
    <w:p w14:paraId="726912B8" w14:textId="77777777" w:rsidR="00AE5DA4" w:rsidRDefault="00000000">
      <w:r>
        <w:br w:type="page"/>
      </w:r>
    </w:p>
    <w:p w14:paraId="1FE2F4FF" w14:textId="77777777" w:rsidR="00AE5DA4" w:rsidRDefault="00000000">
      <w:r>
        <w:lastRenderedPageBreak/>
        <w:br w:type="page"/>
      </w:r>
    </w:p>
    <w:p w14:paraId="6E35B21F" w14:textId="77777777" w:rsidR="00AE5DA4" w:rsidRDefault="00000000">
      <w:r>
        <w:lastRenderedPageBreak/>
        <w:br w:type="page"/>
      </w:r>
    </w:p>
    <w:p w14:paraId="1CFF4DE5" w14:textId="44934082" w:rsidR="00AE5DA4" w:rsidRDefault="00432CE8">
      <w:pPr>
        <w:spacing w:before="200" w:after="100"/>
        <w:jc w:val="center"/>
      </w:pPr>
      <w:r>
        <w:rPr>
          <w:noProof/>
        </w:rPr>
        <w:lastRenderedPageBreak/>
        <w:drawing>
          <wp:inline distT="0" distB="0" distL="0" distR="0" wp14:anchorId="601E92AB" wp14:editId="5AB46671">
            <wp:extent cx="5943600" cy="3496945"/>
            <wp:effectExtent l="0" t="0" r="0" b="0"/>
            <wp:docPr id="3710130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13097" name="Picture 371013097"/>
                    <pic:cNvPicPr/>
                  </pic:nvPicPr>
                  <pic:blipFill>
                    <a:blip r:embed="rId10"/>
                    <a:stretch>
                      <a:fillRect/>
                    </a:stretch>
                  </pic:blipFill>
                  <pic:spPr>
                    <a:xfrm>
                      <a:off x="0" y="0"/>
                      <a:ext cx="5943600" cy="3496945"/>
                    </a:xfrm>
                    <a:prstGeom prst="rect">
                      <a:avLst/>
                    </a:prstGeom>
                  </pic:spPr>
                </pic:pic>
              </a:graphicData>
            </a:graphic>
          </wp:inline>
        </w:drawing>
      </w:r>
    </w:p>
    <w:p w14:paraId="1415641E" w14:textId="77777777" w:rsidR="00432CE8" w:rsidRDefault="00432CE8">
      <w:pPr>
        <w:spacing w:before="200" w:after="100"/>
        <w:jc w:val="center"/>
      </w:pPr>
    </w:p>
    <w:p w14:paraId="095BFC9F" w14:textId="77777777" w:rsidR="00AE5DA4" w:rsidRDefault="00000000">
      <w:pPr>
        <w:spacing w:before="100" w:after="300"/>
      </w:pPr>
      <w:r>
        <w:rPr>
          <w:rFonts w:ascii="Arial" w:eastAsia="Arial" w:hAnsi="Arial" w:cs="Arial"/>
          <w:b/>
          <w:bCs/>
          <w:sz w:val="22"/>
          <w:szCs w:val="22"/>
        </w:rPr>
        <w:t>Figure 4. Knowledge Dimension: Semantic Isolation of Disease Research.</w:t>
      </w:r>
      <w:r>
        <w:rPr>
          <w:sz w:val="22"/>
          <w:szCs w:val="22"/>
        </w:rPr>
        <w:t xml:space="preserve"> (a) Box plot comparing Semantic Isolation Index between neglected tropical diseases (n = 15) and other conditions (n = 160). NTDs show 44% higher isolation (P &lt; 0.0001, Cohen's d = 1.80). (b) UMAP projection of 175 diseases in semantic space showing NTD cluster separation.</w:t>
      </w:r>
    </w:p>
    <w:p w14:paraId="28F71C9B" w14:textId="77777777" w:rsidR="00AE5DA4" w:rsidRDefault="00000000">
      <w:r>
        <w:br w:type="page"/>
      </w:r>
    </w:p>
    <w:p w14:paraId="2B112CAB" w14:textId="7C6BA5A7" w:rsidR="00AE5DA4" w:rsidRDefault="00182BBE">
      <w:pPr>
        <w:spacing w:before="200" w:after="100"/>
        <w:jc w:val="center"/>
      </w:pPr>
      <w:r>
        <w:rPr>
          <w:noProof/>
        </w:rPr>
        <w:lastRenderedPageBreak/>
        <w:drawing>
          <wp:inline distT="0" distB="0" distL="0" distR="0" wp14:anchorId="48BEF7B8" wp14:editId="23620639">
            <wp:extent cx="5943600" cy="4073525"/>
            <wp:effectExtent l="0" t="0" r="0" b="3175"/>
            <wp:docPr id="5036934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93465" name="Picture 503693465"/>
                    <pic:cNvPicPr/>
                  </pic:nvPicPr>
                  <pic:blipFill>
                    <a:blip r:embed="rId11"/>
                    <a:stretch>
                      <a:fillRect/>
                    </a:stretch>
                  </pic:blipFill>
                  <pic:spPr>
                    <a:xfrm>
                      <a:off x="0" y="0"/>
                      <a:ext cx="5943600" cy="4073525"/>
                    </a:xfrm>
                    <a:prstGeom prst="rect">
                      <a:avLst/>
                    </a:prstGeom>
                  </pic:spPr>
                </pic:pic>
              </a:graphicData>
            </a:graphic>
          </wp:inline>
        </w:drawing>
      </w:r>
    </w:p>
    <w:p w14:paraId="65B83E66" w14:textId="77777777" w:rsidR="00182BBE" w:rsidRDefault="00182BBE">
      <w:pPr>
        <w:spacing w:before="200" w:after="100"/>
        <w:jc w:val="center"/>
      </w:pPr>
    </w:p>
    <w:p w14:paraId="4CEB651A" w14:textId="77777777" w:rsidR="00AE5DA4" w:rsidRDefault="00000000">
      <w:pPr>
        <w:spacing w:before="100" w:after="300"/>
      </w:pPr>
      <w:r>
        <w:rPr>
          <w:rFonts w:ascii="Arial" w:eastAsia="Arial" w:hAnsi="Arial" w:cs="Arial"/>
          <w:b/>
          <w:bCs/>
          <w:sz w:val="22"/>
          <w:szCs w:val="22"/>
        </w:rPr>
        <w:t>Figure 5. Semantic Structure Analysis of Disease Research.</w:t>
      </w:r>
      <w:r>
        <w:rPr>
          <w:sz w:val="22"/>
          <w:szCs w:val="22"/>
        </w:rPr>
        <w:t xml:space="preserve"> (a) Distribution of Semantic Isolation Index by disease category. (b) Top 20 most semantically isolated diseases. (c) Relationship between semantic isolation and research volume. (d) Direct comparison of NTD versus non-NTD distributions.</w:t>
      </w:r>
    </w:p>
    <w:p w14:paraId="7D926D22" w14:textId="77777777" w:rsidR="00AE5DA4" w:rsidRDefault="00000000">
      <w:r>
        <w:br w:type="page"/>
      </w:r>
    </w:p>
    <w:p w14:paraId="7571B79F" w14:textId="1C3C5AEE" w:rsidR="00AE5DA4" w:rsidRDefault="00C30EB2">
      <w:pPr>
        <w:spacing w:before="200" w:after="100"/>
        <w:jc w:val="center"/>
      </w:pPr>
      <w:r>
        <w:rPr>
          <w:noProof/>
        </w:rPr>
        <w:lastRenderedPageBreak/>
        <w:drawing>
          <wp:inline distT="0" distB="0" distL="0" distR="0" wp14:anchorId="527912C8" wp14:editId="6721F2FE">
            <wp:extent cx="5943600" cy="5943600"/>
            <wp:effectExtent l="0" t="0" r="0" b="0"/>
            <wp:docPr id="16638143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14398" name="Picture 1663814398"/>
                    <pic:cNvPicPr/>
                  </pic:nvPicPr>
                  <pic:blipFill>
                    <a:blip r:embed="rId12"/>
                    <a:stretch>
                      <a:fillRect/>
                    </a:stretch>
                  </pic:blipFill>
                  <pic:spPr>
                    <a:xfrm>
                      <a:off x="0" y="0"/>
                      <a:ext cx="5943600" cy="5943600"/>
                    </a:xfrm>
                    <a:prstGeom prst="rect">
                      <a:avLst/>
                    </a:prstGeom>
                  </pic:spPr>
                </pic:pic>
              </a:graphicData>
            </a:graphic>
          </wp:inline>
        </w:drawing>
      </w:r>
    </w:p>
    <w:p w14:paraId="2AE13226" w14:textId="77777777" w:rsidR="00C30EB2" w:rsidRDefault="00C30EB2">
      <w:pPr>
        <w:spacing w:before="200" w:after="100"/>
        <w:jc w:val="center"/>
      </w:pPr>
    </w:p>
    <w:p w14:paraId="269E3BC9" w14:textId="77777777" w:rsidR="00AE5DA4" w:rsidRDefault="00000000">
      <w:pPr>
        <w:spacing w:before="100" w:after="300"/>
      </w:pPr>
      <w:r>
        <w:rPr>
          <w:rFonts w:ascii="Arial" w:eastAsia="Arial" w:hAnsi="Arial" w:cs="Arial"/>
          <w:b/>
          <w:bCs/>
          <w:sz w:val="22"/>
          <w:szCs w:val="22"/>
        </w:rPr>
        <w:t>Figure 6. Unified Neglect Score: Top 30 Most Neglected Diseases.</w:t>
      </w:r>
      <w:r>
        <w:rPr>
          <w:sz w:val="22"/>
          <w:szCs w:val="22"/>
        </w:rPr>
        <w:t xml:space="preserve"> Ranked by Unified Neglect Score. All top 10 diseases are infectious conditions of the Global South, predominantly WHO-classified NTDs. The clustering at ~46.9 reflects maximum neglect across available dimensions.</w:t>
      </w:r>
    </w:p>
    <w:p w14:paraId="1F684C96" w14:textId="77777777" w:rsidR="00AE5DA4" w:rsidRDefault="00000000">
      <w:r>
        <w:br w:type="page"/>
      </w:r>
    </w:p>
    <w:p w14:paraId="7F4EE3AA" w14:textId="77777777" w:rsidR="00AE5DA4" w:rsidRDefault="00000000">
      <w:pPr>
        <w:pStyle w:val="Heading1"/>
      </w:pPr>
      <w:r>
        <w:lastRenderedPageBreak/>
        <w:t>Extended Data Figures</w:t>
      </w:r>
    </w:p>
    <w:p w14:paraId="1080F469" w14:textId="62AC8425" w:rsidR="00AE5DA4" w:rsidRDefault="00563955">
      <w:pPr>
        <w:spacing w:before="200" w:after="100"/>
        <w:jc w:val="center"/>
      </w:pPr>
      <w:r>
        <w:rPr>
          <w:noProof/>
        </w:rPr>
        <w:drawing>
          <wp:inline distT="0" distB="0" distL="0" distR="0" wp14:anchorId="0F567695" wp14:editId="12CE89A8">
            <wp:extent cx="5359400" cy="4457700"/>
            <wp:effectExtent l="0" t="0" r="0" b="0"/>
            <wp:docPr id="20113972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97252" name="Picture 2011397252"/>
                    <pic:cNvPicPr/>
                  </pic:nvPicPr>
                  <pic:blipFill>
                    <a:blip r:embed="rId13"/>
                    <a:stretch>
                      <a:fillRect/>
                    </a:stretch>
                  </pic:blipFill>
                  <pic:spPr>
                    <a:xfrm>
                      <a:off x="0" y="0"/>
                      <a:ext cx="5359400" cy="4457700"/>
                    </a:xfrm>
                    <a:prstGeom prst="rect">
                      <a:avLst/>
                    </a:prstGeom>
                  </pic:spPr>
                </pic:pic>
              </a:graphicData>
            </a:graphic>
          </wp:inline>
        </w:drawing>
      </w:r>
    </w:p>
    <w:p w14:paraId="215F8348" w14:textId="77777777" w:rsidR="00563955" w:rsidRDefault="00563955">
      <w:pPr>
        <w:spacing w:before="200" w:after="100"/>
        <w:jc w:val="center"/>
      </w:pPr>
    </w:p>
    <w:p w14:paraId="3E2D192A" w14:textId="77777777" w:rsidR="00AE5DA4" w:rsidRDefault="00000000">
      <w:pPr>
        <w:spacing w:before="100" w:after="300"/>
      </w:pPr>
      <w:r>
        <w:rPr>
          <w:rFonts w:ascii="Arial" w:eastAsia="Arial" w:hAnsi="Arial" w:cs="Arial"/>
          <w:b/>
          <w:bCs/>
          <w:sz w:val="22"/>
          <w:szCs w:val="22"/>
        </w:rPr>
        <w:t>Figure Extended Data 3. Temporal Trends in Research Equity (2000–2025).</w:t>
      </w:r>
      <w:r>
        <w:rPr>
          <w:sz w:val="22"/>
          <w:szCs w:val="22"/>
        </w:rPr>
        <w:t xml:space="preserve"> Top 25 diseases by temporal semantic drift, showing research evolution over time. Higher drift indicates more research topic changes.</w:t>
      </w:r>
    </w:p>
    <w:p w14:paraId="632B42DD" w14:textId="77777777" w:rsidR="00AE5DA4" w:rsidRDefault="00000000">
      <w:r>
        <w:br w:type="page"/>
      </w:r>
    </w:p>
    <w:p w14:paraId="0DB0F3A0" w14:textId="5F37FEC4" w:rsidR="00AE5DA4" w:rsidRDefault="006B7E50">
      <w:pPr>
        <w:spacing w:before="200" w:after="100"/>
        <w:jc w:val="center"/>
      </w:pPr>
      <w:r>
        <w:rPr>
          <w:noProof/>
        </w:rPr>
        <w:lastRenderedPageBreak/>
        <w:drawing>
          <wp:inline distT="0" distB="0" distL="0" distR="0" wp14:anchorId="02358258" wp14:editId="04EF9EB5">
            <wp:extent cx="4406900" cy="3543300"/>
            <wp:effectExtent l="0" t="0" r="0" b="0"/>
            <wp:docPr id="14546162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16231" name="Picture 1454616231"/>
                    <pic:cNvPicPr/>
                  </pic:nvPicPr>
                  <pic:blipFill>
                    <a:blip r:embed="rId14"/>
                    <a:stretch>
                      <a:fillRect/>
                    </a:stretch>
                  </pic:blipFill>
                  <pic:spPr>
                    <a:xfrm>
                      <a:off x="0" y="0"/>
                      <a:ext cx="4406900" cy="3543300"/>
                    </a:xfrm>
                    <a:prstGeom prst="rect">
                      <a:avLst/>
                    </a:prstGeom>
                  </pic:spPr>
                </pic:pic>
              </a:graphicData>
            </a:graphic>
          </wp:inline>
        </w:drawing>
      </w:r>
    </w:p>
    <w:p w14:paraId="584E30D0" w14:textId="77777777" w:rsidR="006B7E50" w:rsidRDefault="006B7E50">
      <w:pPr>
        <w:spacing w:before="200" w:after="100"/>
        <w:jc w:val="center"/>
      </w:pPr>
    </w:p>
    <w:p w14:paraId="587F04B6" w14:textId="77777777" w:rsidR="00AE5DA4" w:rsidRDefault="00000000">
      <w:pPr>
        <w:spacing w:before="100" w:after="300"/>
      </w:pPr>
      <w:r>
        <w:rPr>
          <w:rFonts w:ascii="Arial" w:eastAsia="Arial" w:hAnsi="Arial" w:cs="Arial"/>
          <w:b/>
          <w:bCs/>
          <w:sz w:val="22"/>
          <w:szCs w:val="22"/>
        </w:rPr>
        <w:t>Figure Extended Data 4. Gap Score vs. Semantic Isolation Correlation.</w:t>
      </w:r>
      <w:r>
        <w:rPr>
          <w:sz w:val="22"/>
          <w:szCs w:val="22"/>
        </w:rPr>
        <w:t xml:space="preserve"> Scatter plot showing relationship between Discovery dimension Gap Scores and Knowledge dimension Semantic Isolation Index. Diseases colour-coded by publication volume.</w:t>
      </w:r>
    </w:p>
    <w:p w14:paraId="1BE48DD1" w14:textId="77777777" w:rsidR="00AE5DA4" w:rsidRDefault="00000000">
      <w:r>
        <w:br w:type="page"/>
      </w:r>
    </w:p>
    <w:p w14:paraId="2A213A48" w14:textId="56299520" w:rsidR="00AE5DA4" w:rsidRDefault="006B7E50">
      <w:pPr>
        <w:spacing w:before="200" w:after="100"/>
        <w:jc w:val="center"/>
      </w:pPr>
      <w:r>
        <w:rPr>
          <w:noProof/>
        </w:rPr>
        <w:lastRenderedPageBreak/>
        <w:drawing>
          <wp:inline distT="0" distB="0" distL="0" distR="0" wp14:anchorId="144AC50C" wp14:editId="702E6916">
            <wp:extent cx="5943600" cy="5089525"/>
            <wp:effectExtent l="0" t="0" r="0" b="3175"/>
            <wp:docPr id="7310002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00255" name="Picture 731000255"/>
                    <pic:cNvPicPr/>
                  </pic:nvPicPr>
                  <pic:blipFill>
                    <a:blip r:embed="rId15"/>
                    <a:stretch>
                      <a:fillRect/>
                    </a:stretch>
                  </pic:blipFill>
                  <pic:spPr>
                    <a:xfrm>
                      <a:off x="0" y="0"/>
                      <a:ext cx="5943600" cy="5089525"/>
                    </a:xfrm>
                    <a:prstGeom prst="rect">
                      <a:avLst/>
                    </a:prstGeom>
                  </pic:spPr>
                </pic:pic>
              </a:graphicData>
            </a:graphic>
          </wp:inline>
        </w:drawing>
      </w:r>
    </w:p>
    <w:p w14:paraId="06AD2282" w14:textId="77777777" w:rsidR="006B7E50" w:rsidRDefault="006B7E50">
      <w:pPr>
        <w:spacing w:before="200" w:after="100"/>
        <w:jc w:val="center"/>
      </w:pPr>
    </w:p>
    <w:p w14:paraId="57C5AE34" w14:textId="77777777" w:rsidR="00AE5DA4" w:rsidRDefault="00000000">
      <w:pPr>
        <w:spacing w:before="100" w:after="300"/>
      </w:pPr>
      <w:r>
        <w:rPr>
          <w:rFonts w:ascii="Arial" w:eastAsia="Arial" w:hAnsi="Arial" w:cs="Arial"/>
          <w:b/>
          <w:bCs/>
          <w:sz w:val="22"/>
          <w:szCs w:val="22"/>
        </w:rPr>
        <w:t>Figure Extended Data 5. Knowledge Transfer Network.</w:t>
      </w:r>
      <w:r>
        <w:rPr>
          <w:sz w:val="22"/>
          <w:szCs w:val="22"/>
        </w:rPr>
        <w:t xml:space="preserve"> Network visualisation of cross-disease knowledge flow based on semantic similarity (edges = similarity &gt; 0.7). Node size proportional to publication count. NTDs form peripheral cluster with limited connections to central research hubs.</w:t>
      </w:r>
    </w:p>
    <w:p w14:paraId="55B8D6C2" w14:textId="77777777" w:rsidR="00AE5DA4" w:rsidRDefault="00000000">
      <w:r>
        <w:br w:type="page"/>
      </w:r>
    </w:p>
    <w:p w14:paraId="2F13B076" w14:textId="58E4144B" w:rsidR="00AE5DA4" w:rsidRDefault="00DB6A7F">
      <w:pPr>
        <w:spacing w:before="200" w:after="100"/>
        <w:jc w:val="center"/>
      </w:pPr>
      <w:r>
        <w:rPr>
          <w:noProof/>
        </w:rPr>
        <w:lastRenderedPageBreak/>
        <w:drawing>
          <wp:inline distT="0" distB="0" distL="0" distR="0" wp14:anchorId="40EB5EFB" wp14:editId="288B44D9">
            <wp:extent cx="5943600" cy="2523490"/>
            <wp:effectExtent l="0" t="0" r="0" b="3810"/>
            <wp:docPr id="15762592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59223" name="Picture 1576259223"/>
                    <pic:cNvPicPr/>
                  </pic:nvPicPr>
                  <pic:blipFill>
                    <a:blip r:embed="rId16"/>
                    <a:stretch>
                      <a:fillRect/>
                    </a:stretch>
                  </pic:blipFill>
                  <pic:spPr>
                    <a:xfrm>
                      <a:off x="0" y="0"/>
                      <a:ext cx="5943600" cy="2523490"/>
                    </a:xfrm>
                    <a:prstGeom prst="rect">
                      <a:avLst/>
                    </a:prstGeom>
                  </pic:spPr>
                </pic:pic>
              </a:graphicData>
            </a:graphic>
          </wp:inline>
        </w:drawing>
      </w:r>
    </w:p>
    <w:p w14:paraId="62BF7699" w14:textId="77777777" w:rsidR="00DB6A7F" w:rsidRDefault="00DB6A7F">
      <w:pPr>
        <w:spacing w:before="200" w:after="100"/>
        <w:jc w:val="center"/>
      </w:pPr>
    </w:p>
    <w:p w14:paraId="21656C7F" w14:textId="77777777" w:rsidR="00AE5DA4" w:rsidRDefault="00000000">
      <w:pPr>
        <w:spacing w:before="100" w:after="300"/>
      </w:pPr>
      <w:r>
        <w:rPr>
          <w:rFonts w:ascii="Arial" w:eastAsia="Arial" w:hAnsi="Arial" w:cs="Arial"/>
          <w:b/>
          <w:bCs/>
          <w:sz w:val="22"/>
          <w:szCs w:val="22"/>
        </w:rPr>
        <w:t>Figure Supplementary 1. Regional Comparison by WHO Region.</w:t>
      </w:r>
      <w:r>
        <w:rPr>
          <w:sz w:val="22"/>
          <w:szCs w:val="22"/>
        </w:rPr>
        <w:t xml:space="preserve"> (A) Biobanks and publications by WHO region. (B) Research equity by WHO region showing mean Equity Alignment Scores.</w:t>
      </w:r>
    </w:p>
    <w:p w14:paraId="4AFFFE81" w14:textId="77777777" w:rsidR="00AE5DA4" w:rsidRDefault="00000000">
      <w:r>
        <w:br w:type="page"/>
      </w:r>
    </w:p>
    <w:p w14:paraId="59D387CF" w14:textId="77777777" w:rsidR="00AE5DA4" w:rsidRDefault="00000000">
      <w:pPr>
        <w:pStyle w:val="Heading1"/>
      </w:pPr>
      <w:r>
        <w:lastRenderedPageBreak/>
        <w:t>Methods</w:t>
      </w:r>
    </w:p>
    <w:p w14:paraId="230DEE16" w14:textId="77777777" w:rsidR="00AE5DA4" w:rsidRDefault="00000000">
      <w:pPr>
        <w:spacing w:after="200" w:line="360" w:lineRule="auto"/>
      </w:pPr>
      <w:r>
        <w:rPr>
          <w:b/>
          <w:bCs/>
        </w:rPr>
        <w:t xml:space="preserve">Study Design and Overview. </w:t>
      </w:r>
      <w:r>
        <w:t>We developed the Health Equity Informative Metrics (HEIM) framework to quantify research equity across three dimensions: Discovery (biobank-derived research), Translation (clinical trials), and Knowledge (semantic structure of scientific literature). The study period spanned January 2000 to December 2025.</w:t>
      </w:r>
    </w:p>
    <w:p w14:paraId="68738C52" w14:textId="77777777" w:rsidR="00AE5DA4" w:rsidRDefault="00000000">
      <w:pPr>
        <w:spacing w:after="200" w:line="360" w:lineRule="auto"/>
      </w:pPr>
      <w:r>
        <w:rPr>
          <w:b/>
          <w:bCs/>
        </w:rPr>
        <w:t xml:space="preserve">Data Sources. </w:t>
      </w:r>
      <w:r>
        <w:t>GBD 2021 burden estimates from IHME (179 Level 3 disease categories, 204 countries). IHCC biobank registry (70 biobanks, 29 countries). AACT database (2,189,930 trials, 770,178 facility records). PubMed abstracts (13,100,113 unique abstracts).</w:t>
      </w:r>
    </w:p>
    <w:p w14:paraId="33DB06D3" w14:textId="77777777" w:rsidR="00AE5DA4" w:rsidRDefault="00000000">
      <w:pPr>
        <w:spacing w:after="200" w:line="360" w:lineRule="auto"/>
      </w:pPr>
      <w:r>
        <w:rPr>
          <w:b/>
          <w:bCs/>
        </w:rPr>
        <w:t xml:space="preserve">Semantic Embeddings. </w:t>
      </w:r>
      <w:proofErr w:type="spellStart"/>
      <w:r>
        <w:t>PubMedBERT</w:t>
      </w:r>
      <w:proofErr w:type="spellEnd"/>
      <w:r>
        <w:t xml:space="preserve"> (</w:t>
      </w:r>
      <w:proofErr w:type="spellStart"/>
      <w:r>
        <w:t>microsoft</w:t>
      </w:r>
      <w:proofErr w:type="spellEnd"/>
      <w:r>
        <w:t>/</w:t>
      </w:r>
      <w:proofErr w:type="spellStart"/>
      <w:r>
        <w:t>BiomedNLP</w:t>
      </w:r>
      <w:proofErr w:type="spellEnd"/>
      <w:r>
        <w:t>-</w:t>
      </w:r>
      <w:proofErr w:type="spellStart"/>
      <w:r>
        <w:t>PubMedBERT</w:t>
      </w:r>
      <w:proofErr w:type="spellEnd"/>
      <w:r>
        <w:t>-base-uncased-abstract-</w:t>
      </w:r>
      <w:proofErr w:type="spellStart"/>
      <w:r>
        <w:t>fulltext</w:t>
      </w:r>
      <w:proofErr w:type="spellEnd"/>
      <w:r>
        <w:t>, version 1.1) was used to generate 768-dimensional vectors for each abstract. Disease centroids were computed as mean embeddings.</w:t>
      </w:r>
    </w:p>
    <w:p w14:paraId="74A188BE" w14:textId="77777777" w:rsidR="00AE5DA4" w:rsidRDefault="00000000">
      <w:pPr>
        <w:spacing w:after="200" w:line="360" w:lineRule="auto"/>
      </w:pPr>
      <w:r>
        <w:rPr>
          <w:b/>
          <w:bCs/>
        </w:rPr>
        <w:t xml:space="preserve">Statistical Analysis. </w:t>
      </w:r>
      <w:r>
        <w:t>Group comparisons used Welch's t-test with Cohen's d effect size. Correlations assessed using Pearson's r. Multiple comparisons corrected using Benjamini-Hochberg (FDR &lt; 0.05).</w:t>
      </w:r>
    </w:p>
    <w:p w14:paraId="7407D4C9" w14:textId="77777777" w:rsidR="00AE5DA4" w:rsidRDefault="00000000">
      <w:pPr>
        <w:spacing w:after="200" w:line="360" w:lineRule="auto"/>
      </w:pPr>
      <w:r>
        <w:rPr>
          <w:b/>
          <w:bCs/>
        </w:rPr>
        <w:t xml:space="preserve">Code Availability. </w:t>
      </w:r>
      <w:r>
        <w:t>All code available at https://github.com/manuelcorpas/17-EHR (</w:t>
      </w:r>
      <w:proofErr w:type="spellStart"/>
      <w:r>
        <w:t>Zenodo</w:t>
      </w:r>
      <w:proofErr w:type="spellEnd"/>
      <w:r>
        <w:t xml:space="preserve"> DOI to be assigned). Interactive dashboard: https://manuelcorpas.github.io/17-EHR/</w:t>
      </w:r>
    </w:p>
    <w:p w14:paraId="6B7B1548" w14:textId="77777777" w:rsidR="00AE5DA4" w:rsidRDefault="00000000">
      <w:r>
        <w:br w:type="page"/>
      </w:r>
    </w:p>
    <w:p w14:paraId="6BEC6B82" w14:textId="77777777" w:rsidR="00AE5DA4" w:rsidRDefault="00000000">
      <w:pPr>
        <w:pStyle w:val="Heading1"/>
      </w:pPr>
      <w:r>
        <w:lastRenderedPageBreak/>
        <w:t>Acknowledgements</w:t>
      </w:r>
    </w:p>
    <w:p w14:paraId="67E539E8" w14:textId="77777777" w:rsidR="00AE5DA4" w:rsidRDefault="00000000">
      <w:pPr>
        <w:spacing w:after="200" w:line="360" w:lineRule="auto"/>
      </w:pPr>
      <w:r>
        <w:t>We thank the International Health Cohorts Consortium for providing biobank registry data, the Clinical Trials Transformation Initiative for maintaining the AACT database, and the National Library of Medicine for PubMed access.</w:t>
      </w:r>
    </w:p>
    <w:p w14:paraId="5FEB77D5" w14:textId="77777777" w:rsidR="00AE5DA4" w:rsidRDefault="00000000">
      <w:pPr>
        <w:pStyle w:val="Heading1"/>
      </w:pPr>
      <w:r>
        <w:t>Author Contributions</w:t>
      </w:r>
    </w:p>
    <w:p w14:paraId="67611E90" w14:textId="27E83B50" w:rsidR="00AE5DA4" w:rsidRDefault="00000000">
      <w:pPr>
        <w:spacing w:after="200" w:line="360" w:lineRule="auto"/>
      </w:pPr>
      <w:r>
        <w:rPr>
          <w:b/>
          <w:bCs/>
        </w:rPr>
        <w:t xml:space="preserve">M.C.: </w:t>
      </w:r>
      <w:r>
        <w:t>Conceptualisation, Methodology, Software, Formal Analysis, Data Curation, Writing</w:t>
      </w:r>
      <w:r w:rsidR="00F35B34">
        <w:t xml:space="preserve"> (</w:t>
      </w:r>
      <w:r>
        <w:t>Original Draft, Visualisation, Project Administration</w:t>
      </w:r>
      <w:r w:rsidR="00F35B34">
        <w:t>)</w:t>
      </w:r>
      <w:r>
        <w:t xml:space="preserve">. </w:t>
      </w:r>
      <w:r>
        <w:rPr>
          <w:b/>
          <w:bCs/>
        </w:rPr>
        <w:t xml:space="preserve">M.F.: </w:t>
      </w:r>
      <w:r>
        <w:t>Methodology, Validation, Writing</w:t>
      </w:r>
      <w:r w:rsidR="00F35B34">
        <w:t xml:space="preserve"> </w:t>
      </w:r>
      <w:r>
        <w:t xml:space="preserve">Review &amp; Editing. </w:t>
      </w:r>
      <w:r>
        <w:rPr>
          <w:b/>
          <w:bCs/>
        </w:rPr>
        <w:t xml:space="preserve">J.V.-S.: </w:t>
      </w:r>
      <w:r>
        <w:t>Writing</w:t>
      </w:r>
      <w:r w:rsidR="00F35B34">
        <w:t xml:space="preserve">, </w:t>
      </w:r>
      <w:r>
        <w:t xml:space="preserve">Review &amp; Editing. </w:t>
      </w:r>
      <w:r>
        <w:rPr>
          <w:b/>
          <w:bCs/>
        </w:rPr>
        <w:t xml:space="preserve">S.B.: </w:t>
      </w:r>
      <w:r>
        <w:t>Writing</w:t>
      </w:r>
      <w:r w:rsidR="00F35B34">
        <w:t xml:space="preserve">, </w:t>
      </w:r>
      <w:r>
        <w:t xml:space="preserve">Review &amp; Editing. </w:t>
      </w:r>
      <w:r>
        <w:rPr>
          <w:b/>
          <w:bCs/>
        </w:rPr>
        <w:t xml:space="preserve">S.F.: </w:t>
      </w:r>
      <w:r>
        <w:t>Writing</w:t>
      </w:r>
      <w:r w:rsidR="00F35B34">
        <w:t xml:space="preserve">, </w:t>
      </w:r>
      <w:r>
        <w:t xml:space="preserve">Review &amp; Editing. </w:t>
      </w:r>
      <w:r>
        <w:rPr>
          <w:b/>
          <w:bCs/>
        </w:rPr>
        <w:t xml:space="preserve">H.G.: </w:t>
      </w:r>
      <w:r>
        <w:t>Writing</w:t>
      </w:r>
      <w:r w:rsidR="00F35B34">
        <w:t xml:space="preserve">, </w:t>
      </w:r>
      <w:r>
        <w:t>Review &amp; Editing.</w:t>
      </w:r>
    </w:p>
    <w:p w14:paraId="13DE61A4" w14:textId="77777777" w:rsidR="00AE5DA4" w:rsidRDefault="00000000">
      <w:pPr>
        <w:pStyle w:val="Heading1"/>
      </w:pPr>
      <w:r>
        <w:t>Competing Interests</w:t>
      </w:r>
    </w:p>
    <w:p w14:paraId="5554968F" w14:textId="77777777" w:rsidR="00AE5DA4" w:rsidRDefault="00000000">
      <w:pPr>
        <w:spacing w:after="200" w:line="360" w:lineRule="auto"/>
      </w:pPr>
      <w:r w:rsidRPr="00E625AE">
        <w:rPr>
          <w:highlight w:val="yellow"/>
        </w:rPr>
        <w:t>The authors declare no competing interests.</w:t>
      </w:r>
    </w:p>
    <w:p w14:paraId="2920DED1" w14:textId="77777777" w:rsidR="00AE5DA4" w:rsidRDefault="00000000">
      <w:pPr>
        <w:pStyle w:val="Heading1"/>
      </w:pPr>
      <w:r>
        <w:t>Additional Information</w:t>
      </w:r>
    </w:p>
    <w:p w14:paraId="6D10BCDB" w14:textId="77777777" w:rsidR="00AE5DA4" w:rsidRDefault="00000000">
      <w:pPr>
        <w:spacing w:after="200" w:line="360" w:lineRule="auto"/>
      </w:pPr>
      <w:r>
        <w:t>Supplementary Information is available for this paper.</w:t>
      </w:r>
    </w:p>
    <w:p w14:paraId="362A21F5" w14:textId="77777777" w:rsidR="00AE5DA4" w:rsidRDefault="00000000">
      <w:pPr>
        <w:spacing w:after="200" w:line="360" w:lineRule="auto"/>
      </w:pPr>
      <w:r>
        <w:t>Correspondence and requests for materials should be addressed to M.C.</w:t>
      </w:r>
    </w:p>
    <w:p w14:paraId="09658C59" w14:textId="77777777" w:rsidR="00AE5DA4" w:rsidRDefault="00AE5DA4">
      <w:pPr>
        <w:spacing w:before="600"/>
      </w:pPr>
    </w:p>
    <w:p w14:paraId="17C5EBBB" w14:textId="77777777" w:rsidR="00AE5DA4" w:rsidRDefault="00000000">
      <w:pPr>
        <w:jc w:val="center"/>
      </w:pPr>
      <w:r>
        <w:rPr>
          <w:rFonts w:ascii="Arial" w:eastAsia="Arial" w:hAnsi="Arial" w:cs="Arial"/>
          <w:color w:val="999999"/>
          <w:sz w:val="20"/>
          <w:szCs w:val="20"/>
        </w:rPr>
        <w:t>— END OF MANUSCRIPT —</w:t>
      </w:r>
    </w:p>
    <w:p w14:paraId="1EF11DA8" w14:textId="77777777" w:rsidR="00AE5DA4" w:rsidRDefault="00000000">
      <w:pPr>
        <w:spacing w:before="100"/>
        <w:jc w:val="center"/>
      </w:pPr>
      <w:r>
        <w:rPr>
          <w:rFonts w:ascii="Arial" w:eastAsia="Arial" w:hAnsi="Arial" w:cs="Arial"/>
          <w:i/>
          <w:iCs/>
          <w:color w:val="999999"/>
          <w:sz w:val="18"/>
          <w:szCs w:val="18"/>
        </w:rPr>
        <w:t>Version 3.0 | 25 January 2026</w:t>
      </w:r>
    </w:p>
    <w:sectPr w:rsidR="00AE5DA4">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E67EC" w14:textId="77777777" w:rsidR="00F5660B" w:rsidRDefault="00F5660B">
      <w:r>
        <w:separator/>
      </w:r>
    </w:p>
  </w:endnote>
  <w:endnote w:type="continuationSeparator" w:id="0">
    <w:p w14:paraId="4F3A5D1D" w14:textId="77777777" w:rsidR="00F5660B" w:rsidRDefault="00F566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99864" w14:textId="77777777" w:rsidR="00AE5DA4" w:rsidRDefault="00000000">
    <w:pPr>
      <w:jc w:val="center"/>
    </w:pPr>
    <w:r>
      <w:rPr>
        <w:rFonts w:ascii="Arial" w:eastAsia="Arial" w:hAnsi="Arial" w:cs="Arial"/>
        <w:sz w:val="18"/>
        <w:szCs w:val="18"/>
      </w:rPr>
      <w:t xml:space="preserve">Page </w:t>
    </w:r>
    <w:r>
      <w:rPr>
        <w:rFonts w:ascii="Arial" w:eastAsia="Arial" w:hAnsi="Arial" w:cs="Arial"/>
        <w:sz w:val="18"/>
        <w:szCs w:val="18"/>
      </w:rPr>
      <w:fldChar w:fldCharType="begin"/>
    </w:r>
    <w:r>
      <w:rPr>
        <w:rFonts w:ascii="Arial" w:eastAsia="Arial" w:hAnsi="Arial" w:cs="Arial"/>
        <w:sz w:val="18"/>
        <w:szCs w:val="18"/>
      </w:rPr>
      <w:instrText>PAGE</w:instrText>
    </w:r>
    <w:r>
      <w:rPr>
        <w:rFonts w:ascii="Arial" w:eastAsia="Arial" w:hAnsi="Arial" w:cs="Arial"/>
        <w:sz w:val="18"/>
        <w:szCs w:val="18"/>
      </w:rPr>
      <w:fldChar w:fldCharType="separate"/>
    </w:r>
    <w:r w:rsidR="00694E99">
      <w:rPr>
        <w:rFonts w:ascii="Arial" w:eastAsia="Arial" w:hAnsi="Arial" w:cs="Arial"/>
        <w:noProof/>
        <w:sz w:val="18"/>
        <w:szCs w:val="18"/>
      </w:rPr>
      <w:t>1</w:t>
    </w:r>
    <w:r>
      <w:rPr>
        <w:rFonts w:ascii="Arial" w:eastAsia="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821FD" w14:textId="77777777" w:rsidR="00F5660B" w:rsidRDefault="00F5660B">
      <w:r>
        <w:separator/>
      </w:r>
    </w:p>
  </w:footnote>
  <w:footnote w:type="continuationSeparator" w:id="0">
    <w:p w14:paraId="30FD5357" w14:textId="77777777" w:rsidR="00F5660B" w:rsidRDefault="00F566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AFCED" w14:textId="18C66534" w:rsidR="00AE5DA4" w:rsidRPr="00A37B48" w:rsidRDefault="00A37B48" w:rsidP="00A37B48">
    <w:pPr>
      <w:pStyle w:val="Header"/>
      <w:jc w:val="right"/>
    </w:pPr>
    <w:r w:rsidRPr="00A37B48">
      <w:rPr>
        <w:rFonts w:ascii="Arial" w:eastAsia="Arial" w:hAnsi="Arial" w:cs="Arial"/>
        <w:i/>
        <w:iCs/>
        <w:color w:val="666666"/>
        <w:sz w:val="18"/>
        <w:szCs w:val="18"/>
      </w:rPr>
      <w:t>Three-Dimensional Research Equity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185944"/>
    <w:multiLevelType w:val="hybridMultilevel"/>
    <w:tmpl w:val="9190B688"/>
    <w:lvl w:ilvl="0" w:tplc="FC002896">
      <w:start w:val="1"/>
      <w:numFmt w:val="bullet"/>
      <w:lvlText w:val="●"/>
      <w:lvlJc w:val="left"/>
      <w:pPr>
        <w:ind w:left="720" w:hanging="360"/>
      </w:pPr>
    </w:lvl>
    <w:lvl w:ilvl="1" w:tplc="57689BAA">
      <w:start w:val="1"/>
      <w:numFmt w:val="bullet"/>
      <w:lvlText w:val="○"/>
      <w:lvlJc w:val="left"/>
      <w:pPr>
        <w:ind w:left="1440" w:hanging="360"/>
      </w:pPr>
    </w:lvl>
    <w:lvl w:ilvl="2" w:tplc="79984ABC">
      <w:start w:val="1"/>
      <w:numFmt w:val="bullet"/>
      <w:lvlText w:val="■"/>
      <w:lvlJc w:val="left"/>
      <w:pPr>
        <w:ind w:left="2160" w:hanging="360"/>
      </w:pPr>
    </w:lvl>
    <w:lvl w:ilvl="3" w:tplc="69CC17FC">
      <w:start w:val="1"/>
      <w:numFmt w:val="bullet"/>
      <w:lvlText w:val="●"/>
      <w:lvlJc w:val="left"/>
      <w:pPr>
        <w:ind w:left="2880" w:hanging="360"/>
      </w:pPr>
    </w:lvl>
    <w:lvl w:ilvl="4" w:tplc="6C823096">
      <w:start w:val="1"/>
      <w:numFmt w:val="bullet"/>
      <w:lvlText w:val="○"/>
      <w:lvlJc w:val="left"/>
      <w:pPr>
        <w:ind w:left="3600" w:hanging="360"/>
      </w:pPr>
    </w:lvl>
    <w:lvl w:ilvl="5" w:tplc="533C94D0">
      <w:start w:val="1"/>
      <w:numFmt w:val="bullet"/>
      <w:lvlText w:val="■"/>
      <w:lvlJc w:val="left"/>
      <w:pPr>
        <w:ind w:left="4320" w:hanging="360"/>
      </w:pPr>
    </w:lvl>
    <w:lvl w:ilvl="6" w:tplc="6B58ADF0">
      <w:start w:val="1"/>
      <w:numFmt w:val="bullet"/>
      <w:lvlText w:val="●"/>
      <w:lvlJc w:val="left"/>
      <w:pPr>
        <w:ind w:left="5040" w:hanging="360"/>
      </w:pPr>
    </w:lvl>
    <w:lvl w:ilvl="7" w:tplc="6DF84F24">
      <w:start w:val="1"/>
      <w:numFmt w:val="bullet"/>
      <w:lvlText w:val="●"/>
      <w:lvlJc w:val="left"/>
      <w:pPr>
        <w:ind w:left="5760" w:hanging="360"/>
      </w:pPr>
    </w:lvl>
    <w:lvl w:ilvl="8" w:tplc="9A8EB086">
      <w:start w:val="1"/>
      <w:numFmt w:val="bullet"/>
      <w:lvlText w:val="●"/>
      <w:lvlJc w:val="left"/>
      <w:pPr>
        <w:ind w:left="6480" w:hanging="360"/>
      </w:pPr>
    </w:lvl>
  </w:abstractNum>
  <w:num w:numId="1" w16cid:durableId="19476157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DA4"/>
    <w:rsid w:val="000B32FF"/>
    <w:rsid w:val="000B3CC4"/>
    <w:rsid w:val="0012297A"/>
    <w:rsid w:val="00135D36"/>
    <w:rsid w:val="00182BBE"/>
    <w:rsid w:val="001968DD"/>
    <w:rsid w:val="001D2950"/>
    <w:rsid w:val="001E6046"/>
    <w:rsid w:val="002C70E7"/>
    <w:rsid w:val="002F4827"/>
    <w:rsid w:val="00341569"/>
    <w:rsid w:val="0035138D"/>
    <w:rsid w:val="0036710F"/>
    <w:rsid w:val="003A0F3B"/>
    <w:rsid w:val="003D0AEF"/>
    <w:rsid w:val="003F6871"/>
    <w:rsid w:val="004076F7"/>
    <w:rsid w:val="00432CE8"/>
    <w:rsid w:val="004920B8"/>
    <w:rsid w:val="004A1EBC"/>
    <w:rsid w:val="00534DB9"/>
    <w:rsid w:val="00563955"/>
    <w:rsid w:val="005965D9"/>
    <w:rsid w:val="005A25F0"/>
    <w:rsid w:val="005A77D6"/>
    <w:rsid w:val="0063242F"/>
    <w:rsid w:val="006436C6"/>
    <w:rsid w:val="00653560"/>
    <w:rsid w:val="00677B3C"/>
    <w:rsid w:val="00694E99"/>
    <w:rsid w:val="006A28A1"/>
    <w:rsid w:val="006B7E50"/>
    <w:rsid w:val="006C1114"/>
    <w:rsid w:val="006D40FC"/>
    <w:rsid w:val="006D5625"/>
    <w:rsid w:val="006E0F91"/>
    <w:rsid w:val="006E5BA0"/>
    <w:rsid w:val="006E6BAC"/>
    <w:rsid w:val="007B1E32"/>
    <w:rsid w:val="007E536A"/>
    <w:rsid w:val="007E6232"/>
    <w:rsid w:val="00841DFF"/>
    <w:rsid w:val="008A6D6D"/>
    <w:rsid w:val="008B37C6"/>
    <w:rsid w:val="009340F2"/>
    <w:rsid w:val="00942B28"/>
    <w:rsid w:val="0098329C"/>
    <w:rsid w:val="00A10F88"/>
    <w:rsid w:val="00A13B9E"/>
    <w:rsid w:val="00A37B48"/>
    <w:rsid w:val="00AD1363"/>
    <w:rsid w:val="00AE2BC4"/>
    <w:rsid w:val="00AE5DA4"/>
    <w:rsid w:val="00B46099"/>
    <w:rsid w:val="00B47764"/>
    <w:rsid w:val="00B52296"/>
    <w:rsid w:val="00B80B1B"/>
    <w:rsid w:val="00B95C9C"/>
    <w:rsid w:val="00C30EB2"/>
    <w:rsid w:val="00C83761"/>
    <w:rsid w:val="00CC465A"/>
    <w:rsid w:val="00D0390A"/>
    <w:rsid w:val="00D23D95"/>
    <w:rsid w:val="00D4405E"/>
    <w:rsid w:val="00DB6A7F"/>
    <w:rsid w:val="00DE247C"/>
    <w:rsid w:val="00DE2DFB"/>
    <w:rsid w:val="00E519D0"/>
    <w:rsid w:val="00E625AE"/>
    <w:rsid w:val="00F3037B"/>
    <w:rsid w:val="00F35B34"/>
    <w:rsid w:val="00F5660B"/>
    <w:rsid w:val="00F95C43"/>
    <w:rsid w:val="00FB2C37"/>
    <w:rsid w:val="00FB3DE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F712ABC"/>
  <w15:docId w15:val="{360B9126-11CF-6C40-9C95-4CB5638DF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rFonts w:ascii="Arial" w:eastAsia="Arial" w:hAnsi="Arial" w:cs="Arial"/>
      <w:b/>
      <w:bCs/>
      <w:sz w:val="28"/>
      <w:szCs w:val="28"/>
    </w:rPr>
  </w:style>
  <w:style w:type="paragraph" w:styleId="Heading2">
    <w:name w:val="heading 2"/>
    <w:uiPriority w:val="9"/>
    <w:unhideWhenUsed/>
    <w:qFormat/>
    <w:pPr>
      <w:spacing w:before="300" w:after="150"/>
      <w:outlineLvl w:val="1"/>
    </w:pPr>
    <w:rPr>
      <w:rFonts w:ascii="Arial" w:eastAsia="Arial" w:hAnsi="Arial" w:cs="Arial"/>
      <w:b/>
      <w:bCs/>
    </w:rPr>
  </w:style>
  <w:style w:type="paragraph" w:styleId="Heading3">
    <w:name w:val="heading 3"/>
    <w:uiPriority w:val="9"/>
    <w:unhideWhenUsed/>
    <w:qFormat/>
    <w:pPr>
      <w:spacing w:before="20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A13B9E"/>
    <w:rPr>
      <w:color w:val="605E5C"/>
      <w:shd w:val="clear" w:color="auto" w:fill="E1DFDD"/>
    </w:rPr>
  </w:style>
  <w:style w:type="paragraph" w:styleId="Header">
    <w:name w:val="header"/>
    <w:basedOn w:val="Normal"/>
    <w:link w:val="HeaderChar"/>
    <w:uiPriority w:val="99"/>
    <w:unhideWhenUsed/>
    <w:rsid w:val="00A37B48"/>
    <w:pPr>
      <w:tabs>
        <w:tab w:val="center" w:pos="4513"/>
        <w:tab w:val="right" w:pos="9026"/>
      </w:tabs>
    </w:pPr>
  </w:style>
  <w:style w:type="character" w:customStyle="1" w:styleId="HeaderChar">
    <w:name w:val="Header Char"/>
    <w:basedOn w:val="DefaultParagraphFont"/>
    <w:link w:val="Header"/>
    <w:uiPriority w:val="99"/>
    <w:rsid w:val="00A37B48"/>
  </w:style>
  <w:style w:type="paragraph" w:styleId="Footer">
    <w:name w:val="footer"/>
    <w:basedOn w:val="Normal"/>
    <w:link w:val="FooterChar"/>
    <w:uiPriority w:val="99"/>
    <w:unhideWhenUsed/>
    <w:rsid w:val="00A37B48"/>
    <w:pPr>
      <w:tabs>
        <w:tab w:val="center" w:pos="4513"/>
        <w:tab w:val="right" w:pos="9026"/>
      </w:tabs>
    </w:pPr>
  </w:style>
  <w:style w:type="character" w:customStyle="1" w:styleId="FooterChar">
    <w:name w:val="Footer Char"/>
    <w:basedOn w:val="DefaultParagraphFont"/>
    <w:link w:val="Footer"/>
    <w:uiPriority w:val="99"/>
    <w:rsid w:val="00A37B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17762</Words>
  <Characters>101249</Characters>
  <Application>Microsoft Office Word</Application>
  <DocSecurity>0</DocSecurity>
  <Lines>843</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Corpas</cp:lastModifiedBy>
  <cp:revision>2</cp:revision>
  <dcterms:created xsi:type="dcterms:W3CDTF">2026-02-01T10:19:00Z</dcterms:created>
  <dcterms:modified xsi:type="dcterms:W3CDTF">2026-02-01T10:19:00Z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zotero-version="8.0"&gt;&lt;session id="YbntYiQU"/&gt;&lt;style id="http://www.zotero.org/styles/nature" hasBibliography="1" bibliographyStyleHasBeenSet="0"/&gt;&lt;prefs&gt;&lt;pref name="fieldType" value="Field"/&gt;&lt;/prefs&gt;&lt;/data&gt;</vt:lpwstr>
  </property>
</Properties>
</file>