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sidR="00135D36" w:rsidRPr="00135D36">
        <w:rPr>
          <w:vertAlign w:val="superscript"/>
        </w:rPr>
        <w:t>1,2,3*</w:t>
      </w:r>
      <w:r>
        <w:t>, Maxim Freydin</w:t>
      </w:r>
      <w:r w:rsidR="00135D36" w:rsidRPr="00135D36">
        <w:rPr>
          <w:vertAlign w:val="superscript"/>
        </w:rPr>
        <w:t>4</w:t>
      </w:r>
      <w:r>
        <w:t>, Julio Valdivia-Silva</w:t>
      </w:r>
      <w:r w:rsidR="00135D36" w:rsidRPr="00135D36">
        <w:rPr>
          <w:vertAlign w:val="superscript"/>
        </w:rPr>
        <w:t>5</w:t>
      </w:r>
      <w:r>
        <w:t>, Simeon Baker</w:t>
      </w:r>
      <w:r w:rsidR="00135D36" w:rsidRPr="00135D36">
        <w:rPr>
          <w:vertAlign w:val="superscript"/>
        </w:rPr>
        <w:t>3,6</w:t>
      </w:r>
      <w:r>
        <w:t>, Segun Fatumo</w:t>
      </w:r>
      <w:r w:rsidR="00135D36" w:rsidRPr="00135D36">
        <w:rPr>
          <w:vertAlign w:val="superscript"/>
        </w:rPr>
        <w:t>7,8</w:t>
      </w:r>
      <w:r>
        <w:t xml:space="preserve">, </w:t>
      </w:r>
      <w:proofErr w:type="spellStart"/>
      <w:r>
        <w:t>H</w:t>
      </w:r>
      <w:r w:rsidR="00694E99">
        <w:t>einner</w:t>
      </w:r>
      <w:proofErr w:type="spellEnd"/>
      <w:r>
        <w:t xml:space="preserve"> Guio</w:t>
      </w:r>
      <w:r w:rsidR="00135D36" w:rsidRPr="00135D36">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sidRPr="00677B3C">
        <w:rPr>
          <w:lang w:val="es-ES"/>
        </w:rPr>
        <w:t xml:space="preserve">⁵ Universidad de Ingeniería y Tecnología (UTEC), Lima, </w:t>
      </w:r>
      <w:proofErr w:type="spellStart"/>
      <w:r w:rsidRPr="00677B3C">
        <w:rPr>
          <w:lang w:val="es-ES"/>
        </w:rPr>
        <w:t>Peru</w:t>
      </w:r>
      <w:proofErr w:type="spellEnd"/>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 xml:space="preserve">⁸ </w:t>
      </w:r>
      <w:r w:rsidR="004A1EBC">
        <w:t>Queen Mary University of London</w:t>
      </w:r>
      <w:r>
        <w:t>,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rsidRPr="00DE247C">
        <w:t xml:space="preserve">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w:t>
      </w:r>
      <w:r>
        <w:t xml:space="preserve">semantic </w:t>
      </w:r>
      <w:r w:rsidRPr="00DE247C">
        <w:t xml:space="preserve">isolation is 44% greater for neglected tropical diseases than for other conditions (P &lt; 0.0001, Cohen's d = 1.80). Using the Health Equity Informative Metrics (HEIM) framework, we analysed 70 biobanks, </w:t>
      </w:r>
      <w:r w:rsidR="0012297A">
        <w:t>~</w:t>
      </w:r>
      <w:r>
        <w:t>0.</w:t>
      </w:r>
      <w:r w:rsidR="0012297A">
        <w:t>6</w:t>
      </w:r>
      <w:r>
        <w:t xml:space="preserve"> million</w:t>
      </w:r>
      <w:r w:rsidRPr="00DE247C">
        <w:t xml:space="preserve"> clinical trials, and 13.1 million PubMed </w:t>
      </w:r>
      <w:r w:rsidR="00A37B48">
        <w:t>articles</w:t>
      </w:r>
      <w:r w:rsidRPr="00DE247C">
        <w:t xml:space="preserve"> spanning 175 diseases. Only 1 of 70 biobanks</w:t>
      </w:r>
      <w:r w:rsidR="00A37B48">
        <w:t xml:space="preserve"> </w:t>
      </w:r>
      <w:r w:rsidRPr="00DE247C">
        <w:t xml:space="preserve">produces research proportionate to global disease burden. The ten most neglected diseases are exclusively conditions of the Global South, facing disadvantage at every stage. </w:t>
      </w:r>
      <w:r w:rsidR="0012297A">
        <w:t>Our results suggest that r</w:t>
      </w:r>
      <w:r w:rsidRPr="00DE247C">
        <w:t>esearch inequity is not merely a funding problem but a structural feature of the biomedical enterprise, with quantifiable targets for intervention</w:t>
      </w:r>
      <w:r w:rsidR="00000000">
        <w:t>.</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Lymphatic filariasis affects 120 million people worldwide</w:t>
      </w:r>
      <w:r w:rsidR="003D0AEF">
        <w:t xml:space="preserve"> </w:t>
      </w:r>
      <w:r w:rsidR="003D0AEF">
        <w:fldChar w:fldCharType="begin"/>
      </w:r>
      <w:r w:rsidR="003D0AEF">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rsidR="003D0AEF">
        <w:fldChar w:fldCharType="separate"/>
      </w:r>
      <w:r w:rsidR="003D0AEF" w:rsidRPr="003D0AEF">
        <w:rPr>
          <w:vertAlign w:val="superscript"/>
        </w:rPr>
        <w:t>1</w:t>
      </w:r>
      <w:r w:rsidR="003D0AEF">
        <w:fldChar w:fldCharType="end"/>
      </w:r>
      <w:r>
        <w:t>, causing debilitating swelling that traps individuals in cycles of poverty and stigma. Yet across 70 major international biobanks</w:t>
      </w:r>
      <w:r w:rsidR="003D0AEF">
        <w:t xml:space="preserve"> </w:t>
      </w:r>
      <w:r w:rsidR="00B47764">
        <w:fldChar w:fldCharType="begin"/>
      </w:r>
      <w:r w:rsidR="00B47764">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B47764">
        <w:fldChar w:fldCharType="separate"/>
      </w:r>
      <w:r w:rsidR="00B47764" w:rsidRPr="00B47764">
        <w:rPr>
          <w:vertAlign w:val="superscript"/>
        </w:rPr>
        <w:t>2</w:t>
      </w:r>
      <w:r w:rsidR="00B47764">
        <w:fldChar w:fldCharType="end"/>
      </w:r>
      <w:r>
        <w:t xml:space="preserve">, we found </w:t>
      </w:r>
      <w:r w:rsidR="00B47764">
        <w:t>no</w:t>
      </w:r>
      <w:r>
        <w:t xml:space="preserve"> publications</w:t>
      </w:r>
      <w:r w:rsidR="00B47764">
        <w:t xml:space="preserve">, </w:t>
      </w:r>
      <w:r>
        <w:t>genomic studies</w:t>
      </w:r>
      <w:r w:rsidR="00B47764">
        <w:t xml:space="preserve"> or</w:t>
      </w:r>
      <w:r>
        <w:t xml:space="preserve"> translational research pipelines</w:t>
      </w:r>
      <w:r w:rsidR="000B32FF">
        <w:t xml:space="preserve"> for this debilitating disease</w:t>
      </w:r>
      <w:r>
        <w:t xml:space="preserve">. </w:t>
      </w:r>
      <w:r w:rsidR="000B32FF">
        <w:t>We contend this</w:t>
      </w:r>
      <w:r>
        <w:t xml:space="preserve"> is not an isolated failure</w:t>
      </w:r>
      <w:r w:rsidR="000B32FF">
        <w:t>, and that</w:t>
      </w:r>
      <w:r>
        <w:t xml:space="preserve"> it reflects a systematic pattern of exclusion embedded in the architecture of biomedical research itself.</w:t>
      </w:r>
    </w:p>
    <w:p w14:paraId="02E1621D" w14:textId="3FB3CD0D" w:rsidR="00AE5DA4" w:rsidRDefault="00341569">
      <w:pPr>
        <w:spacing w:after="200" w:line="360" w:lineRule="auto"/>
      </w:pPr>
      <w:r>
        <w:t>While m</w:t>
      </w:r>
      <w:r w:rsidR="00B52296" w:rsidRPr="00B52296">
        <w:t>ore than 80% of premature deaths from noncommunicable diseases occur in low- and middle-income countries</w:t>
      </w:r>
      <w:r w:rsidR="00B52296">
        <w:t xml:space="preserve"> </w:t>
      </w:r>
      <w:r w:rsidR="00B52296">
        <w:fldChar w:fldCharType="begin"/>
      </w:r>
      <w:r w:rsidR="00B52296">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rsidR="00B52296">
        <w:fldChar w:fldCharType="separate"/>
      </w:r>
      <w:r w:rsidR="00B52296" w:rsidRPr="00B52296">
        <w:rPr>
          <w:vertAlign w:val="superscript"/>
        </w:rPr>
        <w:t>3</w:t>
      </w:r>
      <w:r w:rsidR="00B52296">
        <w:fldChar w:fldCharType="end"/>
      </w:r>
      <w:r w:rsidR="00000000">
        <w:t xml:space="preserve">, </w:t>
      </w:r>
      <w:bookmarkStart w:id="0" w:name="_Hlk220421169"/>
      <w:r w:rsidR="00000000">
        <w:t>the biomedical research enterprise remains overwhelmingly oriented toward conditions prevalent in wealthy nations</w:t>
      </w:r>
      <w:bookmarkEnd w:id="0"/>
      <w:r w:rsidR="00B52296">
        <w:t xml:space="preserve"> </w:t>
      </w:r>
      <w:r w:rsidR="00B52296">
        <w:fldChar w:fldCharType="begin"/>
      </w:r>
      <w:r w:rsidR="00B52296">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B52296">
        <w:fldChar w:fldCharType="separate"/>
      </w:r>
      <w:r w:rsidR="00B52296" w:rsidRPr="00B52296">
        <w:rPr>
          <w:vertAlign w:val="superscript"/>
        </w:rPr>
        <w:t>4</w:t>
      </w:r>
      <w:r w:rsidR="00B52296">
        <w:fldChar w:fldCharType="end"/>
      </w:r>
      <w:r w:rsidR="00000000">
        <w:t xml:space="preserve">. This persistent structural exclusion, where the </w:t>
      </w:r>
      <w:bookmarkStart w:id="1" w:name="_Hlk220421320"/>
      <w:r w:rsidR="00000000">
        <w:t>diseases of poverty remain invisible to the research infrastructure that could address them</w:t>
      </w:r>
      <w:bookmarkEnd w:id="1"/>
      <w:r w:rsidR="006C1114">
        <w:t xml:space="preserve"> </w:t>
      </w:r>
      <w:r w:rsidR="006C1114">
        <w:fldChar w:fldCharType="begin"/>
      </w:r>
      <w:r w:rsidR="006C1114">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rsidR="006C1114">
        <w:fldChar w:fldCharType="separate"/>
      </w:r>
      <w:r w:rsidR="006C1114" w:rsidRPr="006C1114">
        <w:rPr>
          <w:vertAlign w:val="superscript"/>
        </w:rPr>
        <w:t>5</w:t>
      </w:r>
      <w:r w:rsidR="006C1114">
        <w:fldChar w:fldCharType="end"/>
      </w:r>
      <w:r w:rsidR="00000000">
        <w:t xml:space="preserve">, has continued for decades despite sustained advocacy and targeted funding initiatives. </w:t>
      </w:r>
      <w:bookmarkStart w:id="2" w:name="_Hlk220421407"/>
      <w:r>
        <w:t>H</w:t>
      </w:r>
      <w:r w:rsidR="00000000">
        <w:t>ealth outcome inequities are extensively documented</w:t>
      </w:r>
      <w:bookmarkEnd w:id="2"/>
      <w:r w:rsidR="006C1114">
        <w:t xml:space="preserve"> </w:t>
      </w:r>
      <w:r w:rsidR="006C1114">
        <w:fldChar w:fldCharType="begin"/>
      </w:r>
      <w:r w:rsidR="006C1114">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rsidR="006C1114">
        <w:fldChar w:fldCharType="separate"/>
      </w:r>
      <w:r w:rsidR="006C1114" w:rsidRPr="006C1114">
        <w:rPr>
          <w:vertAlign w:val="superscript"/>
        </w:rPr>
        <w:t>6</w:t>
      </w:r>
      <w:r w:rsidR="006C1114">
        <w:fldChar w:fldCharType="end"/>
      </w:r>
      <w:r w:rsidR="00000000">
        <w:t xml:space="preserve">, </w:t>
      </w:r>
      <w:bookmarkStart w:id="3" w:name="_Hlk220421478"/>
      <w:r>
        <w:t xml:space="preserve">but </w:t>
      </w:r>
      <w:r w:rsidR="00000000">
        <w:t>the structural biases embedded within research infrastructure itself remain poorly characterised and inadequately measured</w:t>
      </w:r>
      <w:bookmarkEnd w:id="3"/>
      <w:r w:rsidR="006C1114">
        <w:t xml:space="preserve"> </w:t>
      </w:r>
      <w:r w:rsidR="006C1114">
        <w:fldChar w:fldCharType="begin"/>
      </w:r>
      <w:r w:rsidR="006C1114">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rsidR="006C1114">
        <w:fldChar w:fldCharType="separate"/>
      </w:r>
      <w:r w:rsidR="006C1114" w:rsidRPr="006C1114">
        <w:rPr>
          <w:vertAlign w:val="superscript"/>
        </w:rPr>
        <w:t>7</w:t>
      </w:r>
      <w:r w:rsidR="006C1114">
        <w:fldChar w:fldCharType="end"/>
      </w:r>
      <w:r w:rsidR="00000000">
        <w:t xml:space="preserve">. Critically, the </w:t>
      </w:r>
      <w:bookmarkStart w:id="4" w:name="_Hlk220421613"/>
      <w:r w:rsidR="00000000">
        <w:t xml:space="preserve">HIV/AIDS experience demonstrates that sustained investment can fundamentally reverse structural marginalisation: a disease once </w:t>
      </w:r>
      <w:r>
        <w:t>neglected</w:t>
      </w:r>
      <w:r w:rsidR="00000000">
        <w:t xml:space="preserve"> from mainstream biomedicine is now deeply integrated into immunology, virology, and global health</w:t>
      </w:r>
      <w:r w:rsidR="007B1E32">
        <w:t xml:space="preserve"> </w:t>
      </w:r>
      <w:bookmarkEnd w:id="4"/>
      <w:r w:rsidR="006C1114">
        <w:fldChar w:fldCharType="begin"/>
      </w:r>
      <w:r w:rsidR="006C1114">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analyzed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analyze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rsidR="006C1114">
        <w:fldChar w:fldCharType="separate"/>
      </w:r>
      <w:r w:rsidR="006C1114" w:rsidRPr="006C1114">
        <w:rPr>
          <w:vertAlign w:val="superscript"/>
        </w:rPr>
        <w:t>8–10</w:t>
      </w:r>
      <w:r w:rsidR="006C1114">
        <w:fldChar w:fldCharType="end"/>
      </w:r>
      <w:r w:rsidR="00000000">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rsidR="006C1114">
        <w:t xml:space="preserve"> </w:t>
      </w:r>
      <w:r w:rsidR="006C1114">
        <w:fldChar w:fldCharType="begin"/>
      </w:r>
      <w:r w:rsidR="006C1114">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rsidR="006C1114">
        <w:fldChar w:fldCharType="separate"/>
      </w:r>
      <w:r w:rsidR="006C1114" w:rsidRPr="006C1114">
        <w:rPr>
          <w:vertAlign w:val="superscript"/>
        </w:rPr>
        <w:t>11</w:t>
      </w:r>
      <w:r w:rsidR="006C1114">
        <w:fldChar w:fldCharType="end"/>
      </w:r>
      <w:r>
        <w:t xml:space="preserve">. At the discovery stage, </w:t>
      </w:r>
      <w:bookmarkStart w:id="6" w:name="_Hlk220421860"/>
      <w:r>
        <w:t>biobanks and cohort studies generate foundational data for genomic medicine, yet these resources concentrate overwhelmingly in high-income countries and predominantly European-ancestry populations</w:t>
      </w:r>
      <w:r w:rsidR="007B1E32">
        <w:t xml:space="preserve"> </w:t>
      </w:r>
      <w:bookmarkEnd w:id="6"/>
      <w:r w:rsidR="006C1114">
        <w:fldChar w:fldCharType="begin"/>
      </w:r>
      <w:r w:rsidR="00DE2DFB">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standardized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characterize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rsidR="006C1114">
        <w:fldChar w:fldCharType="separate"/>
      </w:r>
      <w:r w:rsidR="00DE2DFB" w:rsidRPr="00DE2DFB">
        <w:rPr>
          <w:vertAlign w:val="superscript"/>
        </w:rPr>
        <w:t>12–14</w:t>
      </w:r>
      <w:r w:rsidR="006C1114">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rsidR="007B1E32">
        <w:t xml:space="preserve"> </w:t>
      </w:r>
      <w:r w:rsidR="00B80B1B">
        <w:fldChar w:fldCharType="begin"/>
      </w:r>
      <w:r w:rsidR="00DE2DFB">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B80B1B">
        <w:fldChar w:fldCharType="separate"/>
      </w:r>
      <w:r w:rsidR="00DE2DFB" w:rsidRPr="00DE2DFB">
        <w:rPr>
          <w:vertAlign w:val="superscript"/>
        </w:rPr>
        <w:t>15</w:t>
      </w:r>
      <w:r w:rsidR="00B80B1B">
        <w:fldChar w:fldCharType="end"/>
      </w:r>
      <w:r>
        <w:t xml:space="preserve">. At the knowledge stage, </w:t>
      </w:r>
      <w:r w:rsidR="0063242F">
        <w:t>a</w:t>
      </w:r>
      <w:r w:rsidR="0063242F" w:rsidRPr="0063242F">
        <w:t>lthough bibliometric and semantics</w:t>
      </w:r>
      <w:r w:rsidR="0063242F" w:rsidRPr="0063242F">
        <w:noBreakHyphen/>
        <w:t>enabled literature analysis methods exist, they have rarely been used to assess whether specific diseases occupy marginalised positions within the semantic landscape of published science</w:t>
      </w:r>
      <w:r w:rsidR="0063242F">
        <w:t xml:space="preserve"> </w:t>
      </w:r>
      <w:r w:rsidR="0063242F">
        <w:fldChar w:fldCharType="begin"/>
      </w:r>
      <w:r w:rsidR="00DE2DFB">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analyzed to identify research gaps and to prioritize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standardized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rsidR="0063242F">
        <w:fldChar w:fldCharType="separate"/>
      </w:r>
      <w:r w:rsidR="00DE2DFB" w:rsidRPr="00DE2DFB">
        <w:rPr>
          <w:vertAlign w:val="superscript"/>
        </w:rPr>
        <w:t>16</w:t>
      </w:r>
      <w:r w:rsidR="0063242F">
        <w:fldChar w:fldCharType="end"/>
      </w:r>
      <w:r>
        <w:t>.</w:t>
      </w:r>
    </w:p>
    <w:p w14:paraId="3C626944" w14:textId="5434E4E2" w:rsidR="00AE5DA4" w:rsidRDefault="00000000">
      <w:pPr>
        <w:spacing w:after="200" w:line="360" w:lineRule="auto"/>
      </w:pPr>
      <w:r>
        <w:t>Previous efforts to quantify research equity have focused on single dimensions: publication counts relative to disease burden</w:t>
      </w:r>
      <w:r w:rsidR="0063242F">
        <w:t xml:space="preserve"> </w:t>
      </w:r>
      <w:r w:rsidR="0063242F">
        <w:fldChar w:fldCharType="begin"/>
      </w:r>
      <w:r w:rsidR="0063242F">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rsidR="0063242F">
        <w:fldChar w:fldCharType="separate"/>
      </w:r>
      <w:r w:rsidR="0063242F" w:rsidRPr="0063242F">
        <w:rPr>
          <w:vertAlign w:val="superscript"/>
        </w:rPr>
        <w:t>4</w:t>
      </w:r>
      <w:r w:rsidR="0063242F">
        <w:fldChar w:fldCharType="end"/>
      </w:r>
      <w:r>
        <w:t>, clinical trial registration by geography</w:t>
      </w:r>
      <w:r w:rsidR="0063242F">
        <w:t xml:space="preserve"> </w:t>
      </w:r>
      <w:r w:rsidR="0063242F">
        <w:fldChar w:fldCharType="begin"/>
      </w:r>
      <w:r w:rsidR="00DE2DFB">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rsidR="0063242F">
        <w:fldChar w:fldCharType="separate"/>
      </w:r>
      <w:r w:rsidR="00DE2DFB" w:rsidRPr="00DE2DFB">
        <w:rPr>
          <w:vertAlign w:val="superscript"/>
        </w:rPr>
        <w:t>15</w:t>
      </w:r>
      <w:r w:rsidR="0063242F">
        <w:fldChar w:fldCharType="end"/>
      </w:r>
      <w:r>
        <w:t>, or funding allocation across disease categories</w:t>
      </w:r>
      <w:r w:rsidR="0063242F">
        <w:t xml:space="preserve"> </w:t>
      </w:r>
      <w:r w:rsidR="0063242F">
        <w:fldChar w:fldCharType="begin"/>
      </w:r>
      <w:r w:rsidR="00DE2DFB">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rsidR="0063242F">
        <w:fldChar w:fldCharType="separate"/>
      </w:r>
      <w:r w:rsidR="00DE2DFB" w:rsidRPr="00DE2DFB">
        <w:rPr>
          <w:vertAlign w:val="superscript"/>
        </w:rPr>
        <w:t>17</w:t>
      </w:r>
      <w:r w:rsidR="0063242F">
        <w:fldChar w:fldCharType="end"/>
      </w:r>
      <w:r>
        <w:t xml:space="preserve">. While valuable, </w:t>
      </w:r>
      <w:r w:rsidR="001968DD">
        <w:t>e</w:t>
      </w:r>
      <w:r w:rsidR="0063242F" w:rsidRPr="0063242F">
        <w:t>xisting single</w:t>
      </w:r>
      <w:r w:rsidR="0063242F" w:rsidRPr="0063242F">
        <w:noBreakHyphen/>
        <w:t>dimension metrics cannot capture </w:t>
      </w:r>
      <w:r w:rsidR="0063242F" w:rsidRPr="0063242F">
        <w:rPr>
          <w:i/>
          <w:iCs/>
        </w:rPr>
        <w:t>compounding disadvantage</w:t>
      </w:r>
      <w:r w:rsidR="0063242F" w:rsidRPr="0063242F">
        <w:t>, whereby diseases that are neglected in publication and early</w:t>
      </w:r>
      <w:r w:rsidR="0063242F" w:rsidRPr="0063242F">
        <w:noBreakHyphen/>
        <w:t xml:space="preserve">stage research then encounter systematic barriers in downstream product development and </w:t>
      </w:r>
      <w:r w:rsidR="0063242F" w:rsidRPr="0063242F">
        <w:lastRenderedPageBreak/>
        <w:t>implementation</w:t>
      </w:r>
      <w:r w:rsidR="0063242F">
        <w:t xml:space="preserve"> </w:t>
      </w:r>
      <w:r w:rsidR="0063242F">
        <w:fldChar w:fldCharType="begin"/>
      </w:r>
      <w:r w:rsidR="00DE2DFB">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rsidR="0063242F">
        <w:fldChar w:fldCharType="separate"/>
      </w:r>
      <w:r w:rsidR="00DE2DFB" w:rsidRPr="00DE2DFB">
        <w:rPr>
          <w:vertAlign w:val="superscript"/>
        </w:rPr>
        <w:t>4,18</w:t>
      </w:r>
      <w:r w:rsidR="0063242F">
        <w:fldChar w:fldCharType="end"/>
      </w:r>
      <w:r>
        <w:t xml:space="preserve">. </w:t>
      </w:r>
      <w:r w:rsidR="0063242F" w:rsidRPr="0063242F">
        <w:t>A disease absent from major biobanks is unlikely to benefit from large-scale genomic discoveries, tends to attract fewer clinical trials and a smaller, more fragmented literature base, and thus risks remaining neglected over time</w:t>
      </w:r>
      <w:r w:rsidR="0063242F" w:rsidRPr="0063242F">
        <w:t xml:space="preserve"> </w:t>
      </w:r>
      <w:r w:rsidR="00534DB9">
        <w:fldChar w:fldCharType="begin"/>
      </w:r>
      <w:r w:rsidR="00DE2DFB">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standardized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rsidR="00534DB9">
        <w:fldChar w:fldCharType="separate"/>
      </w:r>
      <w:r w:rsidR="00DE2DFB" w:rsidRPr="00DE2DFB">
        <w:rPr>
          <w:vertAlign w:val="superscript"/>
        </w:rPr>
        <w:t>19–21</w:t>
      </w:r>
      <w:r w:rsidR="00534DB9">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sidRPr="006D40FC">
        <w:rPr>
          <w:b/>
          <w:bCs/>
        </w:rPr>
        <w:t>Fig. 1</w:t>
      </w:r>
      <w:r>
        <w:t xml:space="preserve">), a three-dimensional analysis of </w:t>
      </w:r>
      <w:r w:rsidR="003A0F3B">
        <w:t xml:space="preserve">biomedical </w:t>
      </w:r>
      <w:r>
        <w:t xml:space="preserve">research equity encompassing Discovery (biobank research output), Translation (clinical trial </w:t>
      </w:r>
      <w:r w:rsidR="003A0F3B">
        <w:t>data</w:t>
      </w:r>
      <w:r>
        <w:t>), and Knowledge (semantic structure of scientific literature). We analysed 70 biobanks from the International Health Cohorts Consortium across 29 countries</w:t>
      </w:r>
      <w:r w:rsidR="006D40FC">
        <w:t xml:space="preserve"> </w:t>
      </w:r>
      <w:r w:rsidR="00534DB9">
        <w:fldChar w:fldCharType="begin"/>
      </w:r>
      <w:r w:rsidR="00534DB9">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rsidR="00534DB9">
        <w:fldChar w:fldCharType="separate"/>
      </w:r>
      <w:r w:rsidR="00534DB9" w:rsidRPr="00534DB9">
        <w:rPr>
          <w:vertAlign w:val="superscript"/>
        </w:rPr>
        <w:t>2</w:t>
      </w:r>
      <w:r w:rsidR="00534DB9">
        <w:fldChar w:fldCharType="end"/>
      </w:r>
      <w:r>
        <w:t xml:space="preserve">, </w:t>
      </w:r>
      <w:r w:rsidR="006D5625">
        <w:t xml:space="preserve">563,725 registered </w:t>
      </w:r>
      <w:r w:rsidR="006D5625">
        <w:t xml:space="preserve">clinical </w:t>
      </w:r>
      <w:r w:rsidR="006D5625">
        <w:t>trials</w:t>
      </w:r>
      <w:r w:rsidR="006D5625">
        <w:t xml:space="preserve"> </w:t>
      </w:r>
      <w:r w:rsidR="006D5625">
        <w:fldChar w:fldCharType="begin"/>
      </w:r>
      <w:r w:rsidR="00DE2DFB">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rsidR="006D5625">
        <w:fldChar w:fldCharType="separate"/>
      </w:r>
      <w:r w:rsidR="00DE2DFB" w:rsidRPr="00DE2DFB">
        <w:rPr>
          <w:vertAlign w:val="superscript"/>
        </w:rPr>
        <w:t>22</w:t>
      </w:r>
      <w:r w:rsidR="006D5625">
        <w:fldChar w:fldCharType="end"/>
      </w:r>
      <w:r>
        <w:t>, and 13.1 million PubMed abstracts spanning 2</w:t>
      </w:r>
      <w:r w:rsidR="006D5625">
        <w:t>6</w:t>
      </w:r>
      <w:r>
        <w:t xml:space="preserve"> years (2000</w:t>
      </w:r>
      <w:r w:rsidR="009340F2">
        <w:t>-</w:t>
      </w:r>
      <w:r>
        <w:t xml:space="preserve">2025). </w:t>
      </w:r>
      <w:bookmarkStart w:id="8" w:name="_Hlk220424274"/>
      <w:r>
        <w:t>Using the Global Burden of Disease 2021 taxonomy as a common ontology</w:t>
      </w:r>
      <w:r w:rsidR="006D40FC">
        <w:t xml:space="preserve"> </w:t>
      </w:r>
      <w:bookmarkEnd w:id="8"/>
      <w:r w:rsidR="00FB3DE6">
        <w:fldChar w:fldCharType="begin"/>
      </w:r>
      <w:r w:rsidR="00DE2DFB">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rsidR="00FB3DE6">
        <w:fldChar w:fldCharType="separate"/>
      </w:r>
      <w:r w:rsidR="00DE2DFB" w:rsidRPr="00DE2DFB">
        <w:rPr>
          <w:vertAlign w:val="superscript"/>
        </w:rPr>
        <w:t>23</w:t>
      </w:r>
      <w:r w:rsidR="00FB3DE6">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 xml:space="preserve">isolated positions in the semantic landscape of biomedical research? (4) Which diseases show compounding disadvantage across all three dimensions, and what characterises them? The answers reveal systematic structural barriers that perpetuate health </w:t>
      </w:r>
      <w:proofErr w:type="gramStart"/>
      <w:r>
        <w:t>inequity, and</w:t>
      </w:r>
      <w:proofErr w:type="gramEnd"/>
      <w:r>
        <w:t xml:space="preserve">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sidRPr="000B3CC4">
        <w:rPr>
          <w:b/>
          <w:bCs/>
        </w:rPr>
        <w:t>Fig. 2a</w:t>
      </w:r>
      <w:r>
        <w:t>). These cohorts have collectively generated 38,595 disease-specific publications indexed in PubMed</w:t>
      </w:r>
      <w:r w:rsidR="000B3CC4">
        <w:t xml:space="preserve"> (Methods)</w:t>
      </w:r>
      <w:r>
        <w:t>.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rsidR="006E6BAC">
        <w:fldChar w:fldCharType="begin"/>
      </w:r>
      <w:r w:rsidR="00DE2DFB">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rsidR="006E6BAC">
        <w:fldChar w:fldCharType="separate"/>
      </w:r>
      <w:r w:rsidR="00DE2DFB" w:rsidRPr="00DE2DFB">
        <w:rPr>
          <w:vertAlign w:val="superscript"/>
        </w:rPr>
        <w:t>24</w:t>
      </w:r>
      <w:r w:rsidR="006E6BAC">
        <w:fldChar w:fldCharType="end"/>
      </w:r>
      <w:r w:rsidR="00FB2C37">
        <w:t xml:space="preserve"> </w:t>
      </w:r>
      <w:r>
        <w:t>achieved "High" equity alignment (EAS = 84.6), defined as EAS ≥ 60 (</w:t>
      </w:r>
      <w:r w:rsidRPr="00FB2C37">
        <w:rPr>
          <w:b/>
          <w:bCs/>
        </w:rPr>
        <w:t>Fig. 2b</w:t>
      </w:r>
      <w:r>
        <w:t>). Thirteen biobanks showed "Moderate" alignment (EAS 40</w:t>
      </w:r>
      <w:r w:rsidR="00D23D95">
        <w:t>-</w:t>
      </w:r>
      <w:r>
        <w:t xml:space="preserve">60), including </w:t>
      </w:r>
      <w:bookmarkStart w:id="11" w:name="_Hlk220424478"/>
      <w:r>
        <w:t xml:space="preserve">Nurses' Health Study </w:t>
      </w:r>
      <w:bookmarkEnd w:id="11"/>
      <w:r>
        <w:t>(55.2)</w:t>
      </w:r>
      <w:r w:rsidR="00FB2C37">
        <w:t xml:space="preserve"> </w:t>
      </w:r>
      <w:r w:rsidR="006E6BAC">
        <w:fldChar w:fldCharType="begin"/>
      </w:r>
      <w:r w:rsidR="00DE2DFB">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rsidR="006E6BAC">
        <w:fldChar w:fldCharType="separate"/>
      </w:r>
      <w:r w:rsidR="00DE2DFB" w:rsidRPr="00DE2DFB">
        <w:rPr>
          <w:vertAlign w:val="superscript"/>
        </w:rPr>
        <w:t>25</w:t>
      </w:r>
      <w:r w:rsidR="006E6BAC">
        <w:fldChar w:fldCharType="end"/>
      </w:r>
      <w:r>
        <w:t>, Women's Health Initiative (53.4)</w:t>
      </w:r>
      <w:r w:rsidR="005A25F0">
        <w:t xml:space="preserve"> </w:t>
      </w:r>
      <w:r w:rsidR="006E6BAC">
        <w:fldChar w:fldCharType="begin"/>
      </w:r>
      <w:r w:rsidR="00DE2DFB">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rsidR="006E6BAC">
        <w:fldChar w:fldCharType="separate"/>
      </w:r>
      <w:r w:rsidR="00DE2DFB" w:rsidRPr="00DE2DFB">
        <w:rPr>
          <w:vertAlign w:val="superscript"/>
        </w:rPr>
        <w:t>26</w:t>
      </w:r>
      <w:r w:rsidR="006E6BAC">
        <w:fldChar w:fldCharType="end"/>
      </w:r>
      <w:r>
        <w:t xml:space="preserve">, and </w:t>
      </w:r>
      <w:bookmarkStart w:id="12" w:name="_Hlk220424745"/>
      <w:r>
        <w:t xml:space="preserve">Estonian Biobank </w:t>
      </w:r>
      <w:bookmarkEnd w:id="12"/>
      <w:r>
        <w:t>(49.2)</w:t>
      </w:r>
      <w:r w:rsidR="005A25F0">
        <w:t xml:space="preserve"> </w:t>
      </w:r>
      <w:r w:rsidR="006E6BAC">
        <w:fldChar w:fldCharType="begin"/>
      </w:r>
      <w:r w:rsidR="00DE2DFB">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rsidR="006E6BAC">
        <w:fldChar w:fldCharType="separate"/>
      </w:r>
      <w:r w:rsidR="00DE2DFB" w:rsidRPr="00DE2DFB">
        <w:rPr>
          <w:vertAlign w:val="superscript"/>
        </w:rPr>
        <w:t>27</w:t>
      </w:r>
      <w:r w:rsidR="006E6BAC">
        <w:fldChar w:fldCharType="end"/>
      </w:r>
      <w:r>
        <w:t>. The remaining 56 biobanks (80%) demonstrated "Low" alignment (EAS &lt; 40), indicating substantial misalignment between their research portfolios and global health priorities.</w:t>
      </w:r>
    </w:p>
    <w:p w14:paraId="28D290D0" w14:textId="347B0E3C"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rsidR="005965D9">
        <w:t xml:space="preserve"> </w:t>
      </w:r>
      <w:r w:rsidR="005965D9">
        <w:fldChar w:fldCharType="begin"/>
      </w:r>
      <w:r w:rsidR="005965D9">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analyzed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rsidR="005965D9">
        <w:fldChar w:fldCharType="separate"/>
      </w:r>
      <w:r w:rsidR="005965D9" w:rsidRPr="005965D9">
        <w:rPr>
          <w:vertAlign w:val="superscript"/>
        </w:rPr>
        <w:t>28</w:t>
      </w:r>
      <w:r w:rsidR="005965D9">
        <w:fldChar w:fldCharType="end"/>
      </w:r>
      <w:r>
        <w:t>: a 34-fold disparity between research output and disease burden. High-income country biobanks generated 93.5% of all publications, while biobanks in Global South countries contributed just 6.5% (</w:t>
      </w:r>
      <w:r w:rsidRPr="0035138D">
        <w:rPr>
          <w:b/>
          <w:bCs/>
        </w:rPr>
        <w:t>Fig. 2c</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w:t>
      </w:r>
      <w:proofErr w:type="gramStart"/>
      <w:r>
        <w:rPr>
          <w:sz w:val="22"/>
          <w:szCs w:val="22"/>
        </w:rPr>
        <w:t>share</w:t>
      </w:r>
      <w:proofErr w:type="gramEnd"/>
      <w:r>
        <w:rPr>
          <w:sz w:val="22"/>
          <w:szCs w:val="22"/>
        </w:rPr>
        <w:t xml:space="preserv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An additional 26 diseases showed "High" gaps (Gap Score 70</w:t>
      </w:r>
      <w:r w:rsidR="002F4827">
        <w:t>-</w:t>
      </w:r>
      <w:r>
        <w:t>89), and 47 showed "Moderate" gaps (Gap Score 50</w:t>
      </w:r>
      <w:r w:rsidR="002F4827">
        <w:t>-</w:t>
      </w:r>
      <w:r>
        <w:t>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w:t>
      </w:r>
      <w:r>
        <w:t>-</w:t>
      </w:r>
      <w:r>
        <w:t>2025), with 770,178 geolocated trial site records, revealed systematic geographic concentration (</w:t>
      </w:r>
      <w:r w:rsidRPr="00D0390A">
        <w:rPr>
          <w:b/>
          <w:bCs/>
        </w:rPr>
        <w:t>Fig. 3a</w:t>
      </w:r>
      <w:r>
        <w:t>). Trial sites in high-income countries numbered 552,952 (71.8%), compared to</w:t>
      </w:r>
      <w:r>
        <w:t xml:space="preserve"> </w:t>
      </w:r>
      <w:r>
        <w:t>217,226 (28.2%) in low- and middle-income countries, representing a 2.5-fold disparity</w:t>
      </w:r>
      <w:r w:rsidR="00000000">
        <w:t>.</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We examined 89 disease categories with sufficient trial data for geographic analysis. For the 30 diseases predominantly affecting the Global South</w:t>
      </w:r>
      <w:r w:rsidR="00E519D0">
        <w:t xml:space="preserve"> (</w:t>
      </w:r>
      <w:r>
        <w:t xml:space="preserve">identified through GBD burden </w:t>
      </w:r>
      <w:proofErr w:type="spellStart"/>
      <w:r>
        <w:t>distributions</w:t>
      </w:r>
      <w:r w:rsidR="00E519D0">
        <w:t xml:space="preserve">) </w:t>
      </w:r>
      <w:proofErr w:type="spellEnd"/>
      <w:r>
        <w:t xml:space="preserve">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sidRPr="00E519D0">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lastRenderedPageBreak/>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7612F69A" w:rsidR="00AE5DA4" w:rsidRDefault="00000000">
      <w:pPr>
        <w:spacing w:after="200" w:line="360" w:lineRule="auto"/>
      </w:pPr>
      <w:r>
        <w:lastRenderedPageBreak/>
        <w:t>Neglected tropical diseases (NTDs) showed the most severe underrepresentation. For lymphatic filariasis (1.3 million DALYs), only 89 trials were registered globally</w:t>
      </w:r>
      <w:r w:rsidR="0035138D">
        <w:t xml:space="preserve">, </w:t>
      </w:r>
      <w:r>
        <w:t xml:space="preserve">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rsidR="0035138D">
        <w:t xml:space="preserve"> </w:t>
      </w:r>
      <w:r w:rsidR="00B46099">
        <w:fldChar w:fldCharType="begin"/>
      </w:r>
      <w:r w:rsidR="00B46099">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r>
      <w:r w:rsidR="00B46099">
        <w:fldChar w:fldCharType="separate"/>
      </w:r>
      <w:r w:rsidR="00B46099" w:rsidRPr="00B46099">
        <w:rPr>
          <w:vertAlign w:val="superscript"/>
        </w:rPr>
        <w:t>29</w:t>
      </w:r>
      <w:r w:rsidR="00B46099">
        <w:fldChar w:fldCharType="end"/>
      </w:r>
      <w:r>
        <w:t>) had 156 trials; cysticercosis (</w:t>
      </w:r>
      <w:r w:rsidR="00B46099">
        <w:t>2.8</w:t>
      </w:r>
      <w:r>
        <w:t xml:space="preserve"> million DALYs</w:t>
      </w:r>
      <w:r w:rsidR="0035138D">
        <w:t xml:space="preserve"> </w:t>
      </w:r>
      <w:r w:rsidR="00B46099">
        <w:fldChar w:fldCharType="begin"/>
      </w:r>
      <w:r w:rsidR="00B46099">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r>
      <w:r w:rsidR="00B46099">
        <w:fldChar w:fldCharType="separate"/>
      </w:r>
      <w:r w:rsidR="00B46099" w:rsidRPr="00B46099">
        <w:rPr>
          <w:vertAlign w:val="superscript"/>
        </w:rPr>
        <w:t>30</w:t>
      </w:r>
      <w:r w:rsidR="00B46099">
        <w:fldChar w:fldCharType="end"/>
      </w:r>
      <w:r>
        <w:t>) had 47 trials. By contrast, ischemic heart disease (</w:t>
      </w:r>
      <w:r w:rsidR="00B46099">
        <w:t>182.0</w:t>
      </w:r>
      <w:r>
        <w:t xml:space="preserve"> million DALYs</w:t>
      </w:r>
      <w:r w:rsidR="0035138D">
        <w:t xml:space="preserve"> </w:t>
      </w:r>
      <w:r w:rsidR="00B46099">
        <w:fldChar w:fldCharType="begin"/>
      </w:r>
      <w:r w:rsidR="00B46099">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age-standardized rates per 100 000 population. In 2019, IHD accounted for 197.2 million (177.7-219.5) prevalent cases, 9.1 million (8.4-9.7) deaths, and 182.0 million (170.2-193.5) DALYs worldwide. There were decreases in the global age-standardized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age-standardized DALY rates and SDI. Globally, high systolic blood pressure (54.6%), high low-density lipoprotein cholesterol (46.6%), and smoking (23.9%) were the three largest contributors to the DALYs attributable to IHD.\nCONCLUSION: Although the global age-standardized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r>
      <w:r w:rsidR="00B46099">
        <w:fldChar w:fldCharType="separate"/>
      </w:r>
      <w:r w:rsidR="00B46099" w:rsidRPr="00B46099">
        <w:rPr>
          <w:vertAlign w:val="superscript"/>
        </w:rPr>
        <w:t>31</w:t>
      </w:r>
      <w:r w:rsidR="00B46099">
        <w:fldChar w:fldCharType="end"/>
      </w:r>
      <w:r>
        <w:t>) had 38,441 trials</w:t>
      </w:r>
      <w:r w:rsidR="0035138D">
        <w:t xml:space="preserve">, </w:t>
      </w:r>
      <w:r>
        <w:t>representing approximately 211 trials per million DALYs compared to just 68 for lymphatic filariasis.</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233144DA" w14:textId="77777777" w:rsidR="00AE5DA4" w:rsidRDefault="00000000">
      <w:pPr>
        <w:pStyle w:val="Heading2"/>
      </w:pPr>
      <w:r>
        <w:t>The Knowledge Dimension: Neglected Diseases Occupy Isolated Semantic Space</w:t>
      </w:r>
    </w:p>
    <w:p w14:paraId="342B3178" w14:textId="054CC100" w:rsidR="00AE5DA4" w:rsidRDefault="00000000">
      <w:pPr>
        <w:spacing w:after="200" w:line="360" w:lineRule="auto"/>
      </w:pPr>
      <w:r>
        <w:t xml:space="preserve">To assess structural marginalisation in the research literature beyond simple publication counts, we generated semantic embeddings for 13.1 million PubMed abstracts spanning 175 GBD disease categories (2000–2025). Using </w:t>
      </w:r>
      <w:proofErr w:type="spellStart"/>
      <w:r>
        <w:t>PubMedBERT</w:t>
      </w:r>
      <w:proofErr w:type="spellEnd"/>
      <w:r w:rsidR="00841DFF">
        <w:t xml:space="preserve"> [</w:t>
      </w:r>
      <w:r w:rsidR="00841DFF" w:rsidRPr="00841DFF">
        <w:rPr>
          <w:highlight w:val="yellow"/>
        </w:rPr>
        <w:t>ref</w:t>
      </w:r>
      <w:r w:rsidR="00841DFF">
        <w:t>]</w:t>
      </w:r>
      <w:r>
        <w:t>, we represented each abstract as a 768-dimensional vector capturing its semantic content, then computed disease-level centroids and inter-disease similarity matrices (Methods).</w:t>
      </w:r>
    </w:p>
    <w:p w14:paraId="78158D00" w14:textId="66FD0686" w:rsidR="00AE5DA4" w:rsidRDefault="00000000">
      <w:pPr>
        <w:spacing w:after="200" w:line="360" w:lineRule="auto"/>
      </w:pPr>
      <w:r>
        <w:t>We developed three novel metrics to characterise the semantic landscape. The Semantic Isolation Index (SII) measures the distance between a disease's research centroid and the centroid of all biomedical literature</w:t>
      </w:r>
      <w:r w:rsidR="002C70E7">
        <w:t xml:space="preserve">; </w:t>
      </w:r>
      <w:r>
        <w:t>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6DCF32FB" w14:textId="77777777" w:rsidR="00AE5DA4" w:rsidRDefault="00000000">
      <w:pPr>
        <w:spacing w:after="200" w:line="360" w:lineRule="auto"/>
      </w:pPr>
      <w:r>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w:t>
      </w:r>
      <w:r>
        <w:lastRenderedPageBreak/>
        <w:t xml:space="preserve">large effect size (Cohen's d = 1.80, exceeding the threshold typically considered "large" by more than twofold; </w:t>
      </w:r>
      <w:r w:rsidRPr="00B95C9C">
        <w:rPr>
          <w:b/>
          <w:bCs/>
        </w:rPr>
        <w:t>Fig. 4a</w:t>
      </w:r>
      <w:r>
        <w:t>). This isolation was visually apparent in UMAP projections of the disease semantic space, where NTDs formed a distinct cluster separated from cardiovascular, oncological, and neurological research (</w:t>
      </w:r>
      <w:r w:rsidRPr="00B95C9C">
        <w:rPr>
          <w:b/>
          <w:bCs/>
        </w:rPr>
        <w:t>Fig. 4b</w:t>
      </w:r>
      <w:r>
        <w:t>).</w:t>
      </w:r>
    </w:p>
    <w:p w14:paraId="40E3BC4C" w14:textId="77777777" w:rsidR="00AE5DA4" w:rsidRDefault="0000000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w:t>
      </w:r>
    </w:p>
    <w:p w14:paraId="7BBB85D9" w14:textId="77777777" w:rsidR="00AE5DA4" w:rsidRDefault="00000000">
      <w:pPr>
        <w:spacing w:after="200" w:line="360" w:lineRule="auto"/>
      </w:pPr>
      <w:r>
        <w:t>The semantic structure analysis (</w:t>
      </w:r>
      <w:r w:rsidRPr="00B95C9C">
        <w:rPr>
          <w:b/>
          <w:bCs/>
        </w:rPr>
        <w:t>Fig. 5</w:t>
      </w:r>
      <w:r>
        <w:t>) revealed systematic patterns across disease categories. NTDs exhibited higher isolation across all metrics (</w:t>
      </w:r>
      <w:r w:rsidRPr="00B95C9C">
        <w:rPr>
          <w:b/>
          <w:bCs/>
        </w:rPr>
        <w:t>Fig. 5a</w:t>
      </w:r>
      <w:r>
        <w:t>), with the top 20 most isolated diseases dominated by Global South conditions (</w:t>
      </w:r>
      <w:r w:rsidRPr="00B95C9C">
        <w:rPr>
          <w:b/>
          <w:bCs/>
        </w:rPr>
        <w:t>Fig. 5b</w:t>
      </w:r>
      <w:r>
        <w:t>). Critically, isolation was not simply a function of research volume: diseases with fewer publications were not uniformly isolated, suggesting that semantic positioning reflects structural factors beyond publication count (</w:t>
      </w:r>
      <w:r w:rsidRPr="00B95C9C">
        <w:rPr>
          <w:b/>
          <w:bCs/>
        </w:rPr>
        <w:t>Fig. 5c</w:t>
      </w:r>
      <w:r>
        <w:t>). The NTD versus non-NTD comparison demonstrated clear distributional separation (</w:t>
      </w:r>
      <w:r w:rsidRPr="00B95C9C">
        <w:rPr>
          <w:b/>
          <w:bCs/>
        </w:rPr>
        <w:t>Fig. 5d</w:t>
      </w:r>
      <w:r>
        <w:t>). Notably, HIV/AIDS showed moderate semantic integration (SII = 0.00142) despite its origins as a disease of poverty, a pattern we examine further in the Discussion.</w:t>
      </w:r>
    </w:p>
    <w:p w14:paraId="640AD8A8" w14:textId="77777777" w:rsidR="00AE5DA4" w:rsidRDefault="00000000">
      <w:pPr>
        <w:spacing w:after="200" w:line="360" w:lineRule="auto"/>
      </w:pPr>
      <w:r>
        <w:t xml:space="preserve">Semantic isolation correlated significantly with Discovery dimension Gap Scores (Pearson's r = 0.67, P &lt; 0.001; </w:t>
      </w:r>
      <w:r w:rsidRPr="00B95C9C">
        <w:rPr>
          <w:b/>
          <w:bCs/>
        </w:rPr>
        <w:t>Extended Data Fig. 4</w:t>
      </w:r>
      <w:r>
        <w:t>),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0F26846B" w14:textId="77777777" w:rsidR="00AE5DA4" w:rsidRDefault="00000000">
      <w:pPr>
        <w:pStyle w:val="Heading2"/>
      </w:pPr>
      <w:r>
        <w:t>HIV/AIDS: Empirical Evidence That Semantic Isolation Can Be Reversed</w:t>
      </w:r>
    </w:p>
    <w:p w14:paraId="53B2B91D" w14:textId="77777777" w:rsidR="00AE5DA4" w:rsidRDefault="00000000">
      <w:pPr>
        <w:spacing w:after="200" w:line="360" w:lineRule="auto"/>
      </w:pPr>
      <w:r>
        <w:t xml:space="preserve">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w:t>
      </w:r>
      <w:r>
        <w:lastRenderedPageBreak/>
        <w:t>This trajectory contrasts sharply with NTDs, which showed no significant change in SII over the same period (mean change: +2.1%, P = 0.71).</w:t>
      </w:r>
    </w:p>
    <w:p w14:paraId="0A7468E0" w14:textId="77777777" w:rsidR="00AE5DA4" w:rsidRDefault="00000000">
      <w:pPr>
        <w:spacing w:after="200" w:line="360" w:lineRule="auto"/>
      </w:pPr>
      <w:r>
        <w:t>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2EE81CF6" w14:textId="77777777" w:rsidR="00AE5DA4" w:rsidRDefault="00000000">
      <w:pPr>
        <w:pStyle w:val="Heading2"/>
      </w:pPr>
      <w:r>
        <w:t>Unified Neglect Score: Identifying Compounding Disadvantage</w:t>
      </w:r>
    </w:p>
    <w:p w14:paraId="19ABDD11" w14:textId="77777777" w:rsidR="00AE5DA4" w:rsidRDefault="00000000">
      <w:pPr>
        <w:spacing w:after="200" w:line="360" w:lineRule="auto"/>
      </w:pPr>
      <w:r>
        <w:t>To identify diseases experiencing systematic neglect across all dimensions, we computed a Unified Neglect Score integrating Discovery (Gap Score), Translation (clinical trial equity), and Knowledge (Semantic Isolation Index) with equal weighting (33%/33%/34%; see Methods for normalisation). The score ranges from 0 (no neglect) to ~50 (maximum neglect across available dimensions).</w:t>
      </w:r>
    </w:p>
    <w:p w14:paraId="714C8487" w14:textId="77777777" w:rsidR="00AE5DA4" w:rsidRDefault="00000000">
      <w:pPr>
        <w:spacing w:after="200" w:line="360" w:lineRule="auto"/>
      </w:pPr>
      <w:r>
        <w:t>Among 175 diseases with sufficient data, the mean Unified Score was 18.7 (SD = 13.3), with a range from 0.1 (ischemic heart disease) to 46.9 (lymphatic filariasis). The distribution was right-skewed, with a long tail of highly neglected conditions (</w:t>
      </w:r>
      <w:r w:rsidRPr="00B95C9C">
        <w:rPr>
          <w:b/>
          <w:bCs/>
        </w:rPr>
        <w:t>Fig. 6</w:t>
      </w:r>
      <w:r>
        <w:t>).</w:t>
      </w:r>
    </w:p>
    <w:p w14:paraId="1F852774" w14:textId="77777777" w:rsidR="00AE5DA4" w:rsidRDefault="00000000">
      <w:r>
        <w:br w:type="page"/>
      </w:r>
    </w:p>
    <w:p w14:paraId="52476315" w14:textId="77777777" w:rsidR="00AE5DA4" w:rsidRDefault="00000000">
      <w:pPr>
        <w:pStyle w:val="Heading3"/>
      </w:pPr>
      <w:r>
        <w:lastRenderedPageBreak/>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AE5DA4" w14:paraId="2B3D82AA" w14:textId="7777777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7B10395" w14:textId="77777777" w:rsidR="00AE5DA4" w:rsidRDefault="00000000">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CE334A1" w14:textId="77777777" w:rsidR="00AE5DA4" w:rsidRDefault="00000000">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3670BF6" w14:textId="77777777" w:rsidR="00AE5DA4" w:rsidRDefault="00000000">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429F6E" w14:textId="77777777" w:rsidR="00AE5DA4" w:rsidRDefault="00000000">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DEB083D" w14:textId="77777777" w:rsidR="00AE5DA4" w:rsidRDefault="00000000">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3CA7FEBA" w14:textId="77777777" w:rsidR="00AE5DA4" w:rsidRDefault="00000000">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3E3F512" w14:textId="77777777" w:rsidR="00AE5DA4" w:rsidRDefault="00000000">
            <w:r>
              <w:rPr>
                <w:b/>
                <w:bCs/>
                <w:sz w:val="20"/>
                <w:szCs w:val="20"/>
              </w:rPr>
              <w:t>Primary Burden Region</w:t>
            </w:r>
          </w:p>
        </w:tc>
      </w:tr>
      <w:tr w:rsidR="00AE5DA4" w14:paraId="6A4730D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CA8667" w14:textId="77777777" w:rsidR="00AE5DA4" w:rsidRDefault="00000000">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9304AC" w14:textId="77777777" w:rsidR="00AE5DA4" w:rsidRDefault="00000000">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6F981"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E741F"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F9BFAF"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3B78A9" w14:textId="77777777" w:rsidR="00AE5DA4" w:rsidRDefault="00000000">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90CE4D" w14:textId="77777777" w:rsidR="00AE5DA4" w:rsidRDefault="00000000">
            <w:r>
              <w:rPr>
                <w:sz w:val="20"/>
                <w:szCs w:val="20"/>
              </w:rPr>
              <w:t>Sub-Saharan Africa, South Asia</w:t>
            </w:r>
          </w:p>
        </w:tc>
      </w:tr>
      <w:tr w:rsidR="00AE5DA4" w14:paraId="3B61E880"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28C1C1" w14:textId="77777777" w:rsidR="00AE5DA4" w:rsidRDefault="00000000">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DDE4E" w14:textId="77777777" w:rsidR="00AE5DA4" w:rsidRDefault="00000000">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64454"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83D3C"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31DDCB"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69B07" w14:textId="77777777" w:rsidR="00AE5DA4" w:rsidRDefault="00000000">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60CB3" w14:textId="77777777" w:rsidR="00AE5DA4" w:rsidRDefault="00000000">
            <w:r>
              <w:rPr>
                <w:sz w:val="20"/>
                <w:szCs w:val="20"/>
              </w:rPr>
              <w:t>Sub-Saharan Africa</w:t>
            </w:r>
          </w:p>
        </w:tc>
      </w:tr>
      <w:tr w:rsidR="00AE5DA4" w:rsidRPr="00677B3C" w14:paraId="5C644A3C"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214D31" w14:textId="77777777" w:rsidR="00AE5DA4" w:rsidRDefault="00000000">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B30B6" w14:textId="77777777" w:rsidR="00AE5DA4" w:rsidRDefault="00000000">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A87CC5"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79CC9"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D6913B"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E3F7A" w14:textId="77777777" w:rsidR="00AE5DA4" w:rsidRDefault="00000000">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260A41" w14:textId="77777777" w:rsidR="00AE5DA4" w:rsidRPr="00677B3C" w:rsidRDefault="00000000">
            <w:pPr>
              <w:rPr>
                <w:lang w:val="es-ES"/>
              </w:rPr>
            </w:pPr>
            <w:proofErr w:type="spellStart"/>
            <w:r w:rsidRPr="00677B3C">
              <w:rPr>
                <w:sz w:val="20"/>
                <w:szCs w:val="20"/>
                <w:lang w:val="es-ES"/>
              </w:rPr>
              <w:t>Latin</w:t>
            </w:r>
            <w:proofErr w:type="spellEnd"/>
            <w:r w:rsidRPr="00677B3C">
              <w:rPr>
                <w:sz w:val="20"/>
                <w:szCs w:val="20"/>
                <w:lang w:val="es-ES"/>
              </w:rPr>
              <w:t xml:space="preserve"> </w:t>
            </w:r>
            <w:proofErr w:type="spellStart"/>
            <w:r w:rsidRPr="00677B3C">
              <w:rPr>
                <w:sz w:val="20"/>
                <w:szCs w:val="20"/>
                <w:lang w:val="es-ES"/>
              </w:rPr>
              <w:t>America</w:t>
            </w:r>
            <w:proofErr w:type="spellEnd"/>
            <w:r w:rsidRPr="00677B3C">
              <w:rPr>
                <w:sz w:val="20"/>
                <w:szCs w:val="20"/>
                <w:lang w:val="es-ES"/>
              </w:rPr>
              <w:t>, 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p>
        </w:tc>
      </w:tr>
      <w:tr w:rsidR="00AE5DA4" w14:paraId="7029D917"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80CBD9" w14:textId="77777777" w:rsidR="00AE5DA4" w:rsidRDefault="00000000">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8F475" w14:textId="77777777" w:rsidR="00AE5DA4" w:rsidRDefault="00000000">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7284A"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1550E"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8E070"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7072D" w14:textId="77777777" w:rsidR="00AE5DA4" w:rsidRDefault="00000000">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AFEB2" w14:textId="77777777" w:rsidR="00AE5DA4" w:rsidRDefault="00000000">
            <w:r>
              <w:rPr>
                <w:sz w:val="20"/>
                <w:szCs w:val="20"/>
              </w:rPr>
              <w:t>Southeast Asia, Latin America</w:t>
            </w:r>
          </w:p>
        </w:tc>
      </w:tr>
      <w:tr w:rsidR="00AE5DA4" w14:paraId="74FD57CA"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A2CD0" w14:textId="77777777" w:rsidR="00AE5DA4" w:rsidRDefault="00000000">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5D8CB" w14:textId="77777777" w:rsidR="00AE5DA4" w:rsidRDefault="00000000">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2AA42E"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98101"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6ECCA"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6CAA9" w14:textId="77777777" w:rsidR="00AE5DA4" w:rsidRDefault="00000000">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9A7F7" w14:textId="77777777" w:rsidR="00AE5DA4" w:rsidRDefault="00000000">
            <w:r>
              <w:rPr>
                <w:sz w:val="20"/>
                <w:szCs w:val="20"/>
              </w:rPr>
              <w:t>Global South</w:t>
            </w:r>
          </w:p>
        </w:tc>
      </w:tr>
      <w:tr w:rsidR="00AE5DA4" w14:paraId="1C533A04"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1DCEE7" w14:textId="77777777" w:rsidR="00AE5DA4" w:rsidRDefault="00000000">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74AC3" w14:textId="77777777" w:rsidR="00AE5DA4" w:rsidRDefault="00000000">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1BE253" w14:textId="77777777" w:rsidR="00AE5DA4" w:rsidRDefault="00000000">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C64891"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AC848"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23152" w14:textId="77777777" w:rsidR="00AE5DA4" w:rsidRDefault="00000000">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AF559" w14:textId="77777777" w:rsidR="00AE5DA4" w:rsidRDefault="00000000">
            <w:r>
              <w:rPr>
                <w:sz w:val="20"/>
                <w:szCs w:val="20"/>
              </w:rPr>
              <w:t>Sub-Saharan Africa</w:t>
            </w:r>
          </w:p>
        </w:tc>
      </w:tr>
      <w:tr w:rsidR="00AE5DA4" w14:paraId="1A440D72"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56765" w14:textId="77777777" w:rsidR="00AE5DA4" w:rsidRDefault="00000000">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C7384" w14:textId="77777777" w:rsidR="00AE5DA4" w:rsidRDefault="00000000">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88962"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B6D2A" w14:textId="77777777" w:rsidR="00AE5DA4" w:rsidRDefault="00000000">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7A1C7"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607A3" w14:textId="77777777" w:rsidR="00AE5DA4" w:rsidRDefault="00000000">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6FE8D6" w14:textId="77777777" w:rsidR="00AE5DA4" w:rsidRDefault="00000000">
            <w:r>
              <w:rPr>
                <w:sz w:val="20"/>
                <w:szCs w:val="20"/>
              </w:rPr>
              <w:t>Sub-Saharan Africa</w:t>
            </w:r>
          </w:p>
        </w:tc>
      </w:tr>
      <w:tr w:rsidR="00AE5DA4" w14:paraId="216F7575"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C48EA1" w14:textId="77777777" w:rsidR="00AE5DA4" w:rsidRDefault="00000000">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09A84" w14:textId="77777777" w:rsidR="00AE5DA4" w:rsidRDefault="00000000">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4A69A"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823F5" w14:textId="77777777" w:rsidR="00AE5DA4" w:rsidRDefault="00000000">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848D2"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E5975" w14:textId="77777777" w:rsidR="00AE5DA4" w:rsidRDefault="00000000">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ACE0C" w14:textId="77777777" w:rsidR="00AE5DA4" w:rsidRDefault="00000000">
            <w:r>
              <w:rPr>
                <w:sz w:val="20"/>
                <w:szCs w:val="20"/>
              </w:rPr>
              <w:t>South Asia, Sub-Saharan Africa</w:t>
            </w:r>
          </w:p>
        </w:tc>
      </w:tr>
      <w:tr w:rsidR="00AE5DA4" w14:paraId="50051EB1"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F9CDD7" w14:textId="77777777" w:rsidR="00AE5DA4" w:rsidRDefault="00000000">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A7DC2" w14:textId="77777777" w:rsidR="00AE5DA4" w:rsidRDefault="00000000">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74E59"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58220" w14:textId="77777777" w:rsidR="00AE5DA4" w:rsidRDefault="00000000">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7DDEA4" w14:textId="77777777" w:rsidR="00AE5DA4" w:rsidRDefault="00000000">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30B53" w14:textId="77777777" w:rsidR="00AE5DA4" w:rsidRDefault="00000000">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64F82" w14:textId="77777777" w:rsidR="00AE5DA4" w:rsidRDefault="00000000">
            <w:r>
              <w:rPr>
                <w:sz w:val="20"/>
                <w:szCs w:val="20"/>
              </w:rPr>
              <w:t>South Asia, Sub-Saharan Africa</w:t>
            </w:r>
          </w:p>
        </w:tc>
      </w:tr>
      <w:tr w:rsidR="00AE5DA4" w:rsidRPr="00677B3C" w14:paraId="512FF2DB" w14:textId="7777777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775ECA" w14:textId="77777777" w:rsidR="00AE5DA4" w:rsidRDefault="00000000">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C5A33" w14:textId="77777777" w:rsidR="00AE5DA4" w:rsidRDefault="00000000">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9D493F" w14:textId="77777777" w:rsidR="00AE5DA4" w:rsidRDefault="00000000">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FACE2" w14:textId="77777777" w:rsidR="00AE5DA4" w:rsidRDefault="00000000">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684061" w14:textId="77777777" w:rsidR="00AE5DA4" w:rsidRDefault="00000000">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AA0D5" w14:textId="77777777" w:rsidR="00AE5DA4" w:rsidRDefault="00000000">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8CBD1" w14:textId="77777777" w:rsidR="00AE5DA4" w:rsidRPr="00677B3C" w:rsidRDefault="00000000">
            <w:pPr>
              <w:rPr>
                <w:lang w:val="es-ES"/>
              </w:rPr>
            </w:pPr>
            <w:r w:rsidRPr="00677B3C">
              <w:rPr>
                <w:sz w:val="20"/>
                <w:szCs w:val="20"/>
                <w:lang w:val="es-ES"/>
              </w:rPr>
              <w:t>Sub-</w:t>
            </w:r>
            <w:proofErr w:type="spellStart"/>
            <w:r w:rsidRPr="00677B3C">
              <w:rPr>
                <w:sz w:val="20"/>
                <w:szCs w:val="20"/>
                <w:lang w:val="es-ES"/>
              </w:rPr>
              <w:t>Saharan</w:t>
            </w:r>
            <w:proofErr w:type="spellEnd"/>
            <w:r w:rsidRPr="00677B3C">
              <w:rPr>
                <w:sz w:val="20"/>
                <w:szCs w:val="20"/>
                <w:lang w:val="es-ES"/>
              </w:rPr>
              <w:t xml:space="preserve"> </w:t>
            </w:r>
            <w:proofErr w:type="spellStart"/>
            <w:r w:rsidRPr="00677B3C">
              <w:rPr>
                <w:sz w:val="20"/>
                <w:szCs w:val="20"/>
                <w:lang w:val="es-ES"/>
              </w:rPr>
              <w:t>Africa</w:t>
            </w:r>
            <w:proofErr w:type="spellEnd"/>
            <w:r w:rsidRPr="00677B3C">
              <w:rPr>
                <w:sz w:val="20"/>
                <w:szCs w:val="20"/>
                <w:lang w:val="es-ES"/>
              </w:rPr>
              <w:t xml:space="preserve">, South </w:t>
            </w:r>
            <w:proofErr w:type="spellStart"/>
            <w:r w:rsidRPr="00677B3C">
              <w:rPr>
                <w:sz w:val="20"/>
                <w:szCs w:val="20"/>
                <w:lang w:val="es-ES"/>
              </w:rPr>
              <w:t>America</w:t>
            </w:r>
            <w:proofErr w:type="spellEnd"/>
          </w:p>
        </w:tc>
      </w:tr>
    </w:tbl>
    <w:p w14:paraId="3784A4E9" w14:textId="77777777" w:rsidR="00AE5DA4" w:rsidRDefault="00000000">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76B740F4" w14:textId="29C2FDA1" w:rsidR="00AE5DA4" w:rsidRDefault="00000000">
      <w:pPr>
        <w:spacing w:after="200" w:line="360" w:lineRule="auto"/>
      </w:pPr>
      <w:r>
        <w:t xml:space="preserve">All ten diseases in </w:t>
      </w:r>
      <w:r w:rsidRPr="00B95C9C">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w:t>
      </w:r>
      <w:r w:rsidR="00B95C9C">
        <w:t xml:space="preserve"> (</w:t>
      </w:r>
      <w:r>
        <w:t>Discovery, Translation, and Knowledge</w:t>
      </w:r>
      <w:r w:rsidR="00B95C9C">
        <w:t xml:space="preserve">) </w:t>
      </w:r>
      <w:r>
        <w:t>demonstrates cumulative neglect: these diseases are simultaneously absent from major biobanks, underrepresented in clinical trials, and semantically isolated in the research literature.</w:t>
      </w:r>
    </w:p>
    <w:p w14:paraId="6F43C753" w14:textId="77777777" w:rsidR="00AE5DA4" w:rsidRDefault="00000000">
      <w:pPr>
        <w:spacing w:after="200" w:line="360" w:lineRule="auto"/>
      </w:pPr>
      <w:r>
        <w:t>By contrast, the ten diseases with lowest Unified Scores (greatest research equity) included ischemic heart disease (0.1), breast cancer (0.8), type 2 diabetes (1.2), lung cancer (1.4), and Alzheimer's disease (2.1). These are all conditions with substantial burden in high-income countries and correspondingly robust research ecosystems spanning biobanks, trials, and interconnected literature.</w:t>
      </w:r>
    </w:p>
    <w:p w14:paraId="1642B091" w14:textId="77777777" w:rsidR="00AE5DA4" w:rsidRDefault="00000000">
      <w:pPr>
        <w:pStyle w:val="Heading2"/>
      </w:pPr>
      <w:r>
        <w:t>Temporal Trends: The Gap Is Not Closing</w:t>
      </w:r>
    </w:p>
    <w:p w14:paraId="177C766E" w14:textId="77777777" w:rsidR="00AE5DA4" w:rsidRDefault="00000000">
      <w:pPr>
        <w:spacing w:after="200" w:line="360" w:lineRule="auto"/>
      </w:pPr>
      <w:r>
        <w:lastRenderedPageBreak/>
        <w:t>We analysed temporal evolution of research equity across the 25-year study period (2000–2025) using five-year rolling windows. Three findings emerged (</w:t>
      </w:r>
      <w:r w:rsidRPr="00B95C9C">
        <w:rPr>
          <w:b/>
          <w:bCs/>
        </w:rPr>
        <w:t>Extended Data Fig. 3</w:t>
      </w:r>
      <w:r>
        <w:t>).</w:t>
      </w:r>
    </w:p>
    <w:p w14:paraId="1CD825F1" w14:textId="77777777" w:rsidR="00AE5DA4" w:rsidRDefault="0000000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2B344912" w14:textId="77777777" w:rsidR="00AE5DA4" w:rsidRDefault="00000000">
      <w:pPr>
        <w:spacing w:after="200" w:line="360" w:lineRule="auto"/>
      </w:pPr>
      <w:r>
        <w:t xml:space="preserve">Second, clinical trial site distribution showed no significant trend toward geographic equity. The </w:t>
      </w:r>
      <w:proofErr w:type="gramStart"/>
      <w:r>
        <w:t>HIC:LMIC</w:t>
      </w:r>
      <w:proofErr w:type="gramEnd"/>
      <w:r>
        <w:t xml:space="preserve"> site ratio fluctuated between 2.3 and 2.7 across five-year windows without directional improvement (trend test P = 0.41).</w:t>
      </w:r>
    </w:p>
    <w:p w14:paraId="0FE40C10" w14:textId="0C72FE16" w:rsidR="00AE5DA4" w:rsidRDefault="00000000">
      <w:pPr>
        <w:spacing w:after="200" w:line="360" w:lineRule="auto"/>
      </w:pPr>
      <w:r>
        <w:t>Third, semantic isolation of NTDs has not decreased. We computed temporal drift</w:t>
      </w:r>
      <w:r w:rsidR="00B95C9C">
        <w:t xml:space="preserve"> (</w:t>
      </w:r>
      <w:r>
        <w:t>the mean change in disease centroid position across consecutive time windows</w:t>
      </w:r>
      <w:r w:rsidR="00B95C9C">
        <w:t xml:space="preserve">) </w:t>
      </w:r>
      <w:r>
        <w:t>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3AAF7118" w14:textId="77777777" w:rsidR="00AE5DA4" w:rsidRDefault="0000000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779270CB" w14:textId="77777777" w:rsidR="00AE5DA4" w:rsidRDefault="00000000">
      <w:r>
        <w:br w:type="page"/>
      </w:r>
    </w:p>
    <w:p w14:paraId="47FE1C19" w14:textId="77777777" w:rsidR="00AE5DA4" w:rsidRDefault="00000000">
      <w:pPr>
        <w:pStyle w:val="Heading1"/>
      </w:pPr>
      <w:r>
        <w:lastRenderedPageBreak/>
        <w:t>Discussion</w:t>
      </w:r>
    </w:p>
    <w:p w14:paraId="7A88CAC3" w14:textId="26AEB74D" w:rsidR="00AE5DA4" w:rsidRDefault="0000000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w:t>
      </w:r>
      <w:r w:rsidR="005A77D6">
        <w:t xml:space="preserve">, </w:t>
      </w:r>
      <w:r>
        <w:t>particularly those affecting the Global South</w:t>
      </w:r>
      <w:r w:rsidR="005A77D6">
        <w:t xml:space="preserve">, </w:t>
      </w:r>
      <w:r>
        <w:t>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6CD79951" w14:textId="77777777" w:rsidR="00AE5DA4" w:rsidRDefault="00000000">
      <w:pPr>
        <w:spacing w:after="200" w:line="360" w:lineRule="auto"/>
      </w:pPr>
      <w:r>
        <w:t xml:space="preserve">The finding that neglected tropical diseases exhibit 44% higher semantic isolation than other conditions </w:t>
      </w:r>
      <w:proofErr w:type="gramStart"/>
      <w:r>
        <w:t>has</w:t>
      </w:r>
      <w:proofErr w:type="gramEnd"/>
      <w:r>
        <w:t xml:space="preserve">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2621A9A5" w14:textId="16BCC9A8" w:rsidR="00AE5DA4" w:rsidRDefault="0000000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w:t>
      </w:r>
      <w:r w:rsidR="005A77D6">
        <w:t xml:space="preserve">: </w:t>
      </w:r>
      <w:r>
        <w:t>it can be reversed through strategic, sustained investment that deliberately connects neglected disease research to established methodological communities.</w:t>
      </w:r>
    </w:p>
    <w:p w14:paraId="7475E419" w14:textId="77777777" w:rsidR="00AE5DA4" w:rsidRDefault="00000000">
      <w:pPr>
        <w:pStyle w:val="Heading3"/>
      </w:pPr>
      <w:r>
        <w:lastRenderedPageBreak/>
        <w:t>Implications for Research Funders</w:t>
      </w:r>
    </w:p>
    <w:p w14:paraId="69BC8605" w14:textId="4215A21B" w:rsidR="00AE5DA4" w:rsidRDefault="0000000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w:t>
      </w:r>
      <w:r w:rsidR="004076F7">
        <w:t xml:space="preserve"> (</w:t>
      </w:r>
      <w:r>
        <w:t>reflected in biobank output and trial registration</w:t>
      </w:r>
      <w:r w:rsidR="004076F7">
        <w:t xml:space="preserve">) </w:t>
      </w:r>
      <w:r>
        <w:t xml:space="preserve">remains substantially misaligned with global disease burden. The persistence of this gap over 25 years, despite explicit equity mandates from organisations including the </w:t>
      </w:r>
      <w:proofErr w:type="spellStart"/>
      <w:r>
        <w:t>Wellcome</w:t>
      </w:r>
      <w:proofErr w:type="spellEnd"/>
      <w:r>
        <w:t xml:space="preserv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006E6016" w14:textId="77777777" w:rsidR="00AE5DA4" w:rsidRDefault="00000000">
      <w:pPr>
        <w:pStyle w:val="Heading3"/>
      </w:pPr>
      <w:r>
        <w:t>Implications for Biobank Consortia</w:t>
      </w:r>
    </w:p>
    <w:p w14:paraId="2568DF8B" w14:textId="60846A2E" w:rsidR="00AE5DA4" w:rsidRDefault="00000000">
      <w:pPr>
        <w:spacing w:after="200" w:line="360" w:lineRule="auto"/>
      </w:pPr>
      <w:r>
        <w:t>The concentration of research output in a single biobank</w:t>
      </w:r>
      <w:r w:rsidR="004076F7">
        <w:t xml:space="preserve"> (</w:t>
      </w:r>
      <w:r>
        <w:t>UK Biobank accounts for 36% of recent publications</w:t>
      </w:r>
      <w:r w:rsidR="004076F7">
        <w:t xml:space="preserve">) </w:t>
      </w:r>
      <w:r>
        <w:t>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should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4354B023" w14:textId="77777777" w:rsidR="00AE5DA4" w:rsidRDefault="00000000">
      <w:pPr>
        <w:pStyle w:val="Heading3"/>
      </w:pPr>
      <w:r>
        <w:t>Implications for Clinical Trial Design</w:t>
      </w:r>
    </w:p>
    <w:p w14:paraId="22F60F7D" w14:textId="77777777" w:rsidR="00AE5DA4" w:rsidRDefault="00000000">
      <w:pPr>
        <w:spacing w:after="200" w:line="360" w:lineRule="auto"/>
      </w:pPr>
      <w:r>
        <w:t xml:space="preserve">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w:t>
      </w:r>
      <w:proofErr w:type="gramStart"/>
      <w:r>
        <w:t>the majority of</w:t>
      </w:r>
      <w:proofErr w:type="gramEnd"/>
      <w:r>
        <w:t xml:space="preserve">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54BCE555" w14:textId="77777777" w:rsidR="00AE5DA4" w:rsidRDefault="00000000">
      <w:pPr>
        <w:pStyle w:val="Heading3"/>
      </w:pPr>
      <w:r>
        <w:lastRenderedPageBreak/>
        <w:t>Actionable Policy Targets</w:t>
      </w:r>
    </w:p>
    <w:p w14:paraId="6DB6CD2F" w14:textId="77777777" w:rsidR="00AE5DA4" w:rsidRDefault="00000000">
      <w:pPr>
        <w:spacing w:after="200" w:line="360" w:lineRule="auto"/>
      </w:pPr>
      <w:r>
        <w:rPr>
          <w:b/>
          <w:bCs/>
        </w:rPr>
        <w:t>Based on our findings, we propose three measurable targets for structural change:</w:t>
      </w:r>
    </w:p>
    <w:p w14:paraId="18EA8614" w14:textId="77777777" w:rsidR="00AE5DA4" w:rsidRDefault="0000000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826666F" w14:textId="77777777" w:rsidR="00AE5DA4" w:rsidRDefault="0000000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7434A0DD" w14:textId="77777777" w:rsidR="00AE5DA4" w:rsidRDefault="0000000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220C37BF" w14:textId="77777777" w:rsidR="00AE5DA4" w:rsidRDefault="00000000">
      <w:pPr>
        <w:spacing w:after="200" w:line="360" w:lineRule="auto"/>
      </w:pPr>
      <w:r>
        <w:t>These targets are informed by HEIM metrics and can be monitored through the interactive dashboard, enabling accountability and progress tracking.</w:t>
      </w:r>
    </w:p>
    <w:p w14:paraId="49C35ECC" w14:textId="77777777" w:rsidR="00AE5DA4" w:rsidRDefault="00000000">
      <w:pPr>
        <w:pStyle w:val="Heading3"/>
      </w:pPr>
      <w:r>
        <w:t>Limitations</w:t>
      </w:r>
    </w:p>
    <w:p w14:paraId="67188BBA" w14:textId="77777777" w:rsidR="00AE5DA4" w:rsidRDefault="0000000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w:t>
      </w:r>
      <w:proofErr w:type="gramStart"/>
      <w:r>
        <w:t>this bias likely underestimates</w:t>
      </w:r>
      <w:proofErr w:type="gramEnd"/>
      <w:r>
        <w:t xml:space="preserve"> research activity in the Global South, meaning our findings may be conservative. Third, clinical trial registration completeness varies by country and has improved over time, particularly following the ICMJE requirement (2005),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sidRPr="0098329C">
        <w:rPr>
          <w:b/>
          <w:bCs/>
        </w:rPr>
        <w:t>Extended Data Fig. 2</w:t>
      </w:r>
      <w:r>
        <w:t>) suggest our conclusions are robust (Spearman's ρ &gt; 0.92 across schemes). Finally, our analysis establishes associations between disease characteristics and research neglect but cannot establish causation.</w:t>
      </w:r>
    </w:p>
    <w:p w14:paraId="33B553AF" w14:textId="77777777" w:rsidR="00AE5DA4" w:rsidRDefault="00000000">
      <w:pPr>
        <w:pStyle w:val="Heading3"/>
      </w:pPr>
      <w:r>
        <w:t>Future Directions</w:t>
      </w:r>
    </w:p>
    <w:p w14:paraId="4E5836BE" w14:textId="19470C8A" w:rsidR="00AE5DA4" w:rsidRPr="00A13B9E" w:rsidRDefault="00000000">
      <w:pPr>
        <w:spacing w:after="200" w:line="360" w:lineRule="auto"/>
        <w:rPr>
          <w:b/>
          <w:bCs/>
        </w:rPr>
      </w:pPr>
      <w:r>
        <w:lastRenderedPageBreak/>
        <w:t>HEIM provides a foundation for prospective monitoring of research equity. Integration with funding databases (NIH Reporter</w:t>
      </w:r>
      <w:r w:rsidR="0098329C">
        <w:t xml:space="preserve"> [</w:t>
      </w:r>
      <w:r w:rsidR="0098329C" w:rsidRPr="0098329C">
        <w:rPr>
          <w:highlight w:val="yellow"/>
        </w:rPr>
        <w:t>ref</w:t>
      </w:r>
      <w:r w:rsidR="0098329C">
        <w:t>]</w:t>
      </w:r>
      <w:r>
        <w:t>, Dimensions</w:t>
      </w:r>
      <w:r w:rsidR="0098329C">
        <w:t xml:space="preserve"> [</w:t>
      </w:r>
      <w:r w:rsidR="0098329C" w:rsidRPr="0098329C">
        <w:rPr>
          <w:highlight w:val="yellow"/>
        </w:rPr>
        <w:t>ref</w:t>
      </w:r>
      <w:r w:rsidR="0098329C">
        <w:t>]</w:t>
      </w:r>
      <w:r>
        <w:t xml:space="preserve">, </w:t>
      </w:r>
      <w:proofErr w:type="spellStart"/>
      <w:r>
        <w:t>OpenAlex</w:t>
      </w:r>
      <w:proofErr w:type="spellEnd"/>
      <w:r w:rsidR="0098329C">
        <w:t xml:space="preserve"> [</w:t>
      </w:r>
      <w:r w:rsidR="0098329C" w:rsidRPr="0098329C">
        <w:rPr>
          <w:highlight w:val="yellow"/>
        </w:rPr>
        <w:t>ref</w:t>
      </w:r>
      <w:r w:rsidR="0098329C">
        <w:t>]</w:t>
      </w:r>
      <w:r>
        <w:t>) would enable analysis of investment-to-output relationships. Expansion to preprints and grey literature would capture research currently invisible to PubMed-based analyses. Development of intervention studies</w:t>
      </w:r>
      <w:r w:rsidR="00A13B9E">
        <w:t xml:space="preserve">, i.e., </w:t>
      </w:r>
      <w:r>
        <w:t>testing whether targeted investments reduce semantic isolation</w:t>
      </w:r>
      <w:r w:rsidR="00A13B9E">
        <w:t xml:space="preserve">, </w:t>
      </w:r>
      <w:r>
        <w:t xml:space="preserve">would move from diagnosis to demonstrated solutions. </w:t>
      </w:r>
      <w:r w:rsidRPr="00A13B9E">
        <w:rPr>
          <w:b/>
          <w:bCs/>
        </w:rPr>
        <w:t xml:space="preserve">The interactive HEIM dashboard () </w:t>
      </w:r>
      <w:r>
        <w:t>enables real-time monitoring of research equity, transforming abstract commitments into measurable accountability.</w:t>
      </w:r>
    </w:p>
    <w:p w14:paraId="2938EC85" w14:textId="77777777" w:rsidR="00AE5DA4" w:rsidRDefault="00000000">
      <w:r>
        <w:br w:type="page"/>
      </w:r>
    </w:p>
    <w:p w14:paraId="07D66776" w14:textId="77777777" w:rsidR="00AE5DA4" w:rsidRDefault="00000000">
      <w:pPr>
        <w:pStyle w:val="Heading1"/>
      </w:pPr>
      <w:r>
        <w:lastRenderedPageBreak/>
        <w:t>Figures</w:t>
      </w:r>
    </w:p>
    <w:p w14:paraId="726912B8" w14:textId="77777777" w:rsidR="00AE5DA4" w:rsidRDefault="00000000">
      <w:r>
        <w:br w:type="page"/>
      </w:r>
    </w:p>
    <w:p w14:paraId="1FE2F4FF" w14:textId="77777777" w:rsidR="00AE5DA4" w:rsidRDefault="00000000">
      <w:r>
        <w:lastRenderedPageBreak/>
        <w:br w:type="page"/>
      </w:r>
    </w:p>
    <w:p w14:paraId="6E35B21F" w14:textId="77777777" w:rsidR="00AE5DA4" w:rsidRDefault="00000000">
      <w:r>
        <w:lastRenderedPageBreak/>
        <w:br w:type="page"/>
      </w:r>
    </w:p>
    <w:p w14:paraId="1CFF4DE5" w14:textId="44934082" w:rsidR="00AE5DA4" w:rsidRDefault="00432CE8">
      <w:pPr>
        <w:spacing w:before="200" w:after="100"/>
        <w:jc w:val="center"/>
      </w:pPr>
      <w:r>
        <w:rPr>
          <w:noProof/>
        </w:rPr>
        <w:lastRenderedPageBreak/>
        <w:drawing>
          <wp:inline distT="0" distB="0" distL="0" distR="0" wp14:anchorId="601E92AB" wp14:editId="5AB46671">
            <wp:extent cx="5943600" cy="3496945"/>
            <wp:effectExtent l="0" t="0" r="0" b="0"/>
            <wp:docPr id="37101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3097" name="Picture 371013097"/>
                    <pic:cNvPicPr/>
                  </pic:nvPicPr>
                  <pic:blipFill>
                    <a:blip r:embed="rId10"/>
                    <a:stretch>
                      <a:fillRect/>
                    </a:stretch>
                  </pic:blipFill>
                  <pic:spPr>
                    <a:xfrm>
                      <a:off x="0" y="0"/>
                      <a:ext cx="5943600" cy="3496945"/>
                    </a:xfrm>
                    <a:prstGeom prst="rect">
                      <a:avLst/>
                    </a:prstGeom>
                  </pic:spPr>
                </pic:pic>
              </a:graphicData>
            </a:graphic>
          </wp:inline>
        </w:drawing>
      </w:r>
    </w:p>
    <w:p w14:paraId="1415641E" w14:textId="77777777" w:rsidR="00432CE8" w:rsidRDefault="00432CE8">
      <w:pPr>
        <w:spacing w:before="200" w:after="100"/>
        <w:jc w:val="center"/>
      </w:pPr>
    </w:p>
    <w:p w14:paraId="095BFC9F" w14:textId="77777777" w:rsidR="00AE5DA4" w:rsidRDefault="00000000">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28F71C9B" w14:textId="77777777" w:rsidR="00AE5DA4" w:rsidRDefault="00000000">
      <w:r>
        <w:br w:type="page"/>
      </w:r>
    </w:p>
    <w:p w14:paraId="2B112CAB" w14:textId="7C6BA5A7" w:rsidR="00AE5DA4" w:rsidRDefault="00182BBE">
      <w:pPr>
        <w:spacing w:before="200" w:after="100"/>
        <w:jc w:val="center"/>
      </w:pPr>
      <w:r>
        <w:rPr>
          <w:noProof/>
        </w:rPr>
        <w:lastRenderedPageBreak/>
        <w:drawing>
          <wp:inline distT="0" distB="0" distL="0" distR="0" wp14:anchorId="48BEF7B8" wp14:editId="23620639">
            <wp:extent cx="5943600" cy="4073525"/>
            <wp:effectExtent l="0" t="0" r="0" b="3175"/>
            <wp:docPr id="503693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3465" name="Picture 503693465"/>
                    <pic:cNvPicPr/>
                  </pic:nvPicPr>
                  <pic:blipFill>
                    <a:blip r:embed="rId11"/>
                    <a:stretch>
                      <a:fillRect/>
                    </a:stretch>
                  </pic:blipFill>
                  <pic:spPr>
                    <a:xfrm>
                      <a:off x="0" y="0"/>
                      <a:ext cx="5943600" cy="4073525"/>
                    </a:xfrm>
                    <a:prstGeom prst="rect">
                      <a:avLst/>
                    </a:prstGeom>
                  </pic:spPr>
                </pic:pic>
              </a:graphicData>
            </a:graphic>
          </wp:inline>
        </w:drawing>
      </w:r>
    </w:p>
    <w:p w14:paraId="65B83E66" w14:textId="77777777" w:rsidR="00182BBE" w:rsidRDefault="00182BBE">
      <w:pPr>
        <w:spacing w:before="200" w:after="100"/>
        <w:jc w:val="center"/>
      </w:pPr>
    </w:p>
    <w:p w14:paraId="4CEB651A" w14:textId="77777777" w:rsidR="00AE5DA4" w:rsidRDefault="00000000">
      <w:pPr>
        <w:spacing w:before="100" w:after="300"/>
      </w:pPr>
      <w:r>
        <w:rPr>
          <w:rFonts w:ascii="Arial" w:eastAsia="Arial" w:hAnsi="Arial" w:cs="Arial"/>
          <w:b/>
          <w:bCs/>
          <w:sz w:val="22"/>
          <w:szCs w:val="22"/>
        </w:rPr>
        <w:t>Figure 5. Semantic Structure Analysis of Disease Research.</w:t>
      </w:r>
      <w:r>
        <w:rPr>
          <w:sz w:val="22"/>
          <w:szCs w:val="22"/>
        </w:rPr>
        <w:t xml:space="preserve"> (a) Distribution of Semantic Isolation Index by disease category. (b) Top 20 most semantically isolated diseases. (c) Relationship between semantic isolation and research volume. (d) Direct comparison of NTD versus non-NTD distributions.</w:t>
      </w:r>
    </w:p>
    <w:p w14:paraId="7D926D22" w14:textId="77777777" w:rsidR="00AE5DA4" w:rsidRDefault="00000000">
      <w:r>
        <w:br w:type="page"/>
      </w:r>
    </w:p>
    <w:p w14:paraId="7571B79F" w14:textId="1C3C5AEE" w:rsidR="00AE5DA4" w:rsidRDefault="00C30EB2">
      <w:pPr>
        <w:spacing w:before="200" w:after="100"/>
        <w:jc w:val="center"/>
      </w:pPr>
      <w:r>
        <w:rPr>
          <w:noProof/>
        </w:rPr>
        <w:lastRenderedPageBreak/>
        <w:drawing>
          <wp:inline distT="0" distB="0" distL="0" distR="0" wp14:anchorId="527912C8" wp14:editId="6721F2FE">
            <wp:extent cx="5943600" cy="5943600"/>
            <wp:effectExtent l="0" t="0" r="0" b="0"/>
            <wp:docPr id="1663814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2AE13226" w14:textId="77777777" w:rsidR="00C30EB2" w:rsidRDefault="00C30EB2">
      <w:pPr>
        <w:spacing w:before="200" w:after="100"/>
        <w:jc w:val="center"/>
      </w:pPr>
    </w:p>
    <w:p w14:paraId="269E3BC9" w14:textId="77777777" w:rsidR="00AE5DA4" w:rsidRDefault="00000000">
      <w:pPr>
        <w:spacing w:before="100" w:after="300"/>
      </w:pPr>
      <w:r>
        <w:rPr>
          <w:rFonts w:ascii="Arial" w:eastAsia="Arial" w:hAnsi="Arial" w:cs="Arial"/>
          <w:b/>
          <w:bCs/>
          <w:sz w:val="22"/>
          <w:szCs w:val="22"/>
        </w:rPr>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1F684C96" w14:textId="77777777" w:rsidR="00AE5DA4" w:rsidRDefault="0000000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77777777" w:rsidR="00AE5DA4" w:rsidRDefault="00000000">
      <w:pPr>
        <w:spacing w:before="100" w:after="300"/>
      </w:pPr>
      <w:r>
        <w:rPr>
          <w:rFonts w:ascii="Arial" w:eastAsia="Arial" w:hAnsi="Arial" w:cs="Arial"/>
          <w:b/>
          <w:bCs/>
          <w:sz w:val="22"/>
          <w:szCs w:val="22"/>
        </w:rPr>
        <w:t>Figure Extended Data 3.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0DB0F3A0" w14:textId="5F37FEC4" w:rsidR="00AE5DA4" w:rsidRDefault="006B7E50">
      <w:pPr>
        <w:spacing w:before="200" w:after="100"/>
        <w:jc w:val="center"/>
      </w:pPr>
      <w:r>
        <w:rPr>
          <w:noProof/>
        </w:rPr>
        <w:lastRenderedPageBreak/>
        <w:drawing>
          <wp:inline distT="0" distB="0" distL="0" distR="0" wp14:anchorId="02358258" wp14:editId="04EF9EB5">
            <wp:extent cx="4406900" cy="3543300"/>
            <wp:effectExtent l="0" t="0" r="0" b="0"/>
            <wp:docPr id="1454616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6231" name="Picture 1454616231"/>
                    <pic:cNvPicPr/>
                  </pic:nvPicPr>
                  <pic:blipFill>
                    <a:blip r:embed="rId14"/>
                    <a:stretch>
                      <a:fillRect/>
                    </a:stretch>
                  </pic:blipFill>
                  <pic:spPr>
                    <a:xfrm>
                      <a:off x="0" y="0"/>
                      <a:ext cx="4406900" cy="3543300"/>
                    </a:xfrm>
                    <a:prstGeom prst="rect">
                      <a:avLst/>
                    </a:prstGeom>
                  </pic:spPr>
                </pic:pic>
              </a:graphicData>
            </a:graphic>
          </wp:inline>
        </w:drawing>
      </w:r>
    </w:p>
    <w:p w14:paraId="584E30D0" w14:textId="77777777" w:rsidR="006B7E50" w:rsidRDefault="006B7E50">
      <w:pPr>
        <w:spacing w:before="200" w:after="100"/>
        <w:jc w:val="center"/>
      </w:pPr>
    </w:p>
    <w:p w14:paraId="587F04B6" w14:textId="77777777" w:rsidR="00AE5DA4" w:rsidRDefault="00000000">
      <w:pPr>
        <w:spacing w:before="100" w:after="300"/>
      </w:pPr>
      <w:r>
        <w:rPr>
          <w:rFonts w:ascii="Arial" w:eastAsia="Arial" w:hAnsi="Arial" w:cs="Arial"/>
          <w:b/>
          <w:bCs/>
          <w:sz w:val="22"/>
          <w:szCs w:val="22"/>
        </w:rPr>
        <w:t>Figure Extended Data 4. Gap Score vs. Semantic Isolation Correlation.</w:t>
      </w:r>
      <w:r>
        <w:rPr>
          <w:sz w:val="22"/>
          <w:szCs w:val="22"/>
        </w:rPr>
        <w:t xml:space="preserve"> Scatter plot showing relationship between Discovery dimension Gap Scores and Knowledge dimension Semantic Isolation Index. Diseases colour-coded by publication volume.</w:t>
      </w:r>
    </w:p>
    <w:p w14:paraId="1BE48DD1"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5"/>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5.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2" w14:textId="77777777" w:rsidR="00AE5DA4" w:rsidRDefault="00000000">
      <w:r>
        <w:br w:type="page"/>
      </w:r>
    </w:p>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77777777" w:rsidR="00AE5DA4" w:rsidRDefault="00000000">
      <w:pPr>
        <w:spacing w:before="100" w:after="300"/>
      </w:pPr>
      <w:r>
        <w:rPr>
          <w:rFonts w:ascii="Arial" w:eastAsia="Arial" w:hAnsi="Arial" w:cs="Arial"/>
          <w:b/>
          <w:bCs/>
          <w:sz w:val="22"/>
          <w:szCs w:val="22"/>
        </w:rPr>
        <w:t>Figure Supplementary 1.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230DEE16" w14:textId="77777777" w:rsidR="00AE5DA4" w:rsidRDefault="00000000">
      <w:pPr>
        <w:spacing w:after="200" w:line="360" w:lineRule="auto"/>
      </w:pPr>
      <w:r>
        <w:rPr>
          <w:b/>
          <w:bCs/>
        </w:rPr>
        <w:t xml:space="preserve">Study Design and Overview. </w:t>
      </w:r>
      <w:r>
        <w:t>We developed the Health Equity Informative Metrics (HEIM) framework to quantify research equity across three dimensions: Discovery (biobank-derived research), Translation (clinical trials), and Knowledge (semantic structure of scientific literature). The study period spanned January 2000 to December 2025.</w:t>
      </w:r>
    </w:p>
    <w:p w14:paraId="68738C52" w14:textId="77777777" w:rsidR="00AE5DA4" w:rsidRDefault="00000000">
      <w:pPr>
        <w:spacing w:after="200" w:line="360" w:lineRule="auto"/>
      </w:pPr>
      <w:r>
        <w:rPr>
          <w:b/>
          <w:bCs/>
        </w:rPr>
        <w:t xml:space="preserve">Data Sources. </w:t>
      </w:r>
      <w:r>
        <w:t>GBD 2021 burden estimates from IHME (179 Level 3 disease categories, 204 countries). IHCC biobank registry (70 biobanks, 29 countries). AACT database (563,725 studies, 770,178 facility records). PubMed abstracts (13,100,113 unique abstracts).</w:t>
      </w:r>
    </w:p>
    <w:p w14:paraId="33DB06D3" w14:textId="77777777" w:rsidR="00AE5DA4" w:rsidRDefault="00000000">
      <w:pPr>
        <w:spacing w:after="200" w:line="360" w:lineRule="auto"/>
      </w:pPr>
      <w:r>
        <w:rPr>
          <w:b/>
          <w:bCs/>
        </w:rPr>
        <w:t xml:space="preserve">Semantic Embeddings. </w:t>
      </w:r>
      <w:proofErr w:type="spellStart"/>
      <w:r>
        <w:t>PubMedBERT</w:t>
      </w:r>
      <w:proofErr w:type="spellEnd"/>
      <w:r>
        <w:t xml:space="preserve"> (</w:t>
      </w:r>
      <w:proofErr w:type="spellStart"/>
      <w:r>
        <w:t>microsoft</w:t>
      </w:r>
      <w:proofErr w:type="spellEnd"/>
      <w:r>
        <w:t>/</w:t>
      </w:r>
      <w:proofErr w:type="spellStart"/>
      <w:r>
        <w:t>BiomedNLP</w:t>
      </w:r>
      <w:proofErr w:type="spellEnd"/>
      <w:r>
        <w:t>-</w:t>
      </w:r>
      <w:proofErr w:type="spellStart"/>
      <w:r>
        <w:t>PubMedBERT</w:t>
      </w:r>
      <w:proofErr w:type="spellEnd"/>
      <w:r>
        <w:t>-base-uncased-abstract-</w:t>
      </w:r>
      <w:proofErr w:type="spellStart"/>
      <w:r>
        <w:t>fulltext</w:t>
      </w:r>
      <w:proofErr w:type="spellEnd"/>
      <w:r>
        <w:t>, version 1.1) was used to generate 768-dimensional vectors for each abstract. Disease centroids were computed as mean embeddings.</w:t>
      </w:r>
    </w:p>
    <w:p w14:paraId="74A188BE" w14:textId="77777777" w:rsidR="00AE5DA4" w:rsidRDefault="00000000">
      <w:pPr>
        <w:spacing w:after="200" w:line="360" w:lineRule="auto"/>
      </w:pPr>
      <w:r>
        <w:rPr>
          <w:b/>
          <w:bCs/>
        </w:rPr>
        <w:t xml:space="preserve">Statistical Analysis. </w:t>
      </w:r>
      <w:r>
        <w:t>Group comparisons used Welch's t-test with Cohen's d effect size. Correlations assessed using Pearson's r. Multiple comparisons corrected using Benjamini-Hochberg (FDR &lt; 0.05).</w:t>
      </w:r>
    </w:p>
    <w:p w14:paraId="7407D4C9" w14:textId="77777777" w:rsidR="00AE5DA4" w:rsidRDefault="00000000">
      <w:pPr>
        <w:spacing w:after="200" w:line="360" w:lineRule="auto"/>
      </w:pPr>
      <w:r>
        <w:rPr>
          <w:b/>
          <w:bCs/>
        </w:rPr>
        <w:t xml:space="preserve">Code Availability. </w:t>
      </w:r>
      <w:r>
        <w:t>All code available at https://github.com/manuelcorpas/17-EHR (</w:t>
      </w:r>
      <w:proofErr w:type="spellStart"/>
      <w:r>
        <w:t>Zenodo</w:t>
      </w:r>
      <w:proofErr w:type="spellEnd"/>
      <w:r>
        <w:t xml:space="preserve"> DOI to be assigned). Interactive dashboard: https://manuelcorpas.github.io/17-EHR/</w:t>
      </w:r>
    </w:p>
    <w:p w14:paraId="6B7B1548" w14:textId="77777777" w:rsidR="00AE5DA4" w:rsidRDefault="00000000">
      <w:r>
        <w:br w:type="page"/>
      </w:r>
    </w:p>
    <w:p w14:paraId="6BEC6B82" w14:textId="77777777" w:rsidR="00AE5DA4" w:rsidRDefault="00000000">
      <w:pPr>
        <w:pStyle w:val="Heading1"/>
      </w:pPr>
      <w:r>
        <w:lastRenderedPageBreak/>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Conceptualisation, Methodology, Software, Formal Analysis, Data Curation, Writing</w:t>
      </w:r>
      <w:r w:rsidR="00F35B34">
        <w:t xml:space="preserve"> (</w:t>
      </w:r>
      <w:r>
        <w:t>Original Draft, Visualisation, Project Administration</w:t>
      </w:r>
      <w:r w:rsidR="00F35B34">
        <w:t>)</w:t>
      </w:r>
      <w:r>
        <w:t xml:space="preserve">. </w:t>
      </w:r>
      <w:r>
        <w:rPr>
          <w:b/>
          <w:bCs/>
        </w:rPr>
        <w:t xml:space="preserve">M.F.: </w:t>
      </w:r>
      <w:r>
        <w:t>Methodology, Validation, Writing</w:t>
      </w:r>
      <w:r w:rsidR="00F35B34">
        <w:t xml:space="preserve"> </w:t>
      </w:r>
      <w:r>
        <w:t xml:space="preserve">Review &amp; Editing. </w:t>
      </w:r>
      <w:r>
        <w:rPr>
          <w:b/>
          <w:bCs/>
        </w:rPr>
        <w:t xml:space="preserve">J.V.-S.: </w:t>
      </w:r>
      <w:r>
        <w:t>Writing</w:t>
      </w:r>
      <w:r w:rsidR="00F35B34">
        <w:t xml:space="preserve">, </w:t>
      </w:r>
      <w:r>
        <w:t xml:space="preserve">Review &amp; Editing. </w:t>
      </w:r>
      <w:r>
        <w:rPr>
          <w:b/>
          <w:bCs/>
        </w:rPr>
        <w:t xml:space="preserve">S.B.: </w:t>
      </w:r>
      <w:r>
        <w:t>Writing</w:t>
      </w:r>
      <w:r w:rsidR="00F35B34">
        <w:t xml:space="preserve">, </w:t>
      </w:r>
      <w:r>
        <w:t xml:space="preserve">Review &amp; Editing. </w:t>
      </w:r>
      <w:r>
        <w:rPr>
          <w:b/>
          <w:bCs/>
        </w:rPr>
        <w:t xml:space="preserve">S.F.: </w:t>
      </w:r>
      <w:r>
        <w:t>Writing</w:t>
      </w:r>
      <w:r w:rsidR="00F35B34">
        <w:t xml:space="preserve">, </w:t>
      </w:r>
      <w:r>
        <w:t xml:space="preserve">Review &amp; Editing. </w:t>
      </w:r>
      <w:r>
        <w:rPr>
          <w:b/>
          <w:bCs/>
        </w:rPr>
        <w:t xml:space="preserve">H.G.: </w:t>
      </w:r>
      <w:r>
        <w:t>Writing</w:t>
      </w:r>
      <w:r w:rsidR="00F35B34">
        <w:t xml:space="preserve">, </w:t>
      </w:r>
      <w:r>
        <w:t>Review &amp; Editing.</w:t>
      </w:r>
    </w:p>
    <w:p w14:paraId="13DE61A4" w14:textId="77777777" w:rsidR="00AE5DA4" w:rsidRDefault="00000000">
      <w:pPr>
        <w:pStyle w:val="Heading1"/>
      </w:pPr>
      <w:r>
        <w:t>Competing Interests</w:t>
      </w:r>
    </w:p>
    <w:p w14:paraId="5554968F" w14:textId="77777777" w:rsidR="00AE5DA4" w:rsidRDefault="00000000">
      <w:pPr>
        <w:spacing w:after="200" w:line="360" w:lineRule="auto"/>
      </w:pPr>
      <w:r w:rsidRPr="00E625AE">
        <w:rPr>
          <w:highlight w:val="yellow"/>
        </w:rPr>
        <w:t>The authors declare no competing interests.</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 END OF MANUSCRIPT —</w:t>
      </w:r>
    </w:p>
    <w:p w14:paraId="1EF11DA8" w14:textId="77777777" w:rsidR="00AE5DA4" w:rsidRDefault="00000000">
      <w:pPr>
        <w:spacing w:before="100"/>
        <w:jc w:val="center"/>
      </w:pPr>
      <w:r>
        <w:rPr>
          <w:rFonts w:ascii="Arial" w:eastAsia="Arial" w:hAnsi="Arial" w:cs="Arial"/>
          <w:i/>
          <w:iCs/>
          <w:color w:val="999999"/>
          <w:sz w:val="18"/>
          <w:szCs w:val="18"/>
        </w:rPr>
        <w:t>Version 3.0 | 25 January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77576" w14:textId="77777777" w:rsidR="007371D4" w:rsidRDefault="007371D4">
      <w:r>
        <w:separator/>
      </w:r>
    </w:p>
  </w:endnote>
  <w:endnote w:type="continuationSeparator" w:id="0">
    <w:p w14:paraId="27053038" w14:textId="77777777" w:rsidR="007371D4" w:rsidRDefault="00737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D20C6" w14:textId="77777777" w:rsidR="007371D4" w:rsidRDefault="007371D4">
      <w:r>
        <w:separator/>
      </w:r>
    </w:p>
  </w:footnote>
  <w:footnote w:type="continuationSeparator" w:id="0">
    <w:p w14:paraId="5E7763A7" w14:textId="77777777" w:rsidR="007371D4" w:rsidRDefault="00737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B32FF"/>
    <w:rsid w:val="000B3CC4"/>
    <w:rsid w:val="0012297A"/>
    <w:rsid w:val="00135D36"/>
    <w:rsid w:val="00182BBE"/>
    <w:rsid w:val="001968DD"/>
    <w:rsid w:val="001D2950"/>
    <w:rsid w:val="001E6046"/>
    <w:rsid w:val="002C70E7"/>
    <w:rsid w:val="002F4827"/>
    <w:rsid w:val="00341569"/>
    <w:rsid w:val="0035138D"/>
    <w:rsid w:val="0036710F"/>
    <w:rsid w:val="003A0F3B"/>
    <w:rsid w:val="003D0AEF"/>
    <w:rsid w:val="003F6871"/>
    <w:rsid w:val="004076F7"/>
    <w:rsid w:val="00432CE8"/>
    <w:rsid w:val="004920B8"/>
    <w:rsid w:val="004A1EBC"/>
    <w:rsid w:val="00534DB9"/>
    <w:rsid w:val="00563955"/>
    <w:rsid w:val="005965D9"/>
    <w:rsid w:val="005A25F0"/>
    <w:rsid w:val="005A77D6"/>
    <w:rsid w:val="0063242F"/>
    <w:rsid w:val="006436C6"/>
    <w:rsid w:val="00653560"/>
    <w:rsid w:val="00677B3C"/>
    <w:rsid w:val="00694E99"/>
    <w:rsid w:val="006A28A1"/>
    <w:rsid w:val="006B7E50"/>
    <w:rsid w:val="006C1114"/>
    <w:rsid w:val="006D40FC"/>
    <w:rsid w:val="006D5625"/>
    <w:rsid w:val="006E0F91"/>
    <w:rsid w:val="006E5BA0"/>
    <w:rsid w:val="006E6BAC"/>
    <w:rsid w:val="007371D4"/>
    <w:rsid w:val="007B1E32"/>
    <w:rsid w:val="007E536A"/>
    <w:rsid w:val="007E6232"/>
    <w:rsid w:val="00841DFF"/>
    <w:rsid w:val="008B37C6"/>
    <w:rsid w:val="009340F2"/>
    <w:rsid w:val="00942B28"/>
    <w:rsid w:val="0098329C"/>
    <w:rsid w:val="00A10F88"/>
    <w:rsid w:val="00A13B9E"/>
    <w:rsid w:val="00A37B48"/>
    <w:rsid w:val="00AD1363"/>
    <w:rsid w:val="00AE2BC4"/>
    <w:rsid w:val="00AE5DA4"/>
    <w:rsid w:val="00B46099"/>
    <w:rsid w:val="00B47764"/>
    <w:rsid w:val="00B52296"/>
    <w:rsid w:val="00B80B1B"/>
    <w:rsid w:val="00B95C9C"/>
    <w:rsid w:val="00C30EB2"/>
    <w:rsid w:val="00C83761"/>
    <w:rsid w:val="00CC465A"/>
    <w:rsid w:val="00D0390A"/>
    <w:rsid w:val="00D23D95"/>
    <w:rsid w:val="00D4405E"/>
    <w:rsid w:val="00DB6A7F"/>
    <w:rsid w:val="00DE247C"/>
    <w:rsid w:val="00DE2DFB"/>
    <w:rsid w:val="00E519D0"/>
    <w:rsid w:val="00E625AE"/>
    <w:rsid w:val="00F3037B"/>
    <w:rsid w:val="00F35B34"/>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sz w:val="28"/>
      <w:szCs w:val="28"/>
    </w:rPr>
  </w:style>
  <w:style w:type="paragraph" w:styleId="Heading2">
    <w:name w:val="heading 2"/>
    <w:uiPriority w:val="9"/>
    <w:unhideWhenUsed/>
    <w:qFormat/>
    <w:pPr>
      <w:spacing w:before="300" w:after="150"/>
      <w:outlineLvl w:val="1"/>
    </w:pPr>
    <w:rPr>
      <w:rFonts w:ascii="Arial" w:eastAsia="Arial" w:hAnsi="Arial" w:cs="Arial"/>
      <w:b/>
      <w:bCs/>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29</Pages>
  <Words>17762</Words>
  <Characters>101249</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13</cp:revision>
  <dcterms:created xsi:type="dcterms:W3CDTF">2026-01-31T07:49:00Z</dcterms:created>
  <dcterms:modified xsi:type="dcterms:W3CDTF">2026-02-01T10:14:00Z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id="YbntYiQU"/&gt;&lt;style id="http://www.zotero.org/styles/nature" hasBibliography="1" bibliographyStyleHasBeenSet="0"/&gt;&lt;prefs&gt;&lt;pref name="fieldType" value="Field"/&gt;&lt;/prefs&gt;&lt;/data&gt;</vt:lpwstr>
  </property>
</Properties>
</file>