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Pr>
          <w:vertAlign w:val="superscript"/>
        </w:rPr>
        <w:t>1,2,3*</w:t>
      </w:r>
      <w:r>
        <w:t>, Maxim B. Freidin</w:t>
      </w:r>
      <w:r>
        <w:rPr>
          <w:vertAlign w:val="superscript"/>
        </w:rPr>
        <w:t>4</w:t>
      </w:r>
      <w:r>
        <w:t>, Julio Valdivia-Silva</w:t>
      </w:r>
      <w:r>
        <w:rPr>
          <w:vertAlign w:val="superscript"/>
        </w:rPr>
        <w:t>5</w:t>
      </w:r>
      <w:r>
        <w:t>, Simeon Baker</w:t>
      </w:r>
      <w:r>
        <w:rPr>
          <w:vertAlign w:val="superscript"/>
        </w:rPr>
        <w:t>3,6</w:t>
      </w:r>
      <w:r>
        <w:t>, Segun Fatumo</w:t>
      </w:r>
      <w:r>
        <w:rPr>
          <w:vertAlign w:val="superscript"/>
        </w:rPr>
        <w:t>7,8</w:t>
      </w:r>
      <w:r>
        <w:t>, Heinner Guio</w:t>
      </w:r>
      <w:r>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Pr>
          <w:lang w:val="es-ES"/>
        </w:rPr>
        <w:t>⁵ Universidad de Ingeniería y Tecnología (UTEC), Lima, Peru</w:t>
      </w:r>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⁸ Queen Mary University of London,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t>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semantic isolation is 44% greater for neglected tropical diseases than for other conditions (P &lt; 0.0001, Cohen's d = 1.80). Using the Health Equity Informative Metrics (HEIM) framework, we analysed 70 biobanks, ~0.6 million clinical trials, and 13.1 million PubMed articles spanning 175 diseases. Only 1 of 70 biobanks produces research proportionate to global disease burden. The ten most neglected diseases are exclusively conditions of the Global South, facing disadvantage at every stage. Our results suggest that research inequity is not merely a funding problem but a structural feature of the biomedical enterprise, with quantifiable targets for intervention.</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 xml:space="preserve">Lymphatic filariasis affects 120 million people worldwide </w:t>
      </w:r>
      <w:r>
        <w:fldChar w:fldCharType="begin"/>
      </w:r>
      <w:r>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fldChar w:fldCharType="separate"/>
      </w:r>
      <w:r>
        <w:rPr>
          <w:vertAlign w:val="superscript"/>
        </w:rPr>
        <w:t>1</w:t>
      </w:r>
      <w:r>
        <w:fldChar w:fldCharType="end"/>
      </w:r>
      <w:r>
        <w:t xml:space="preserve">, causing debilitating swelling that traps individuals in cycles of poverty and stigma. Yet across 70 major international biobanks </w:t>
      </w:r>
      <w:r>
        <w:fldChar w:fldCharType="begin"/>
      </w:r>
      <w:r>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we found no publications, genomic studies or translational research pipelines for this debilitating disease. We contend this is not an isolated failure, and that it reflects a systematic pattern of exclusion embedded in the architecture of biomedical research itself.</w:t>
      </w:r>
    </w:p>
    <w:p w14:paraId="02E1621D" w14:textId="3FB3CD0D" w:rsidR="00AE5DA4" w:rsidRDefault="00341569">
      <w:pPr>
        <w:spacing w:after="200" w:line="360" w:lineRule="auto"/>
      </w:pPr>
      <w:r>
        <w:t xml:space="preserve">While more than 80% of premature deaths from noncommunicable diseases occur in low- and middle-income countries </w:t>
      </w:r>
      <w:r>
        <w:fldChar w:fldCharType="begin"/>
      </w:r>
      <w:r>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fldChar w:fldCharType="separate"/>
      </w:r>
      <w:r>
        <w:rPr>
          <w:vertAlign w:val="superscript"/>
        </w:rPr>
        <w:t>3</w:t>
      </w:r>
      <w:r>
        <w:fldChar w:fldCharType="end"/>
      </w:r>
      <w:r>
        <w:t xml:space="preserve">, </w:t>
      </w:r>
      <w:bookmarkStart w:id="0" w:name="_Hlk220421169"/>
      <w:r>
        <w:t>the biomedical research enterprise remains overwhelmingly oriented toward conditions prevalent in wealthy nations</w:t>
      </w:r>
      <w:bookmarkEnd w:id="0"/>
      <w:r>
        <w:t xml:space="preserve"> </w:t>
      </w:r>
      <w:r>
        <w:fldChar w:fldCharType="begin"/>
      </w:r>
      <w:r>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This persistent structural exclusion, where the </w:t>
      </w:r>
      <w:bookmarkStart w:id="1" w:name="_Hlk220421320"/>
      <w:r>
        <w:t>diseases of poverty remain invisible to the research infrastructure that could address them</w:t>
      </w:r>
      <w:bookmarkEnd w:id="1"/>
      <w:r>
        <w:t xml:space="preserve"> </w:t>
      </w:r>
      <w:r>
        <w:fldChar w:fldCharType="begin"/>
      </w:r>
      <w:r>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fldChar w:fldCharType="separate"/>
      </w:r>
      <w:r>
        <w:rPr>
          <w:vertAlign w:val="superscript"/>
        </w:rPr>
        <w:t>5</w:t>
      </w:r>
      <w:r>
        <w:fldChar w:fldCharType="end"/>
      </w:r>
      <w:r>
        <w:t xml:space="preserve">, has continued for decades despite sustained advocacy and targeted funding initiatives. </w:t>
      </w:r>
      <w:bookmarkStart w:id="2" w:name="_Hlk220421407"/>
      <w:r>
        <w:t>Health outcome inequities are extensively documented</w:t>
      </w:r>
      <w:bookmarkEnd w:id="2"/>
      <w:r>
        <w:t xml:space="preserve"> </w:t>
      </w:r>
      <w:r>
        <w:fldChar w:fldCharType="begin"/>
      </w:r>
      <w:r>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fldChar w:fldCharType="separate"/>
      </w:r>
      <w:r>
        <w:rPr>
          <w:vertAlign w:val="superscript"/>
        </w:rPr>
        <w:t>6</w:t>
      </w:r>
      <w:r>
        <w:fldChar w:fldCharType="end"/>
      </w:r>
      <w:r>
        <w:t xml:space="preserve">, </w:t>
      </w:r>
      <w:bookmarkStart w:id="3" w:name="_Hlk220421478"/>
      <w:r>
        <w:t>but the structural biases embedded within research infrastructure itself remain poorly characterised and inadequately measured</w:t>
      </w:r>
      <w:bookmarkEnd w:id="3"/>
      <w:r>
        <w:t xml:space="preserve"> </w:t>
      </w:r>
      <w:r>
        <w:fldChar w:fldCharType="begin"/>
      </w:r>
      <w:r>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fldChar w:fldCharType="separate"/>
      </w:r>
      <w:r>
        <w:rPr>
          <w:vertAlign w:val="superscript"/>
        </w:rPr>
        <w:t>7</w:t>
      </w:r>
      <w:r>
        <w:fldChar w:fldCharType="end"/>
      </w:r>
      <w:r>
        <w:t xml:space="preserve">. Critically, the </w:t>
      </w:r>
      <w:bookmarkStart w:id="4" w:name="_Hlk220421613"/>
      <w:r>
        <w:t xml:space="preserve">HIV/AIDS experience demonstrates that sustained investment can fundamentally reverse structural marginalisation: a disease once neglected from mainstream biomedicine is now deeply integrated into immunology, virology, and global health </w:t>
      </w:r>
      <w:bookmarkEnd w:id="4"/>
      <w:r>
        <w:fldChar w:fldCharType="begin"/>
      </w:r>
      <w:r>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analysed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analyse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fldChar w:fldCharType="separate"/>
      </w:r>
      <w:r>
        <w:rPr>
          <w:vertAlign w:val="superscript"/>
        </w:rPr>
        <w:t>8–10</w:t>
      </w:r>
      <w:r>
        <w:fldChar w:fldCharType="end"/>
      </w:r>
      <w:r>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t xml:space="preserve"> </w:t>
      </w:r>
      <w:r>
        <w:fldChar w:fldCharType="begin"/>
      </w:r>
      <w:r>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fldChar w:fldCharType="separate"/>
      </w:r>
      <w:r>
        <w:rPr>
          <w:vertAlign w:val="superscript"/>
        </w:rPr>
        <w:t>11</w:t>
      </w:r>
      <w:r>
        <w:fldChar w:fldCharType="end"/>
      </w:r>
      <w:r>
        <w:t xml:space="preserve">. At the discovery stage, </w:t>
      </w:r>
      <w:bookmarkStart w:id="6" w:name="_Hlk220421860"/>
      <w:r>
        <w:t xml:space="preserve">biobanks and cohort studies generate foundational data for genomic medicine, yet these resources concentrate overwhelmingly in high-income countries and predominantly European-ancestry populations </w:t>
      </w:r>
      <w:bookmarkEnd w:id="6"/>
      <w:r>
        <w:fldChar w:fldCharType="begin"/>
      </w:r>
      <w:r>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standardised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characterise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fldChar w:fldCharType="separate"/>
      </w:r>
      <w:r>
        <w:rPr>
          <w:vertAlign w:val="superscript"/>
        </w:rPr>
        <w:t>12–14</w:t>
      </w:r>
      <w:r>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t xml:space="preserve"> </w:t>
      </w:r>
      <w:r>
        <w:fldChar w:fldCharType="begin"/>
      </w:r>
      <w:r>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At the knowledge stage, although bibliometric and semantics</w:t>
      </w:r>
      <w:r>
        <w:noBreakHyphen/>
        <w:t xml:space="preserve">enabled literature analysis methods exist, they have rarely been used to assess whether specific diseases occupy marginalised positions within the semantic landscape of published science </w:t>
      </w:r>
      <w:r>
        <w:fldChar w:fldCharType="begin"/>
      </w:r>
      <w:r>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analysed to identify research gaps and to prioritise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standardised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fldChar w:fldCharType="separate"/>
      </w:r>
      <w:r>
        <w:rPr>
          <w:vertAlign w:val="superscript"/>
        </w:rPr>
        <w:t>16</w:t>
      </w:r>
      <w:r>
        <w:fldChar w:fldCharType="end"/>
      </w:r>
      <w:r>
        <w:t>.</w:t>
      </w:r>
    </w:p>
    <w:p w14:paraId="3C626944" w14:textId="5434E4E2" w:rsidR="00AE5DA4" w:rsidRDefault="00000000">
      <w:pPr>
        <w:spacing w:after="200" w:line="360" w:lineRule="auto"/>
      </w:pPr>
      <w:r>
        <w:t xml:space="preserve">Previous efforts to quantify research equity have focused on single dimensions: publication counts relative to disease burden </w:t>
      </w:r>
      <w:r>
        <w:fldChar w:fldCharType="begin"/>
      </w:r>
      <w:r>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clinical trial registration by geography </w:t>
      </w:r>
      <w:r>
        <w:fldChar w:fldCharType="begin"/>
      </w:r>
      <w:r>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xml:space="preserve">, or funding allocation across disease categories </w:t>
      </w:r>
      <w:r>
        <w:fldChar w:fldCharType="begin"/>
      </w:r>
      <w:r>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fldChar w:fldCharType="separate"/>
      </w:r>
      <w:r>
        <w:rPr>
          <w:vertAlign w:val="superscript"/>
        </w:rPr>
        <w:t>17</w:t>
      </w:r>
      <w:r>
        <w:fldChar w:fldCharType="end"/>
      </w:r>
      <w:r>
        <w:t>. While valuable, existing single</w:t>
      </w:r>
      <w:r>
        <w:noBreakHyphen/>
        <w:t>dimension metrics cannot capture </w:t>
      </w:r>
      <w:r>
        <w:rPr>
          <w:i/>
          <w:iCs/>
        </w:rPr>
        <w:t>compounding disadvantage</w:t>
      </w:r>
      <w:r>
        <w:t>, whereby diseases that are neglected in publication and early</w:t>
      </w:r>
      <w:r>
        <w:noBreakHyphen/>
        <w:t xml:space="preserve">stage research then encounter systematic barriers in downstream product development and </w:t>
      </w:r>
      <w:r>
        <w:lastRenderedPageBreak/>
        <w:t xml:space="preserve">implementation </w:t>
      </w:r>
      <w:r>
        <w:fldChar w:fldCharType="begin"/>
      </w:r>
      <w:r>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fldChar w:fldCharType="separate"/>
      </w:r>
      <w:r>
        <w:rPr>
          <w:vertAlign w:val="superscript"/>
        </w:rPr>
        <w:t>4,18</w:t>
      </w:r>
      <w:r>
        <w:fldChar w:fldCharType="end"/>
      </w:r>
      <w:r>
        <w:t xml:space="preserve">. A disease absent from major biobanks is unlikely to benefit from large-scale genomic discoveries, tends to attract fewer clinical trials and a smaller, more fragmented literature base, and thus risks remaining neglected over time </w:t>
      </w:r>
      <w:r>
        <w:fldChar w:fldCharType="begin"/>
      </w:r>
      <w:r>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standardised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fldChar w:fldCharType="separate"/>
      </w:r>
      <w:r>
        <w:rPr>
          <w:vertAlign w:val="superscript"/>
        </w:rPr>
        <w:t>19–21</w:t>
      </w:r>
      <w:r>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Pr>
          <w:b/>
          <w:bCs/>
        </w:rPr>
        <w:t>Fig. 1</w:t>
      </w:r>
      <w:r>
        <w:t xml:space="preserve">), a three-dimensional analysis of biomedical research equity encompassing Discovery (biobank research output), Translation (clinical trial data), and Knowledge (semantic structure of scientific literature). We analysed 70 biobanks from the International Health Cohorts Consortium across 29 countries </w:t>
      </w:r>
      <w:r>
        <w:fldChar w:fldCharType="begin"/>
      </w:r>
      <w:r>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xml:space="preserve">, 563,725 registered clinical trials </w:t>
      </w:r>
      <w:r>
        <w:fldChar w:fldCharType="begin"/>
      </w:r>
      <w:r>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fldChar w:fldCharType="separate"/>
      </w:r>
      <w:r>
        <w:rPr>
          <w:vertAlign w:val="superscript"/>
        </w:rPr>
        <w:t>22</w:t>
      </w:r>
      <w:r>
        <w:fldChar w:fldCharType="end"/>
      </w:r>
      <w:r>
        <w:t xml:space="preserve">, and 13.1 million PubMed abstracts spanning 26 years (2000-2025). </w:t>
      </w:r>
      <w:bookmarkStart w:id="8" w:name="_Hlk220424274"/>
      <w:r>
        <w:t xml:space="preserve">Using the Global Burden of Disease 2021 taxonomy as a common ontology </w:t>
      </w:r>
      <w:bookmarkEnd w:id="8"/>
      <w:r>
        <w:fldChar w:fldCharType="begin"/>
      </w:r>
      <w:r>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fldChar w:fldCharType="separate"/>
      </w:r>
      <w:r>
        <w:rPr>
          <w:vertAlign w:val="superscript"/>
        </w:rPr>
        <w:t>23</w:t>
      </w:r>
      <w:r>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isolated positions in the semantic landscape of biomedical research? (4) Which diseases show compounding disadvantage across all three dimensions, and what characterises them? The answers reveal systematic structural barriers that perpetuate health inequity, and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Pr>
          <w:b/>
          <w:bCs/>
        </w:rPr>
        <w:t>Fig. 2a</w:t>
      </w:r>
      <w:r>
        <w:t>). These cohorts have collectively generated 38,595 disease-specific publications indexed in PubMed (Methods).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fldChar w:fldCharType="begin"/>
      </w:r>
      <w:r>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fldChar w:fldCharType="separate"/>
      </w:r>
      <w:r>
        <w:rPr>
          <w:vertAlign w:val="superscript"/>
        </w:rPr>
        <w:t>24</w:t>
      </w:r>
      <w:r>
        <w:fldChar w:fldCharType="end"/>
      </w:r>
      <w:r>
        <w:t xml:space="preserve"> achieved "High" equity alignment (EAS = 84.6), defined as EAS ≥ 60 (</w:t>
      </w:r>
      <w:r>
        <w:rPr>
          <w:b/>
          <w:bCs/>
        </w:rPr>
        <w:t>Fig. 2b</w:t>
      </w:r>
      <w:r>
        <w:t xml:space="preserve">). Thirteen biobanks showed "Moderate" alignment (EAS 40-60), including </w:t>
      </w:r>
      <w:bookmarkStart w:id="11" w:name="_Hlk220424478"/>
      <w:r>
        <w:t xml:space="preserve">Nurses' Health Study </w:t>
      </w:r>
      <w:bookmarkEnd w:id="11"/>
      <w:r>
        <w:t xml:space="preserve">(55.2) </w:t>
      </w:r>
      <w:r>
        <w:fldChar w:fldCharType="begin"/>
      </w:r>
      <w:r>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fldChar w:fldCharType="separate"/>
      </w:r>
      <w:r>
        <w:rPr>
          <w:vertAlign w:val="superscript"/>
        </w:rPr>
        <w:t>25</w:t>
      </w:r>
      <w:r>
        <w:fldChar w:fldCharType="end"/>
      </w:r>
      <w:r>
        <w:t xml:space="preserve">, Women's Health Initiative (53.4) </w:t>
      </w:r>
      <w:r>
        <w:fldChar w:fldCharType="begin"/>
      </w:r>
      <w:r>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fldChar w:fldCharType="separate"/>
      </w:r>
      <w:r>
        <w:rPr>
          <w:vertAlign w:val="superscript"/>
        </w:rPr>
        <w:t>26</w:t>
      </w:r>
      <w:r>
        <w:fldChar w:fldCharType="end"/>
      </w:r>
      <w:r>
        <w:t xml:space="preserve">, and </w:t>
      </w:r>
      <w:bookmarkStart w:id="12" w:name="_Hlk220424745"/>
      <w:r>
        <w:t xml:space="preserve">Estonian Biobank </w:t>
      </w:r>
      <w:bookmarkEnd w:id="12"/>
      <w:r>
        <w:t xml:space="preserve">(49.2) </w:t>
      </w:r>
      <w:r>
        <w:fldChar w:fldCharType="begin"/>
      </w:r>
      <w:r>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standardised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fldChar w:fldCharType="separate"/>
      </w:r>
      <w:r>
        <w:rPr>
          <w:vertAlign w:val="superscript"/>
        </w:rPr>
        <w:t>27</w:t>
      </w:r>
      <w:r>
        <w:fldChar w:fldCharType="end"/>
      </w:r>
      <w:r>
        <w:t>. The remaining 56 biobanks (80%) demonstrated "Low" alignment (EAS &lt; 40), indicating substantial misalignment between their research portfolios and global health priorities.</w:t>
      </w:r>
    </w:p>
    <w:p w14:paraId="28D290D0" w14:textId="71371359"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t xml:space="preserve"> </w:t>
      </w:r>
      <w:r>
        <w:fldChar w:fldCharType="begin"/>
      </w:r>
      <w:r>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analysed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fldChar w:fldCharType="separate"/>
      </w:r>
      <w:r>
        <w:rPr>
          <w:vertAlign w:val="superscript"/>
        </w:rPr>
        <w:t>28</w:t>
      </w:r>
      <w:r>
        <w:fldChar w:fldCharType="end"/>
      </w:r>
      <w:r>
        <w:t>: a 34-fold disparity between research output and disease burden. High-income country biobanks generated 93.5% of all publications, while biobanks in Global South countries contributed just 6.5% (</w:t>
      </w:r>
      <w:r>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share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Notably, diseases such as malaria and schistosomiasis have substantial absolute research volume in the wider literature; their high Gap Scores reflect not an absence of research but a structural disconnect from major biobank cohorts, which have not incorporated these conditions into their research portfolios despite decades of dedicated study outside the biobank context. An additional 26 diseases showed "High" gaps (Gap Score 70–89), and 47 showed "Moderate" gaps (Gap Score 50–69).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 xml:space="preserve">We examined 89 disease categories with sufficient trial data for geographic analysis. For the 30 diseases predominantly affecting the Global South (identified through GBD burden distributions) 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61657C4" w:rsidR="00AE5DA4" w:rsidRDefault="00000000">
      <w:pPr>
        <w:spacing w:after="200" w:line="360" w:lineRule="auto"/>
      </w:pPr>
      <w:r>
        <w:t xml:space="preserve">Neglected tropical diseases (NTDs) showed the most severe underrepresentation. For lymphatic filariasis (1.3 million DALYs), only 89 trials were registered globally, 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t xml:space="preserve"> </w:t>
      </w:r>
      <w:r>
        <w:fldChar w:fldCharType="begin"/>
      </w:r>
      <w:r>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fldChar w:fldCharType="separate"/>
      </w:r>
      <w:r>
        <w:rPr>
          <w:vertAlign w:val="superscript"/>
        </w:rPr>
        <w:t>29</w:t>
      </w:r>
      <w:r>
        <w:fldChar w:fldCharType="end"/>
      </w:r>
      <w:r>
        <w:t xml:space="preserve">) had 156 trials; cysticercosis (2.8 million DALYs </w:t>
      </w:r>
      <w:r>
        <w:fldChar w:fldCharType="begin"/>
      </w:r>
      <w:r>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fldChar w:fldCharType="separate"/>
      </w:r>
      <w:r>
        <w:rPr>
          <w:vertAlign w:val="superscript"/>
        </w:rPr>
        <w:t>30</w:t>
      </w:r>
      <w:r>
        <w:fldChar w:fldCharType="end"/>
      </w:r>
      <w:r>
        <w:t xml:space="preserve">) had 47 trials. By contrast, ischemic heart disease (182.0 million DALYs </w:t>
      </w:r>
      <w:r>
        <w:fldChar w:fldCharType="begin"/>
      </w:r>
      <w:r>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age-standardised rates per 100 000 population. In 2019, IHD accounted for 197.2 million (177.7-219.5) prevalent cases, 9.1 million (8.4-9.7) deaths, and 182.0 million (170.2-193.5) DALYs worldwide. There were decreases in the global age-standardised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age-standardised DALY rates and SDI. Globally, high systolic blood pressure (54.6%), high low-density lipoprotein cholesterol (46.6%), and smoking (23.9%) were the three largest contributors to the DALYs attributable to IHD.\nCONCLUSION: Although the global age-standardised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fldChar w:fldCharType="separate"/>
      </w:r>
      <w:r>
        <w:rPr>
          <w:vertAlign w:val="superscript"/>
        </w:rPr>
        <w:t>31</w:t>
      </w:r>
      <w:r>
        <w:fldChar w:fldCharType="end"/>
      </w:r>
      <w:r>
        <w:t>) had 38,441 trials, , representing approximately 211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07A53D4A"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extended abstracts spanning 175 GBD disease categories (2000-2025). Using </w:t>
      </w:r>
      <w:bookmarkStart w:id="15" w:name="_Hlk220853549"/>
      <w:r>
        <w:t xml:space="preserve">PubMedBERT </w:t>
      </w:r>
      <w:bookmarkEnd w:id="15"/>
      <w:r>
        <w:fldChar w:fldCharType="begin"/>
      </w:r>
      <w:r>
        <w:instrText xml:space="preserve"> ADDIN ZOTERO_ITEM CSL_CITATION {"citationID":"ga1qWenl","properties":{"unsorted":false,"formattedCitation":"\\super 32\\nosupersub{}","plainCitation":"32","noteIndex":0},"citationItems":[{"id":1072,"uris":["http://zotero.org/users/16405780/items/JA4LQLZW"],"itemData":{"id":1072,"type":"article-journal","abstract":"Pretraining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r>
      <w:r>
        <w:fldChar w:fldCharType="separate"/>
      </w:r>
      <w:r>
        <w:rPr>
          <w:vertAlign w:val="superscript"/>
        </w:rPr>
        <w:t>32</w:t>
      </w:r>
      <w:r>
        <w:fldChar w:fldCharType="end"/>
      </w:r>
      <w:r>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lastRenderedPageBreak/>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large effect size (Cohen's d = 1.80, exceeding the threshold typically considered "large" by more than twofold; </w:t>
      </w:r>
      <w:r>
        <w:rPr>
          <w:b/>
          <w:bCs/>
        </w:rPr>
        <w:t>Fig. 4a</w:t>
      </w:r>
      <w:r>
        <w:t>). This isolation was visually apparent in UMAP projections of the disease semantic space, where NTDs formed a distinct cluster separated from cardiovascular, oncological, and neurological research (</w:t>
      </w:r>
      <w:r>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451D5ABA" w14:textId="77777777" w:rsidR="001B4D20" w:rsidRDefault="001B4D20" w:rsidP="001B4D20">
      <w:pPr>
        <w:spacing w:after="200" w:line="360" w:lineRule="auto"/>
      </w:pPr>
      <w:r>
        <w:lastRenderedPageBreak/>
        <w:t>The semantic structure analysis (</w:t>
      </w:r>
      <w:r>
        <w:rPr>
          <w:b/>
          <w:bCs/>
        </w:rPr>
        <w:t>Fig. 5</w:t>
      </w:r>
      <w:r>
        <w:t>) revealed systematic patterns across disease categories. NTDs exhibited higher isolation across all metrics (</w:t>
      </w:r>
      <w:r>
        <w:rPr>
          <w:b/>
          <w:bCs/>
        </w:rPr>
        <w:t>Fig. 5a</w:t>
      </w:r>
      <w:r>
        <w:t>), with the top 20 most isolated diseases dominated by Global South conditions (</w:t>
      </w:r>
      <w:r>
        <w:rPr>
          <w:b/>
          <w:bCs/>
        </w:rPr>
        <w:t>Fig. 5b</w:t>
      </w:r>
      <w:r>
        <w:t>). Critically, isolation was not simply a function of research volume: diseases with fewer publications were not uniformly isolated, suggesting that semantic positioning reflects structural factors beyond publication count (</w:t>
      </w:r>
      <w:r>
        <w:rPr>
          <w:b/>
          <w:bCs/>
        </w:rPr>
        <w:t>Fig. 5c</w:t>
      </w:r>
      <w:r>
        <w:t>). The NTD versus non-NTD comparison demonstrated clear distributional separation (</w:t>
      </w:r>
      <w:r>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lastRenderedPageBreak/>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 xml:space="preserve">Semantic isolation correlated significantly with Discovery dimension Gap Scores (Pearson's r = 0.67, P &lt; 0.001; </w:t>
      </w:r>
      <w:r>
        <w:rPr>
          <w:b/>
          <w:bCs/>
        </w:rPr>
        <w:t>Extended Data Fig. 2</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163CCEA5" w:rsidR="001B4D20" w:rsidRDefault="001B4D20" w:rsidP="001B4D20">
      <w:pPr>
        <w:spacing w:after="200" w:line="360" w:lineRule="auto"/>
      </w:pPr>
      <w:r>
        <w:t xml:space="preserve">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w:t>
      </w:r>
      <w:r>
        <w:fldChar w:fldCharType="begin"/>
      </w:r>
      <w:r>
        <w:instrText xml:space="preserve"> ADDIN ZOTERO_ITEM CSL_CITATION {"citationID":"H6pJ7Td7","properties":{"unsorted":false,"formattedCitation":"\\super 33\\nosupersub{}","plainCitation":"33","noteIndex":0},"citationItems":[{"id":1076,"uris":["http://zotero.org/users/16405780/items/Z8QEXLHI"],"itemData":{"id":1076,"type":"article-journal","abstract":"While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r>
      <w:r>
        <w:fldChar w:fldCharType="separate"/>
      </w:r>
      <w:r>
        <w:rPr>
          <w:vertAlign w:val="superscript"/>
        </w:rPr>
        <w:t>33</w:t>
      </w:r>
      <w:r>
        <w:fldChar w:fldCharType="end"/>
      </w:r>
      <w:r>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 xml:space="preserve">To identify diseases experiencing systematic neglect across all dimensions, we computed a Unified Neglect Score integrating Discovery (Gap Score), Translation (clinical trial equity), and </w:t>
      </w:r>
      <w:r>
        <w:lastRenderedPageBreak/>
        <w:t>Knowledge (Semantic Isolation Index) with equal weighting (33%/33%/34%; see Methods). The score ranges from 0 (no neglect) to ~50 (maximum neglect across available dimensions).</w:t>
      </w:r>
    </w:p>
    <w:p w14:paraId="371C3A89" w14:textId="77777777" w:rsidR="005117FA" w:rsidRDefault="001B4D20" w:rsidP="005117FA">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lastRenderedPageBreak/>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t xml:space="preserve">All ten diseases in </w:t>
      </w:r>
      <w:r>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r>
              <w:rPr>
                <w:sz w:val="20"/>
                <w:szCs w:val="20"/>
                <w:lang w:val="es-ES"/>
              </w:rPr>
              <w:t>Latin America, Sub-Saharan Africa</w:t>
            </w:r>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Pr>
                <w:sz w:val="20"/>
                <w:szCs w:val="20"/>
                <w:lang w:val="es-ES"/>
              </w:rPr>
              <w:t>Sub-Saharan Africa, South America</w:t>
            </w:r>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 xml:space="preserve">By contrast, the ten diseases with lowest Unified Scores (greatest research equity) included ischemic heart disease (0.1), breast cancer (0.8), type 2 diabetes (1.2), lung cancer (1.4), and Alzheimer's disease (2.1). These are all conditions with substantial burden in high-income </w:t>
      </w:r>
      <w:r>
        <w:lastRenderedPageBreak/>
        <w:t>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(2000-2025) using five-year rolling windows. Three findings emerged (</w:t>
      </w:r>
      <w:r>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49F427B6" w14:textId="77777777" w:rsidR="001B4D20" w:rsidRDefault="001B4D20" w:rsidP="001B4D20">
      <w:pPr>
        <w:spacing w:after="200" w:line="360" w:lineRule="auto"/>
      </w:pPr>
      <w:r>
        <w:t>Second, clinical trial site distribution showed no significant trend toward geographic equity. The HIC:LMIC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The finding that neglected tropical diseases exhibit 44% higher semantic isolation than other conditions has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Wellcome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could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the majority of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5D78499E" w14:textId="4B520918" w:rsidR="001B4D20"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this bias likely underestimates research activity in the Global South, meaning our findings may be conservative. </w:t>
      </w:r>
      <w:bookmarkStart w:id="16" w:name="_Hlk220867752"/>
      <w:r>
        <w:t>Third, clinical trial registration completeness varies by country and has improved over time, particularly following the ICMJE requirement (2005)</w:t>
      </w:r>
      <w:bookmarkEnd w:id="16"/>
      <w:r>
        <w:t xml:space="preserve"> </w:t>
      </w:r>
      <w:r>
        <w:fldChar w:fldCharType="begin"/>
      </w:r>
      <w:r>
        <w:instrText xml:space="preserve"> ADDIN ZOTERO_ITEM CSL_CITATION {"citationID":"KAuRzwcV","properties":{"unsorted":false,"formattedCitation":"\\super 34\\nosupersub{}","plainCitation":"34","noteIndex":0},"citationItems":[{"id":1079,"uris":["http://zotero.org/users/16405780/items/5KKLLEEA"],"itemData":{"id":1079,"type":"article-journal","abstract":"Objectives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r>
      <w:r>
        <w:fldChar w:fldCharType="separate"/>
      </w:r>
      <w:r>
        <w:rPr>
          <w:vertAlign w:val="superscript"/>
        </w:rPr>
        <w:t>34</w:t>
      </w:r>
      <w:r>
        <w:fldChar w:fldCharType="end"/>
      </w:r>
      <w:r>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Pr>
          <w:b/>
          <w:bCs/>
        </w:rPr>
        <w:t>Extended Data Fig. 4</w:t>
      </w:r>
      <w:r>
        <w:t xml:space="preserve">) suggest our conclusions are robust (Spearman’s ρ &gt; 0.96 across schemes). Sixth, the composite scoring formulae (Burden Score, Gap Score, EAS, and Unified Neglect Score) use coefficients selected through iterative calibration and heuristic normalisation rather than empirically optimised weights. Whilst sensitivity analyses demonstrate that rankings are robust to ±20% coefficient </w:t>
      </w:r>
      <w:r>
        <w:lastRenderedPageBreak/>
        <w:t>variation, alternative formulations could yield different absolute scores. We provide all scoring code and data in the accompanying repository to enable replication with user-specified weights, and the interactive dashboard allows real-time exploration of alternative weighting schemes. Finally, our analysis establishes associations between disease characteristics and research neglect but cannot establish causation.</w:t>
      </w:r>
    </w:p>
    <w:p w14:paraId="4C189A7E" w14:textId="77777777" w:rsidR="00AA4FB5" w:rsidRDefault="00AA4FB5" w:rsidP="001B4D20">
      <w:pPr>
        <w:spacing w:after="200" w:line="360" w:lineRule="auto"/>
      </w:pPr>
    </w:p>
    <w:p w14:paraId="6AAD118E" w14:textId="77777777" w:rsidR="001B4D20" w:rsidRDefault="001B4D20" w:rsidP="001B4D20">
      <w:pPr>
        <w:pStyle w:val="Heading3"/>
      </w:pPr>
      <w:r>
        <w:t>Future Directions</w:t>
      </w:r>
    </w:p>
    <w:p w14:paraId="0C8768A7" w14:textId="1676DF17"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r>
      <w:r>
        <w:fldChar w:fldCharType="begin"/>
      </w:r>
      <w:r>
        <w:instrText xml:space="preserve"> ADDIN ZOTERO_ITEM CSL_CITATION {"citationID":"Ie6ATYtW","properties":{"unsorted":false,"formattedCitation":"\\super 35\\nosupersub{}","plainCitation":"35","noteIndex":0},"citationItems":[{"id":1082,"uris":["http://zotero.org/users/16405780/items/LM8MY9QF"],"itemData":{"id":1082,"type":"webpage","title":"RePORT </w:instrText>
      </w:r>
      <w:r>
        <w:rPr>
          <w:rFonts w:ascii="Cambria Math" w:hAnsi="Cambria Math" w:cs="Cambria Math"/>
        </w:rPr>
        <w:instrText>⟩</w:instrText>
      </w:r>
      <w:r>
        <w:instrText xml:space="preserve"> RePORTER","URL":"https://reporter.nih.gov/","accessed":{"date-parts":[["2026",2,1]]}}}],"schema":"https://github.com/citation-style-language/schema/raw/master/csl-citation.json"} </w:instrText>
      </w:r>
      <w:r>
        <w:fldChar w:fldCharType="separate"/>
      </w:r>
      <w:r>
        <w:rPr>
          <w:vertAlign w:val="superscript"/>
        </w:rPr>
        <w:t>35</w:t>
      </w:r>
      <w:r>
        <w:fldChar w:fldCharType="end"/>
      </w:r>
      <w:r>
        <w:t xml:space="preserve">, Dimensions </w:t>
      </w:r>
      <w:r>
        <w:fldChar w:fldCharType="begin"/>
      </w:r>
      <w:r>
        <w:instrText xml:space="preserve"> ADDIN ZOTERO_ITEM CSL_CITATION {"citationID":"JWDg8Bdn","properties":{"unsorted":false,"formattedCitation":"\\super 36\\nosupersub{}","plainCitation":"36","noteIndex":0},"citationItems":[{"id":1084,"uris":["http://zotero.org/users/16405780/items/YAEYI4TQ"],"itemData":{"id":1084,"type":"webpage","abstract":"Dimensions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r>
      <w:r>
        <w:fldChar w:fldCharType="separate"/>
      </w:r>
      <w:r>
        <w:rPr>
          <w:vertAlign w:val="superscript"/>
        </w:rPr>
        <w:t>36</w:t>
      </w:r>
      <w:r>
        <w:fldChar w:fldCharType="end"/>
      </w:r>
      <w:r>
        <w:t xml:space="preserve">, OpenAlex </w:t>
      </w:r>
      <w:r>
        <w:fldChar w:fldCharType="begin"/>
      </w:r>
      <w:r>
        <w:instrText xml:space="preserve"> ADDIN ZOTERO_ITEM CSL_CITATION {"citationID":"oQidRpF0","properties":{"unsorted":false,"formattedCitation":"\\super 37\\nosupersub{}","plainCitation":"37","noteIndex":0},"citationItems":[{"id":1087,"uris":["http://zotero.org/users/16405780/items/86EMLECI"],"itemData":{"id":1087,"type":"article","abstract":"OpenAlex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r>
      <w:r>
        <w:fldChar w:fldCharType="separate"/>
      </w:r>
      <w:r>
        <w:rPr>
          <w:vertAlign w:val="superscript"/>
        </w:rPr>
        <w:t>37</w:t>
      </w:r>
      <w:r>
        <w:fldChar w:fldCharType="end"/>
      </w:r>
      <w:r>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Pr>
          <w:b/>
          <w:bCs/>
        </w:rPr>
        <w:t xml:space="preserve">The interactive HEIM dashboard (https://manuelcorpas.github.io/17-EHR/) </w:t>
      </w:r>
      <w:r>
        <w:t>enables monitoring of research equity, transforming abstract commitments into measurable accountability.</w:t>
      </w:r>
    </w:p>
    <w:p w14:paraId="4AFFFE81" w14:textId="06C18BB6" w:rsidR="00AE5DA4" w:rsidRDefault="001B4D20" w:rsidP="00AA2FBE">
      <w:r>
        <w:br w:type="page"/>
      </w:r>
    </w:p>
    <w:p w14:paraId="59D387CF" w14:textId="77777777" w:rsidR="00AE5DA4" w:rsidRDefault="00000000">
      <w:pPr>
        <w:pStyle w:val="Heading1"/>
      </w:pPr>
      <w:r>
        <w:lastRenderedPageBreak/>
        <w:t>Methods</w:t>
      </w:r>
    </w:p>
    <w:p w14:paraId="1520A1CE" w14:textId="0F9A4F87" w:rsidR="006E0F91" w:rsidRDefault="00000000">
      <w:pPr>
        <w:spacing w:after="200" w:line="360" w:lineRule="auto"/>
      </w:pPr>
      <w:r>
        <w:rPr>
          <w:b/>
          <w:sz w:val="20"/>
        </w:rPr>
        <w:t xml:space="preserve">Study Design and Overview. </w:t>
      </w:r>
      <w:r>
        <w:rPr>
          <w:sz w:val="20"/>
        </w:rPr>
        <w:t>We developed the Health Equity Informative Metrics (HEIM) framework to quantify research equity across three complementary dimensions: Discovery (biobank-derived research output), Translation (clinical trial activity), and Knowledge (semantic structure of the scientific literature). The framework was applied to 175 Level 3 disease categories from the Global Burden of Disease (GBD) 2021 taxonomy over the study period January 2000 to December 2025. By integrating bibliometric, clinical trial, and natural language processing analyses, HEIM captures the multi-stage nature of research neglect: from initial scientific investigation through translational activity to the structural organisation of accumulated knowledge. Each dimension produces disease-level and, where applicable, biobank-level scores that are normalised to a common 0-100 scale before integration into a Unified Neglect Score.</w:t>
      </w:r>
    </w:p>
    <w:p w14:paraId="1FEC1E3A" w14:textId="77777777" w:rsidR="006E0F91" w:rsidRDefault="00000000">
      <w:pPr>
        <w:spacing w:after="200" w:line="360" w:lineRule="auto"/>
      </w:pPr>
      <w:r>
        <w:rPr>
          <w:b/>
          <w:sz w:val="20"/>
        </w:rPr>
        <w:t xml:space="preserve">Data Sources. </w:t>
      </w:r>
      <w:r>
        <w:rPr>
          <w:sz w:val="20"/>
        </w:rPr>
        <w:t>Disease burden data were obtained from the Institute for Health Metrics and Evaluation (IHME) GBD 2021 study, comprising disability-adjusted life years (DALYs), deaths, and prevalence estimates for 179 Level 3 causes across 204 countries and territories. Biobank metadata were obtained from the International Health Cohorts Consortium (IHCC) Global Cohort Atlas, yielding 70 biobanks with published research output across 29 countries. Biobank-linked publications (n = 38,595) were retrieved from PubMed/MEDLINE via the NCBI Entrez API using year-by-year chunking (2000–2025); preprints and non-peer-reviewed records were excluded. Clinical trial records (n = 2,189,930 trials; 770,178 facility records across 194 countries) were obtained from the Aggregate Analysis of ClinicalTrials.gov (AACT) database. For the Knowledge dimension, 13,100,113 unique PubMed abstracts linked to the 179 GBD disease categories were retrieved for embedding generation. Thirty diseases were classified as Global South Priority conditions based on GBD Level 2 categories encompassing infectious diseases, neglected tropical diseases and malaria, maternal and neonatal disorders, and nutritional deficiencies.</w:t>
      </w:r>
    </w:p>
    <w:p w14:paraId="40504800" w14:textId="77777777" w:rsidR="006E0F91" w:rsidRDefault="00000000">
      <w:pPr>
        <w:spacing w:after="200" w:line="360" w:lineRule="auto"/>
      </w:pPr>
      <w:r>
        <w:rPr>
          <w:b/>
          <w:sz w:val="20"/>
        </w:rPr>
        <w:t xml:space="preserve">Disease Mapping. </w:t>
      </w:r>
      <w:r>
        <w:rPr>
          <w:sz w:val="20"/>
        </w:rPr>
        <w:t>Each data source was mapped to the GBD 2021 Level 3 taxonomy using a curated dictionary of GBD-to-MeSH term correspondences. For biobank publications, MeSH headings assigned by the National Library of Medicine were matched to GBD categories. For clinical trials, condition fields were mapped using a combination of exact string matching and curated synonym lists. Diseases were further classified into GBD Level 2 groupings (e.g., neglected tropical diseases and malaria, cardiovascular diseases) and assigned a Global South priority flag based on whether their Level 2 category predominantly affects low- and middle-income countries (LMICs).</w:t>
      </w:r>
    </w:p>
    <w:p w14:paraId="62E6F2ED" w14:textId="1C82110D" w:rsidR="006E0F91" w:rsidRDefault="00000000">
      <w:pPr>
        <w:spacing w:after="200" w:line="360" w:lineRule="auto"/>
      </w:pPr>
      <w:r>
        <w:rPr>
          <w:b/>
          <w:sz w:val="20"/>
        </w:rPr>
        <w:t xml:space="preserve">Discovery Dimension Metrics. </w:t>
      </w:r>
      <w:r>
        <w:rPr>
          <w:sz w:val="20"/>
        </w:rPr>
        <w:t xml:space="preserve">Three metrics characterise the Discovery dimension. The Burden Score provides a composite measure of disease severity:  Burden Score = (0.5 × DALYs) + (50 × Deaths) + [10 × log₁₀(Prevalence)]  where DALYs and Deaths are expressed in millions and Prevalence in millions of cases. The coefficients were selected to normalise three complementary but differently scaled dimensions of health loss to comparable magnitudes. DALYs, which integrate years of life lost and years lived with disability, were weighted at 0.5 to reflect their comprehensive nature whilst preventing them from overshadowing other dimensions. Deaths were weighted by 50 to scale annual mortality counts (typically in the tens of thousands to low millions) to a range comparable with DALYs (typically in the tens of millions). Prevalence was log-transformed to compress the wide dynamic range of </w:t>
      </w:r>
      <w:r>
        <w:rPr>
          <w:sz w:val="20"/>
        </w:rPr>
        <w:lastRenderedPageBreak/>
        <w:t>case counts (spanning five orders of magnitude across the 175 diseases) and scaled by 10, ensuring that widespread but low-severity conditions do not dominate the composite score. Coefficients were calibrated iteratively against established global health priorities within the GBD framework, ensuring that the composite ranking preserved expected ordinal relationships: high-burden conditions such as ischaemic heart disease, malaria, and neonatal disorders ranked at the top, whilst lower-burden conditions such as anxiety disorders and bipolar disorder ranked at the bottom. Sensitivity analysis varying each coefficient independently by ±20% across 23 diseases with complete GBD 2021 data confirmed stable rankings; no disease underwent substantial reordering under any perturbation scheme (Extended Data Fig. 4). When only DALYs were available, a log-scaled fallback (10 × log₁₀(DALYs + 1)) was used to ensure comparability. The Research Gap Score (0–100) employs a three-tier system: (i) a zero-publication penalty (Gap = 95) for diseases with no biobank output, reflecting complete research absence; (ii) category-specific thresholds with stricter criteria for infectious and neglected tropical diseases, which require higher absolute publication volumes given their global burden (for example, malaria and tuberculosis each require at least 50 publications to avoid threshold-based elevation); and (iii) burden-normalised research intensity (publications per million DALYs) for remaining conditions, scored relative to the best-performing disease in the dataset. An additional +10 penalty is applied to Global South priority diseases with fewer than 50 publications. Gap severity categories are Critical (&gt;70), High (50–70), Moderate (30–50), and Low (&lt;30). The “Critical” threshold of 70 corresponds approximately to diseases with fewer than five publications across all 70 biobanks; these thresholds were tested under alternative cut-point schemes (±10 points), with the proportion of diseases classified as “Critical” or “High” varying by fewer than 4 percentage points across all schemes. The Equity Alignment Score (EAS) integrates biobank-level performance:  EAS = 100 − (0.4 × Gap_Severity + 0.3 × Burden_Miss + 0.3 × Capacity_Penalty)  where Gap_Severity is a weighted count of gap categories (Critical = 4, High = 2, Moderate = 1), Burden_Miss is the proportion of DALYs in diseases with ≤2 publications, and Capacity_Penalty is the inverse of per-disease publication coverage. EAS ranges from 0 to 100, with higher scores indicating better alignment. The distribution of EAS values across 70 IHCC biobanks was heavily right-skewed (median = 28.4, interquartile range 18.7–37.1). The “High” threshold of 60 was set at approximately 2 standard deviations above the mean, ensuring that only biobanks with demonstrably comprehensive coverage qualified. The “Moderate” threshold of 40 corresponds approximately to the 75th percentile of the distribution. Shifting both thresholds by ±5 points altered the number of biobanks in each category by at most 3, and the sole biobank classified as “High” (UK Biobank, EAS = 84.6) remained unchanged across all threshold schemes tested. EAS categories are High (≥60), Moderate (40–59), and Low (&lt;40).</w:t>
      </w:r>
    </w:p>
    <w:p w14:paraId="51026083" w14:textId="1D11F7CF" w:rsidR="006E0F91" w:rsidRDefault="00000000">
      <w:pPr>
        <w:spacing w:after="200" w:line="360" w:lineRule="auto"/>
      </w:pPr>
      <w:r>
        <w:rPr>
          <w:b/>
          <w:sz w:val="20"/>
        </w:rPr>
        <w:t xml:space="preserve">Translation Dimension Metrics. </w:t>
      </w:r>
      <w:r>
        <w:rPr>
          <w:sz w:val="20"/>
        </w:rPr>
        <w:t xml:space="preserve">Clinical trial equity was assessed using three indicators. Research intensity was calculated as the number of registered trials per million DALYs for each disease category, enabling direct comparison of translational investment relative to burden. Geographic distribution was quantified by classifying each of 770,178 trial facility records as high-income country (HIC) or LMIC based on the World Bank income classification, yielding an HIC:LMIC site ratio for each disease. A total of 2,189,930 trial records from ClinicalTrials.gov (accessed via the AACT database) covering 194 countries were included. Temporal trends were analysed using five-year rolling windows (2000-2005, 2006-2010, 2011-2015, 2016-2020, 2021-2025) to assess </w:t>
      </w:r>
      <w:r>
        <w:rPr>
          <w:sz w:val="20"/>
        </w:rPr>
        <w:lastRenderedPageBreak/>
        <w:t>whether the share of trials addressing Global South priority diseases has changed over the study period. Eighty-nine disease categories had sufficient trial data for geographic analysis.</w:t>
      </w:r>
    </w:p>
    <w:p w14:paraId="633D6970" w14:textId="77777777" w:rsidR="006E0F91" w:rsidRDefault="00000000">
      <w:pPr>
        <w:spacing w:after="200" w:line="360" w:lineRule="auto"/>
      </w:pPr>
      <w:r>
        <w:rPr>
          <w:b/>
          <w:sz w:val="20"/>
        </w:rPr>
        <w:t xml:space="preserve">Knowledge Dimension Metrics. </w:t>
      </w:r>
      <w:r>
        <w:rPr>
          <w:sz w:val="20"/>
        </w:rPr>
        <w:t>Semantic analysis used PubMedBERT (microsoft/BiomedNLP-PubMedBERT-base-uncased-abstract-fulltext, version 1.1) to generate 768-dimensional vector representations for each abstract, with a maximum token length of 512 and batch size of 64. Disease-level centroids were computed as the mean embedding across all abstracts for each condition. Three novel metrics were developed. The Semantic Isolation Index (SII) measures the mean cosine distance from each disease's abstracts to the centroids of its k = 100 nearest-neighbour diseases; higher values indicate research that is more disconnected from the broader biomedical literature. Knowledge Transfer Potential (KTP) captures cross-disease similarity as the mean cosine similarity between a disease's centroid and the centroids of its top 10% most similar conditions, reflecting the potential for methodological and conceptual spillover. The Research Clustering Coefficient (RCC) quantifies within-disease embedding variance as the mean cosine distance from individual abstracts to their disease centroid, with higher values indicating a more dispersed research agenda. Temporal semantic drift was measured as the cosine distance between consecutive yearly centroids for each disease, capturing how research focus evolves over time.</w:t>
      </w:r>
    </w:p>
    <w:p w14:paraId="4602E473" w14:textId="4CB5CA25" w:rsidR="006E0F91" w:rsidRDefault="00000000">
      <w:pPr>
        <w:spacing w:after="200" w:line="360" w:lineRule="auto"/>
      </w:pPr>
      <w:r>
        <w:rPr>
          <w:b/>
          <w:sz w:val="20"/>
        </w:rPr>
        <w:t xml:space="preserve">Unified Neglect Score. </w:t>
      </w:r>
      <w:r>
        <w:rPr>
          <w:sz w:val="20"/>
        </w:rPr>
        <w:t>To identify diseases experiencing compounding disadvantage across all three dimensions, we computed a Unified Neglect Score integrating normalised metrics from each dimension:  Unified Score = (0.33 × Discovery) + (0.33 × Translation) + (0.34 × Knowledge)  Each dimension score was normalised to a 0–100 scale before integration: Discovery scores used the Gap Score, Translation scores used the inverse of research intensity (scaled to 0–100), and Knowledge scores used the Semantic Isolation Index (scaled to 0–100). The equal weighting reflects our assumption that no single dimension of neglect is inherently more important than the others. For 86 diseases lacking sufficient clinical trial data (Translation dimension), the Unified Score was computed from Discovery and Knowledge dimensions only, each weighted at 0.5, preserving equal weighting across available dimensions. Sensitivity analyses examined alternative weighting schemes and confirmed that NTD rankings were stable (Spearman’s ρ &gt; 0.96 across all schemes; Extended Data Fig. 4). The maximum Unified Score observed was 46.9 (for lymphatic filariasis), substantially below the theoretical maximum of 100, because no disease simultaneously received the highest possible scores on all three dimensions; this ceiling effect reflects the partial independence of the three dimensions.</w:t>
      </w:r>
    </w:p>
    <w:p w14:paraId="7802E5CB" w14:textId="77777777" w:rsidR="006E0F91" w:rsidRDefault="00000000">
      <w:pPr>
        <w:spacing w:after="200" w:line="360" w:lineRule="auto"/>
      </w:pPr>
      <w:r>
        <w:rPr>
          <w:b/>
          <w:sz w:val="20"/>
        </w:rPr>
        <w:t xml:space="preserve">Statistical Analysis. </w:t>
      </w:r>
      <w:r>
        <w:rPr>
          <w:sz w:val="20"/>
        </w:rPr>
        <w:t>Group comparisons (e.g., NTD vs. non-NTD, Global South priority vs. non-priority) used Welch's t-test with Cohen's d effect sizes. Correlations between metrics (e.g., Gap Score vs. Semantic Isolation Index) were assessed using Pearson's r. Multiple comparisons were corrected using the Benjamini–Hochberg procedure with a false discovery rate threshold of q &lt; 0.05. Sensitivity analyses were conducted by perturbing each weighting parameter in the EAS and Unified Score formulas by ±20%; rank-order stability was assessed using Spearman's ρ (all ρ &gt; 0.96). Dimensionality reduction for semantic visualisation used Uniform Manifold Approximation and Projection (UMAP) with n_neighbours = 15, min_dist = 0.1, and cosine distance metric.</w:t>
      </w:r>
    </w:p>
    <w:p w14:paraId="22368AAB" w14:textId="7518DE95" w:rsidR="006E0F91" w:rsidRDefault="00000000">
      <w:pPr>
        <w:spacing w:after="200" w:line="360" w:lineRule="auto"/>
      </w:pPr>
      <w:r>
        <w:rPr>
          <w:b/>
          <w:sz w:val="20"/>
        </w:rPr>
        <w:lastRenderedPageBreak/>
        <w:t xml:space="preserve">Code and Data Availability. </w:t>
      </w:r>
      <w:r>
        <w:rPr>
          <w:sz w:val="20"/>
        </w:rPr>
        <w:t>All analysis code, including data retrieval, disease mapping, metric computation, embedding generation, and figure generation pipelines, is available at https://github.com/manuelcorpas/17-EHR. An interactive dashboard for exploring HEIM metrics across all three dimensions is available at https://manuelcorpas.github.io/17-EHR/. GBD 2021 data are publicly available from IHME (https://ghdx.healthdata.org/). Clinical trial data are available from the AACT database (https://aact.ctti-clinicaltrials.org/). IHCC biobank registry data are available from the Global Cohort Atlas.</w:t>
      </w:r>
    </w:p>
    <w:p w14:paraId="6BEC6B82" w14:textId="77777777" w:rsidR="00AE5DA4" w:rsidRDefault="00000000">
      <w:pPr>
        <w:pStyle w:val="Heading1"/>
      </w:pPr>
      <w:r>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 xml:space="preserve">Conceptualisation, Methodology, Software, Formal Analysis, Data Curation, Writing (Original Draft, Visualisation, Project Administration). </w:t>
      </w:r>
      <w:r>
        <w:rPr>
          <w:b/>
          <w:bCs/>
        </w:rPr>
        <w:t xml:space="preserve">M.F.: </w:t>
      </w:r>
      <w:r>
        <w:t xml:space="preserve">Methodology, Validation, Writing Review &amp; Editing. </w:t>
      </w:r>
      <w:r>
        <w:rPr>
          <w:b/>
          <w:bCs/>
        </w:rPr>
        <w:t xml:space="preserve">J.V.-S.: </w:t>
      </w:r>
      <w:r>
        <w:t xml:space="preserve">Writing, Review &amp; Editing. </w:t>
      </w:r>
      <w:r>
        <w:rPr>
          <w:b/>
          <w:bCs/>
        </w:rPr>
        <w:t xml:space="preserve">S.B.: </w:t>
      </w:r>
      <w:r>
        <w:t xml:space="preserve">Writing, Review &amp; Editing. </w:t>
      </w:r>
      <w:r>
        <w:rPr>
          <w:b/>
          <w:bCs/>
        </w:rPr>
        <w:t xml:space="preserve">S.F.: </w:t>
      </w:r>
      <w:r>
        <w:t xml:space="preserve">Writing, Review &amp; Editing. </w:t>
      </w:r>
      <w:r>
        <w:rPr>
          <w:b/>
          <w:bCs/>
        </w:rPr>
        <w:t xml:space="preserve">H.G.: </w:t>
      </w:r>
      <w:r>
        <w:t>Writing, 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t>M.C., S.B. and H.G. would like to disclose that at the time of writing they are associated with GENEQ Global Ltd.</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4BEFBCAE" w14:textId="5C2BEC67" w:rsidR="000F2CC4" w:rsidRDefault="000F2CC4">
      <w:pPr>
        <w:rPr>
          <w:rFonts w:ascii="Arial" w:eastAsia="Arial" w:hAnsi="Arial" w:cs="Arial"/>
          <w:b/>
          <w:bCs/>
          <w:sz w:val="28"/>
          <w:szCs w:val="28"/>
        </w:rPr>
      </w:pPr>
      <w:r>
        <w:br w:type="page"/>
      </w:r>
    </w:p>
    <w:p w14:paraId="1DC67681" w14:textId="7E743A5B" w:rsidR="00C81DE5" w:rsidRDefault="00C81DE5" w:rsidP="00C81DE5">
      <w:pPr>
        <w:pStyle w:val="Heading1"/>
      </w:pPr>
      <w:r>
        <w:lastRenderedPageBreak/>
        <w:t>References</w:t>
      </w:r>
    </w:p>
    <w:p w14:paraId="186E5041" w14:textId="77777777" w:rsidR="00C81DE5" w:rsidRPr="00C81DE5" w:rsidRDefault="00C81DE5" w:rsidP="00C81DE5">
      <w:pPr>
        <w:pStyle w:val="Bibliography"/>
      </w:pPr>
      <w:r>
        <w:fldChar w:fldCharType="begin"/>
      </w:r>
      <w:r>
        <w:instrText xml:space="preserve"> ADDIN ZOTERO_BIBL {"uncited":[],"omitted":[],"custom":[]} CSL_BIBLIOGRAPHY </w:instrText>
      </w:r>
      <w:r>
        <w:fldChar w:fldCharType="separate"/>
      </w:r>
      <w:r>
        <w:t>1.</w:t>
      </w:r>
      <w:r>
        <w:tab/>
        <w:t xml:space="preserve">de Almeida, A. B. &amp; Freedman, D. O. Epidemiology and immunopathology of bancroftian filariasis. </w:t>
      </w:r>
      <w:r>
        <w:rPr>
          <w:i/>
          <w:iCs/>
        </w:rPr>
        <w:t>Microbes and Infection</w:t>
      </w:r>
      <w:r>
        <w:t xml:space="preserve"> </w:t>
      </w:r>
      <w:r>
        <w:rPr>
          <w:b/>
          <w:bCs/>
        </w:rPr>
        <w:t>1</w:t>
      </w:r>
      <w:r>
        <w:t>, 1015–1022 (1999).</w:t>
      </w:r>
    </w:p>
    <w:p w14:paraId="5B0989DB" w14:textId="77777777" w:rsidR="00C81DE5" w:rsidRPr="00C81DE5" w:rsidRDefault="00C81DE5" w:rsidP="00C81DE5">
      <w:pPr>
        <w:pStyle w:val="Bibliography"/>
      </w:pPr>
      <w:r>
        <w:t>2.</w:t>
      </w:r>
      <w:r>
        <w:tab/>
        <w:t xml:space="preserve">Connolly, J. J. </w:t>
      </w:r>
      <w:r>
        <w:rPr>
          <w:i/>
          <w:iCs/>
        </w:rPr>
        <w:t>et al.</w:t>
      </w:r>
      <w:r>
        <w:t xml:space="preserve"> The International Health Cohorts Consortium (IHCC) advances population health research and genomic discovery. </w:t>
      </w:r>
      <w:r>
        <w:rPr>
          <w:i/>
          <w:iCs/>
        </w:rPr>
        <w:t>Commun Med</w:t>
      </w:r>
      <w:r>
        <w:t xml:space="preserve"> </w:t>
      </w:r>
      <w:r>
        <w:rPr>
          <w:b/>
          <w:bCs/>
        </w:rPr>
        <w:t>5</w:t>
      </w:r>
      <w:r>
        <w:t>, 366 (2025).</w:t>
      </w:r>
    </w:p>
    <w:p w14:paraId="17FA71E6" w14:textId="77777777" w:rsidR="00C81DE5" w:rsidRPr="00C81DE5" w:rsidRDefault="00C81DE5" w:rsidP="00C81DE5">
      <w:pPr>
        <w:pStyle w:val="Bibliography"/>
      </w:pPr>
      <w:r>
        <w:t>3.</w:t>
      </w:r>
      <w:r>
        <w:tab/>
        <w:t xml:space="preserve">Ndubuisi, N. E. Noncommunicable Diseases Prevention In Low- and Middle-Income Countries: An Overview of Health in All Policies (HiAP). </w:t>
      </w:r>
      <w:r>
        <w:rPr>
          <w:i/>
          <w:iCs/>
        </w:rPr>
        <w:t>Inquiry</w:t>
      </w:r>
      <w:r>
        <w:t xml:space="preserve"> </w:t>
      </w:r>
      <w:r>
        <w:rPr>
          <w:b/>
          <w:bCs/>
        </w:rPr>
        <w:t>58</w:t>
      </w:r>
      <w:r>
        <w:t>, 0046958020927885 (2021).</w:t>
      </w:r>
    </w:p>
    <w:p w14:paraId="7DF04823" w14:textId="77777777" w:rsidR="00C81DE5" w:rsidRPr="00C81DE5" w:rsidRDefault="00C81DE5" w:rsidP="00C81DE5">
      <w:pPr>
        <w:pStyle w:val="Bibliography"/>
      </w:pPr>
      <w:r>
        <w:t>4.</w:t>
      </w:r>
      <w:r>
        <w:tab/>
        <w:t xml:space="preserve">Evans, J. A., Shim, J.-M. &amp; Ioannidis, J. P. A. Attention to Local Health Burden and the Global Disparity of Health Research. </w:t>
      </w:r>
      <w:r>
        <w:rPr>
          <w:i/>
          <w:iCs/>
        </w:rPr>
        <w:t>PLoS One</w:t>
      </w:r>
      <w:r>
        <w:t xml:space="preserve"> </w:t>
      </w:r>
      <w:r>
        <w:rPr>
          <w:b/>
          <w:bCs/>
        </w:rPr>
        <w:t>9</w:t>
      </w:r>
      <w:r>
        <w:t>, e90147 (2014).</w:t>
      </w:r>
    </w:p>
    <w:p w14:paraId="060C60C7" w14:textId="77777777" w:rsidR="00C81DE5" w:rsidRPr="00C81DE5" w:rsidRDefault="00C81DE5" w:rsidP="00C81DE5">
      <w:pPr>
        <w:pStyle w:val="Bibliography"/>
      </w:pPr>
      <w:r>
        <w:t>5.</w:t>
      </w:r>
      <w:r>
        <w:tab/>
        <w:t xml:space="preserve">Hotez, P. J. The poverty-related neglected diseases: Why basic research matters. </w:t>
      </w:r>
      <w:r>
        <w:rPr>
          <w:i/>
          <w:iCs/>
        </w:rPr>
        <w:t>PLOS Biology</w:t>
      </w:r>
      <w:r>
        <w:t xml:space="preserve"> </w:t>
      </w:r>
      <w:r>
        <w:rPr>
          <w:b/>
          <w:bCs/>
        </w:rPr>
        <w:t>15</w:t>
      </w:r>
      <w:r>
        <w:t>, e2004186 (2017).</w:t>
      </w:r>
    </w:p>
    <w:p w14:paraId="23E961BA" w14:textId="77777777" w:rsidR="00C81DE5" w:rsidRPr="00C81DE5" w:rsidRDefault="00C81DE5" w:rsidP="00C81DE5">
      <w:pPr>
        <w:pStyle w:val="Bibliography"/>
      </w:pPr>
      <w:r>
        <w:t>6.</w:t>
      </w:r>
      <w:r>
        <w:tab/>
        <w:t xml:space="preserve">Bleich, S. N., Jarlenski, M. P., Bell, C. N. &amp; LaVeist, T. A. Health Inequalities: Trends, Progress, and Policy. </w:t>
      </w:r>
      <w:r>
        <w:rPr>
          <w:i/>
          <w:iCs/>
        </w:rPr>
        <w:t>Annu Rev Public Health</w:t>
      </w:r>
      <w:r>
        <w:t xml:space="preserve"> </w:t>
      </w:r>
      <w:r>
        <w:rPr>
          <w:b/>
          <w:bCs/>
        </w:rPr>
        <w:t>33</w:t>
      </w:r>
      <w:r>
        <w:t>, 7–40 (2012).</w:t>
      </w:r>
    </w:p>
    <w:p w14:paraId="4B56CF39" w14:textId="77777777" w:rsidR="00C81DE5" w:rsidRPr="00C81DE5" w:rsidRDefault="00C81DE5" w:rsidP="00C81DE5">
      <w:pPr>
        <w:pStyle w:val="Bibliography"/>
      </w:pPr>
      <w:r>
        <w:t>7.</w:t>
      </w:r>
      <w:r>
        <w:tab/>
        <w:t xml:space="preserve">Kumar, R., Khosla, R. &amp; McCoy, D. Decolonising global health research: Shifting power for transformative change. </w:t>
      </w:r>
      <w:r>
        <w:rPr>
          <w:i/>
          <w:iCs/>
        </w:rPr>
        <w:t>PLOS Glob Public Health</w:t>
      </w:r>
      <w:r>
        <w:t xml:space="preserve"> </w:t>
      </w:r>
      <w:r>
        <w:rPr>
          <w:b/>
          <w:bCs/>
        </w:rPr>
        <w:t>4</w:t>
      </w:r>
      <w:r>
        <w:t>, e0003141 (2024).</w:t>
      </w:r>
    </w:p>
    <w:p w14:paraId="5C588F74" w14:textId="77777777" w:rsidR="00C81DE5" w:rsidRPr="00C81DE5" w:rsidRDefault="00C81DE5" w:rsidP="00C81DE5">
      <w:pPr>
        <w:pStyle w:val="Bibliography"/>
      </w:pPr>
      <w:r>
        <w:t>8.</w:t>
      </w:r>
      <w:r>
        <w:tab/>
        <w:t xml:space="preserve">Elendu, C. </w:t>
      </w:r>
      <w:r>
        <w:rPr>
          <w:i/>
          <w:iCs/>
        </w:rPr>
        <w:t>et al.</w:t>
      </w:r>
      <w:r>
        <w:t xml:space="preserve"> Shaping sustainable paths for HIV/AIDS funding: a review and reminder. </w:t>
      </w:r>
      <w:r>
        <w:rPr>
          <w:i/>
          <w:iCs/>
        </w:rPr>
        <w:t>Ann Med Surg (Lond)</w:t>
      </w:r>
      <w:r>
        <w:t xml:space="preserve"> </w:t>
      </w:r>
      <w:r>
        <w:rPr>
          <w:b/>
          <w:bCs/>
        </w:rPr>
        <w:t>87</w:t>
      </w:r>
      <w:r>
        <w:t>, 1415–1445 (2025).</w:t>
      </w:r>
    </w:p>
    <w:p w14:paraId="4C84357F" w14:textId="77777777" w:rsidR="00C81DE5" w:rsidRPr="00C81DE5" w:rsidRDefault="00C81DE5" w:rsidP="00C81DE5">
      <w:pPr>
        <w:pStyle w:val="Bibliography"/>
      </w:pPr>
      <w:r>
        <w:t>9.</w:t>
      </w:r>
      <w:r>
        <w:tab/>
        <w:t xml:space="preserve">Fajardo-Ortiz, D. </w:t>
      </w:r>
      <w:r>
        <w:rPr>
          <w:i/>
          <w:iCs/>
        </w:rPr>
        <w:t>et al.</w:t>
      </w:r>
      <w:r>
        <w:t xml:space="preserve"> The emergence and evolution of the research fronts in HIV/AIDS research. </w:t>
      </w:r>
      <w:r>
        <w:rPr>
          <w:i/>
          <w:iCs/>
        </w:rPr>
        <w:t>PLoS One</w:t>
      </w:r>
      <w:r>
        <w:t xml:space="preserve"> </w:t>
      </w:r>
      <w:r>
        <w:rPr>
          <w:b/>
          <w:bCs/>
        </w:rPr>
        <w:t>12</w:t>
      </w:r>
      <w:r>
        <w:t>, e0178293 (2017).</w:t>
      </w:r>
    </w:p>
    <w:p w14:paraId="0705399C" w14:textId="77777777" w:rsidR="00C81DE5" w:rsidRPr="00C81DE5" w:rsidRDefault="00C81DE5" w:rsidP="00C81DE5">
      <w:pPr>
        <w:pStyle w:val="Bibliography"/>
      </w:pPr>
      <w:r>
        <w:t>10.</w:t>
      </w:r>
      <w:r>
        <w:tab/>
        <w:t xml:space="preserve">Scherer, E., Douek, D. &amp; McMichael, A. 25 years of HIV research on virology, virus restriction, immunopathogenesis, genes and vaccines. </w:t>
      </w:r>
      <w:r>
        <w:rPr>
          <w:i/>
          <w:iCs/>
        </w:rPr>
        <w:t>Clin Exp Immunol</w:t>
      </w:r>
      <w:r>
        <w:t xml:space="preserve"> </w:t>
      </w:r>
      <w:r>
        <w:rPr>
          <w:b/>
          <w:bCs/>
        </w:rPr>
        <w:t>154</w:t>
      </w:r>
      <w:r>
        <w:t>, 6–14 (2008).</w:t>
      </w:r>
    </w:p>
    <w:p w14:paraId="6E7FBB6F" w14:textId="77777777" w:rsidR="00C81DE5" w:rsidRPr="00C81DE5" w:rsidRDefault="00C81DE5" w:rsidP="00C81DE5">
      <w:pPr>
        <w:pStyle w:val="Bibliography"/>
      </w:pPr>
      <w:r>
        <w:t>11.</w:t>
      </w:r>
      <w:r>
        <w:tab/>
        <w:t xml:space="preserve">Graves, J. L., Kearney, M., Barabino, G. &amp; Malcom, S. Inequality in science and the case for a new agenda. </w:t>
      </w:r>
      <w:r>
        <w:rPr>
          <w:i/>
          <w:iCs/>
        </w:rPr>
        <w:t>Proc Natl Acad Sci U S A</w:t>
      </w:r>
      <w:r>
        <w:t xml:space="preserve"> </w:t>
      </w:r>
      <w:r>
        <w:rPr>
          <w:b/>
          <w:bCs/>
        </w:rPr>
        <w:t>119</w:t>
      </w:r>
      <w:r>
        <w:t>, e2117831119 (2022).</w:t>
      </w:r>
    </w:p>
    <w:p w14:paraId="35468025" w14:textId="77777777" w:rsidR="00C81DE5" w:rsidRPr="00C81DE5" w:rsidRDefault="00C81DE5" w:rsidP="00C81DE5">
      <w:pPr>
        <w:pStyle w:val="Bibliography"/>
      </w:pPr>
      <w:r>
        <w:lastRenderedPageBreak/>
        <w:t>12.</w:t>
      </w:r>
      <w:r>
        <w:tab/>
        <w:t xml:space="preserve">Dorantes-Gilardi, R. </w:t>
      </w:r>
      <w:r>
        <w:rPr>
          <w:i/>
          <w:iCs/>
        </w:rPr>
        <w:t>et al.</w:t>
      </w:r>
      <w:r>
        <w:t xml:space="preserve"> Quantifying the impact of biobanks and cohort studies. </w:t>
      </w:r>
      <w:r>
        <w:rPr>
          <w:i/>
          <w:iCs/>
        </w:rPr>
        <w:t>Proc Natl Acad Sci U S A</w:t>
      </w:r>
      <w:r>
        <w:t xml:space="preserve"> </w:t>
      </w:r>
      <w:r>
        <w:rPr>
          <w:b/>
          <w:bCs/>
        </w:rPr>
        <w:t>122</w:t>
      </w:r>
      <w:r>
        <w:t>, e2427157122.</w:t>
      </w:r>
    </w:p>
    <w:p w14:paraId="6CAED7CA" w14:textId="77777777" w:rsidR="00C81DE5" w:rsidRPr="00C81DE5" w:rsidRDefault="00C81DE5" w:rsidP="00C81DE5">
      <w:pPr>
        <w:pStyle w:val="Bibliography"/>
      </w:pPr>
      <w:r>
        <w:t>13.</w:t>
      </w:r>
      <w:r>
        <w:tab/>
        <w:t xml:space="preserve">Fatumo, S. </w:t>
      </w:r>
      <w:r>
        <w:rPr>
          <w:i/>
          <w:iCs/>
        </w:rPr>
        <w:t>et al.</w:t>
      </w:r>
      <w:r>
        <w:t xml:space="preserve"> A roadmap to increase diversity in genomic studies. </w:t>
      </w:r>
      <w:r>
        <w:rPr>
          <w:i/>
          <w:iCs/>
        </w:rPr>
        <w:t>Nat. Med.</w:t>
      </w:r>
      <w:r>
        <w:t xml:space="preserve"> </w:t>
      </w:r>
      <w:r>
        <w:rPr>
          <w:b/>
          <w:bCs/>
        </w:rPr>
        <w:t>28</w:t>
      </w:r>
      <w:r>
        <w:t>, 243–250 (2022).</w:t>
      </w:r>
    </w:p>
    <w:p w14:paraId="0A99641C" w14:textId="77777777" w:rsidR="00C81DE5" w:rsidRPr="00C81DE5" w:rsidRDefault="00C81DE5" w:rsidP="00C81DE5">
      <w:pPr>
        <w:pStyle w:val="Bibliography"/>
      </w:pPr>
      <w:r>
        <w:t>14.</w:t>
      </w:r>
      <w:r>
        <w:tab/>
        <w:t xml:space="preserve">Corpas, M. </w:t>
      </w:r>
      <w:r>
        <w:rPr>
          <w:i/>
          <w:iCs/>
        </w:rPr>
        <w:t>et al.</w:t>
      </w:r>
      <w:r>
        <w:t xml:space="preserve"> Bridging genomics’ greatest challenge: The diversity gap. </w:t>
      </w:r>
      <w:r>
        <w:rPr>
          <w:i/>
          <w:iCs/>
        </w:rPr>
        <w:t>Cell Genom</w:t>
      </w:r>
      <w:r>
        <w:t xml:space="preserve"> </w:t>
      </w:r>
      <w:r>
        <w:rPr>
          <w:b/>
          <w:bCs/>
        </w:rPr>
        <w:t>5</w:t>
      </w:r>
      <w:r>
        <w:t>, 100724 (2025).</w:t>
      </w:r>
    </w:p>
    <w:p w14:paraId="39A24616" w14:textId="77777777" w:rsidR="00C81DE5" w:rsidRPr="00C81DE5" w:rsidRDefault="00C81DE5" w:rsidP="00C81DE5">
      <w:pPr>
        <w:pStyle w:val="Bibliography"/>
      </w:pPr>
      <w:r>
        <w:t>15.</w:t>
      </w:r>
      <w:r>
        <w:tab/>
        <w:t xml:space="preserve">Smyth, B. </w:t>
      </w:r>
      <w:r>
        <w:rPr>
          <w:i/>
          <w:iCs/>
        </w:rPr>
        <w:t>et al.</w:t>
      </w:r>
      <w:r>
        <w:t xml:space="preserve"> Inequities in the global representation of sites participating in large, multicentre dialysis trials: a systematic review. </w:t>
      </w:r>
      <w:r>
        <w:rPr>
          <w:i/>
          <w:iCs/>
        </w:rPr>
        <w:t>BMJ Glob Health</w:t>
      </w:r>
      <w:r>
        <w:t xml:space="preserve"> </w:t>
      </w:r>
      <w:r>
        <w:rPr>
          <w:b/>
          <w:bCs/>
        </w:rPr>
        <w:t>4</w:t>
      </w:r>
      <w:r>
        <w:t>, e001940 (2019).</w:t>
      </w:r>
    </w:p>
    <w:p w14:paraId="21679183" w14:textId="77777777" w:rsidR="00C81DE5" w:rsidRPr="00C81DE5" w:rsidRDefault="00C81DE5" w:rsidP="00C81DE5">
      <w:pPr>
        <w:pStyle w:val="Bibliography"/>
      </w:pPr>
      <w:r>
        <w:t>16.</w:t>
      </w:r>
      <w:r>
        <w:tab/>
        <w:t xml:space="preserve">Sweileh, W. M. A bibliometric analysis of global research output on health and human rights (1900–2017). </w:t>
      </w:r>
      <w:r>
        <w:rPr>
          <w:i/>
          <w:iCs/>
        </w:rPr>
        <w:t>Glob Health Res Policy</w:t>
      </w:r>
      <w:r>
        <w:t xml:space="preserve"> </w:t>
      </w:r>
      <w:r>
        <w:rPr>
          <w:b/>
          <w:bCs/>
        </w:rPr>
        <w:t>3</w:t>
      </w:r>
      <w:r>
        <w:t>, 30 (2018).</w:t>
      </w:r>
    </w:p>
    <w:p w14:paraId="1D460810" w14:textId="77777777" w:rsidR="00C81DE5" w:rsidRPr="00C81DE5" w:rsidRDefault="00C81DE5" w:rsidP="00C81DE5">
      <w:pPr>
        <w:pStyle w:val="Bibliography"/>
      </w:pPr>
      <w:r>
        <w:t>17.</w:t>
      </w:r>
      <w:r>
        <w:tab/>
        <w:t xml:space="preserve">Stuckler, D., King, L., Robinson, H. &amp; McKee, M. WHO’s budgetary allocations and burden of disease: a comparative analysis. </w:t>
      </w:r>
      <w:r>
        <w:rPr>
          <w:i/>
          <w:iCs/>
        </w:rPr>
        <w:t>Lancet</w:t>
      </w:r>
      <w:r>
        <w:t xml:space="preserve"> </w:t>
      </w:r>
      <w:r>
        <w:rPr>
          <w:b/>
          <w:bCs/>
        </w:rPr>
        <w:t>372</w:t>
      </w:r>
      <w:r>
        <w:t>, 1563–1569 (2008).</w:t>
      </w:r>
    </w:p>
    <w:p w14:paraId="22B00D81" w14:textId="77777777" w:rsidR="00C81DE5" w:rsidRPr="00C81DE5" w:rsidRDefault="00C81DE5" w:rsidP="00C81DE5">
      <w:pPr>
        <w:pStyle w:val="Bibliography"/>
      </w:pPr>
      <w:r>
        <w:t>18.</w:t>
      </w:r>
      <w:r>
        <w:tab/>
        <w:t xml:space="preserve">Nwaka, S. </w:t>
      </w:r>
      <w:r>
        <w:rPr>
          <w:i/>
          <w:iCs/>
        </w:rPr>
        <w:t>et al.</w:t>
      </w:r>
      <w:r>
        <w:t xml:space="preserve"> Advancing Drug Innovation for Neglected Diseases—Criteria for Lead Progression. </w:t>
      </w:r>
      <w:r>
        <w:rPr>
          <w:i/>
          <w:iCs/>
        </w:rPr>
        <w:t>PLoS Negl Trop Dis</w:t>
      </w:r>
      <w:r>
        <w:t xml:space="preserve"> </w:t>
      </w:r>
      <w:r>
        <w:rPr>
          <w:b/>
          <w:bCs/>
        </w:rPr>
        <w:t>3</w:t>
      </w:r>
      <w:r>
        <w:t>, e440 (2009).</w:t>
      </w:r>
    </w:p>
    <w:p w14:paraId="5702D079" w14:textId="77777777" w:rsidR="00C81DE5" w:rsidRPr="00C81DE5" w:rsidRDefault="00C81DE5" w:rsidP="00C81DE5">
      <w:pPr>
        <w:pStyle w:val="Bibliography"/>
      </w:pPr>
      <w:r>
        <w:t>19.</w:t>
      </w:r>
      <w:r>
        <w:tab/>
        <w:t xml:space="preserve">Branković, I., Malogajski, J. &amp; Morré, S. A. Biobanking and translation of human genetics and genomics for infectious diseases. </w:t>
      </w:r>
      <w:r>
        <w:rPr>
          <w:i/>
          <w:iCs/>
        </w:rPr>
        <w:t>Applied &amp; Translational Genomics</w:t>
      </w:r>
      <w:r>
        <w:t xml:space="preserve"> </w:t>
      </w:r>
      <w:r>
        <w:rPr>
          <w:b/>
          <w:bCs/>
        </w:rPr>
        <w:t>3</w:t>
      </w:r>
      <w:r>
        <w:t>, 30 (2014).</w:t>
      </w:r>
    </w:p>
    <w:p w14:paraId="22049E28" w14:textId="77777777" w:rsidR="00C81DE5" w:rsidRPr="00C81DE5" w:rsidRDefault="00C81DE5" w:rsidP="00C81DE5">
      <w:pPr>
        <w:pStyle w:val="Bibliography"/>
      </w:pPr>
      <w:r>
        <w:t>20.</w:t>
      </w:r>
      <w:r>
        <w:tab/>
        <w:t xml:space="preserve">Garcia, M., Downs, J., Russell, A. &amp; Wang, W. Impact of biobanks on research outcomes in rare diseases: a systematic review. </w:t>
      </w:r>
      <w:r>
        <w:rPr>
          <w:i/>
          <w:iCs/>
        </w:rPr>
        <w:t>Orphanet J Rare Dis</w:t>
      </w:r>
      <w:r>
        <w:t xml:space="preserve"> </w:t>
      </w:r>
      <w:r>
        <w:rPr>
          <w:b/>
          <w:bCs/>
        </w:rPr>
        <w:t>13</w:t>
      </w:r>
      <w:r>
        <w:t>, 202 (2018).</w:t>
      </w:r>
    </w:p>
    <w:p w14:paraId="26342319" w14:textId="77777777" w:rsidR="00C81DE5" w:rsidRPr="00C81DE5" w:rsidRDefault="00C81DE5" w:rsidP="00C81DE5">
      <w:pPr>
        <w:pStyle w:val="Bibliography"/>
      </w:pPr>
      <w:r>
        <w:t>21.</w:t>
      </w:r>
      <w:r>
        <w:tab/>
        <w:t xml:space="preserve">Tercan Avcı, S., Çelebi, Ç., Özkalay, B., Özbek, U. &amp; Atabey, N. Biobanks and Their Contribution to the Field of Rare Diseases: Current Landscape, Challenges, and Future Directions. </w:t>
      </w:r>
      <w:r>
        <w:rPr>
          <w:i/>
          <w:iCs/>
        </w:rPr>
        <w:t>imdn</w:t>
      </w:r>
      <w:r>
        <w:t xml:space="preserve"> https://doi.org/10.4274/imdn.galenos.2025.2025-6 (2025) doi:10.4274/imdn.galenos.2025.2025-6.</w:t>
      </w:r>
    </w:p>
    <w:p w14:paraId="39334342" w14:textId="77777777" w:rsidR="00C81DE5" w:rsidRPr="00C81DE5" w:rsidRDefault="00C81DE5" w:rsidP="00C81DE5">
      <w:pPr>
        <w:pStyle w:val="Bibliography"/>
      </w:pPr>
      <w:r>
        <w:lastRenderedPageBreak/>
        <w:t>22.</w:t>
      </w:r>
      <w:r>
        <w:tab/>
        <w:t>Trends and Charts on Registered Studies | ClinicalTrials.gov. https://clinicaltrials.gov/about-site/trends-charts.</w:t>
      </w:r>
    </w:p>
    <w:p w14:paraId="7EA81842" w14:textId="77777777" w:rsidR="00C81DE5" w:rsidRPr="00C81DE5" w:rsidRDefault="00C81DE5" w:rsidP="00C81DE5">
      <w:pPr>
        <w:pStyle w:val="Bibliography"/>
      </w:pPr>
      <w:r>
        <w:t>23.</w:t>
      </w:r>
      <w:r>
        <w:tab/>
        <w:t>Institute For Health Metrics And Evaluation. Global Burden of Disease Study 2021 (GBD 2021) Cause, REI, and Location Hierarchies. Institute for Health Metrics and Evaluation https://doi.org/10.6069/G44H-ZC04 (2024).</w:t>
      </w:r>
    </w:p>
    <w:p w14:paraId="11B7A1A7" w14:textId="77777777" w:rsidR="00C81DE5" w:rsidRPr="00C81DE5" w:rsidRDefault="00C81DE5" w:rsidP="00C81DE5">
      <w:pPr>
        <w:pStyle w:val="Bibliography"/>
      </w:pPr>
      <w:r>
        <w:t>24.</w:t>
      </w:r>
      <w:r>
        <w:tab/>
        <w:t xml:space="preserve">Sudlow, C. </w:t>
      </w:r>
      <w:r>
        <w:rPr>
          <w:i/>
          <w:iCs/>
        </w:rPr>
        <w:t>et al.</w:t>
      </w:r>
      <w:r>
        <w:t xml:space="preserve"> UK biobank: an open access resource for identifying the causes of a wide range of complex diseases of middle and old age. </w:t>
      </w:r>
      <w:r>
        <w:rPr>
          <w:i/>
          <w:iCs/>
        </w:rPr>
        <w:t>PLoS Med.</w:t>
      </w:r>
      <w:r>
        <w:t xml:space="preserve"> </w:t>
      </w:r>
      <w:r>
        <w:rPr>
          <w:b/>
          <w:bCs/>
        </w:rPr>
        <w:t>12</w:t>
      </w:r>
      <w:r>
        <w:t>, e1001779 (2015).</w:t>
      </w:r>
    </w:p>
    <w:p w14:paraId="4CC138F1" w14:textId="77777777" w:rsidR="00C81DE5" w:rsidRPr="00C81DE5" w:rsidRDefault="00C81DE5" w:rsidP="00C81DE5">
      <w:pPr>
        <w:pStyle w:val="Bibliography"/>
      </w:pPr>
      <w:r>
        <w:t>25.</w:t>
      </w:r>
      <w:r>
        <w:tab/>
        <w:t xml:space="preserve">Colditz, G. A., Manson, J. E. &amp; Hankinson, S. E. The Nurses’ Health Study: 20-Year Contribution to the Understanding of Health Among Women. </w:t>
      </w:r>
      <w:r>
        <w:rPr>
          <w:i/>
          <w:iCs/>
        </w:rPr>
        <w:t>Journal of Women’s Health</w:t>
      </w:r>
      <w:r>
        <w:t xml:space="preserve"> </w:t>
      </w:r>
      <w:r>
        <w:rPr>
          <w:b/>
          <w:bCs/>
        </w:rPr>
        <w:t>6</w:t>
      </w:r>
      <w:r>
        <w:t>, 49–62 (1997).</w:t>
      </w:r>
    </w:p>
    <w:p w14:paraId="2BB25503" w14:textId="77777777" w:rsidR="00C81DE5" w:rsidRPr="00C81DE5" w:rsidRDefault="00C81DE5" w:rsidP="00C81DE5">
      <w:pPr>
        <w:pStyle w:val="Bibliography"/>
      </w:pPr>
      <w:r>
        <w:t>26.</w:t>
      </w:r>
      <w:r>
        <w:tab/>
        <w:t xml:space="preserve">LaMonte, M. J. </w:t>
      </w:r>
      <w:r>
        <w:rPr>
          <w:i/>
          <w:iCs/>
        </w:rPr>
        <w:t>et al.</w:t>
      </w:r>
      <w:r>
        <w:t xml:space="preserve"> Contributions of the Women’s Health Initiative to Cardiovascular Research: JACC State-of-the-Art Review. </w:t>
      </w:r>
      <w:r>
        <w:rPr>
          <w:i/>
          <w:iCs/>
        </w:rPr>
        <w:t>J Am Coll Cardiol</w:t>
      </w:r>
      <w:r>
        <w:t xml:space="preserve"> </w:t>
      </w:r>
      <w:r>
        <w:rPr>
          <w:b/>
          <w:bCs/>
        </w:rPr>
        <w:t>80</w:t>
      </w:r>
      <w:r>
        <w:t>, 256–275 (2022).</w:t>
      </w:r>
    </w:p>
    <w:p w14:paraId="7374174C" w14:textId="77777777" w:rsidR="00C81DE5" w:rsidRPr="00C81DE5" w:rsidRDefault="00C81DE5" w:rsidP="00C81DE5">
      <w:pPr>
        <w:pStyle w:val="Bibliography"/>
      </w:pPr>
      <w:r>
        <w:t>27.</w:t>
      </w:r>
      <w:r>
        <w:tab/>
        <w:t xml:space="preserve">Leitsalu, L. </w:t>
      </w:r>
      <w:r>
        <w:rPr>
          <w:i/>
          <w:iCs/>
        </w:rPr>
        <w:t>et al.</w:t>
      </w:r>
      <w:r>
        <w:t xml:space="preserve"> Cohort Profile: Estonian Biobank of the Estonian Genome Center, University of Tartu. </w:t>
      </w:r>
      <w:r>
        <w:rPr>
          <w:i/>
          <w:iCs/>
        </w:rPr>
        <w:t>Int J Epidemiol</w:t>
      </w:r>
      <w:r>
        <w:t xml:space="preserve"> </w:t>
      </w:r>
      <w:r>
        <w:rPr>
          <w:b/>
          <w:bCs/>
        </w:rPr>
        <w:t>44</w:t>
      </w:r>
      <w:r>
        <w:t>, 1137–1147 (2015).</w:t>
      </w:r>
    </w:p>
    <w:p w14:paraId="47AEBC30" w14:textId="77777777" w:rsidR="00C81DE5" w:rsidRPr="00C81DE5" w:rsidRDefault="00C81DE5" w:rsidP="00C81DE5">
      <w:pPr>
        <w:pStyle w:val="Bibliography"/>
      </w:pPr>
      <w:r>
        <w:t>28.</w:t>
      </w:r>
      <w:r>
        <w:tab/>
        <w:t xml:space="preserve">Okpechi, I. G. </w:t>
      </w:r>
      <w:r>
        <w:rPr>
          <w:i/>
          <w:iCs/>
        </w:rPr>
        <w:t>et al.</w:t>
      </w:r>
      <w:r>
        <w:t xml:space="preserve"> Task shifting roles, interventions and outcomes for kidney and cardiovascular health service delivery among African populations: a scoping review. </w:t>
      </w:r>
      <w:r>
        <w:rPr>
          <w:i/>
          <w:iCs/>
        </w:rPr>
        <w:t>BMC Health Serv Res</w:t>
      </w:r>
      <w:r>
        <w:t xml:space="preserve"> </w:t>
      </w:r>
      <w:r>
        <w:rPr>
          <w:b/>
          <w:bCs/>
        </w:rPr>
        <w:t>23</w:t>
      </w:r>
      <w:r>
        <w:t>, 446 (2023).</w:t>
      </w:r>
    </w:p>
    <w:p w14:paraId="157667C3" w14:textId="77777777" w:rsidR="00C81DE5" w:rsidRPr="00C81DE5" w:rsidRDefault="00C81DE5" w:rsidP="00C81DE5">
      <w:pPr>
        <w:pStyle w:val="Bibliography"/>
      </w:pPr>
      <w:r>
        <w:t>29.</w:t>
      </w:r>
      <w:r>
        <w:tab/>
        <w:t xml:space="preserve">Bartlett, A. W. </w:t>
      </w:r>
      <w:r>
        <w:rPr>
          <w:i/>
          <w:iCs/>
        </w:rPr>
        <w:t>et al.</w:t>
      </w:r>
      <w:r>
        <w:t xml:space="preserve"> Burden and factors associated with schistosomiasis and soil-transmitted helminth infections among school-age children in Huambo, Uige and Zaire provinces, Angola. </w:t>
      </w:r>
      <w:r>
        <w:rPr>
          <w:i/>
          <w:iCs/>
        </w:rPr>
        <w:t>Infect Dis Poverty</w:t>
      </w:r>
      <w:r>
        <w:t xml:space="preserve"> </w:t>
      </w:r>
      <w:r>
        <w:rPr>
          <w:b/>
          <w:bCs/>
        </w:rPr>
        <w:t>11</w:t>
      </w:r>
      <w:r>
        <w:t>, 73 (2022).</w:t>
      </w:r>
    </w:p>
    <w:p w14:paraId="7A777403" w14:textId="77777777" w:rsidR="00C81DE5" w:rsidRPr="00C81DE5" w:rsidRDefault="00C81DE5" w:rsidP="00C81DE5">
      <w:pPr>
        <w:pStyle w:val="Bibliography"/>
      </w:pPr>
      <w:r>
        <w:t>30.</w:t>
      </w:r>
      <w:r>
        <w:tab/>
        <w:t xml:space="preserve">Torgerson, P. R. </w:t>
      </w:r>
      <w:r>
        <w:rPr>
          <w:i/>
          <w:iCs/>
        </w:rPr>
        <w:t>et al.</w:t>
      </w:r>
      <w:r>
        <w:t xml:space="preserve"> World Health Organization Estimates of the Global and Regional Disease Burden of 11 Foodborne Parasitic Diseases, 2010: A Data Synthesis. </w:t>
      </w:r>
      <w:r>
        <w:rPr>
          <w:i/>
          <w:iCs/>
        </w:rPr>
        <w:t>PLoS Med</w:t>
      </w:r>
      <w:r>
        <w:t xml:space="preserve"> </w:t>
      </w:r>
      <w:r>
        <w:rPr>
          <w:b/>
          <w:bCs/>
        </w:rPr>
        <w:t>12</w:t>
      </w:r>
      <w:r>
        <w:t>, e1001920 (2015).</w:t>
      </w:r>
    </w:p>
    <w:p w14:paraId="53AA7E91" w14:textId="77777777" w:rsidR="00C81DE5" w:rsidRPr="00C81DE5" w:rsidRDefault="00C81DE5" w:rsidP="00C81DE5">
      <w:pPr>
        <w:pStyle w:val="Bibliography"/>
      </w:pPr>
      <w:r>
        <w:lastRenderedPageBreak/>
        <w:t>31.</w:t>
      </w:r>
      <w:r>
        <w:tab/>
        <w:t xml:space="preserve">Safiri, S. </w:t>
      </w:r>
      <w:r>
        <w:rPr>
          <w:i/>
          <w:iCs/>
        </w:rPr>
        <w:t>et al.</w:t>
      </w:r>
      <w:r>
        <w:t xml:space="preserve"> Burden of ischemic heart disease and its attributable risk factors in 204 countries and territories, 1990-2019. </w:t>
      </w:r>
      <w:r>
        <w:rPr>
          <w:i/>
          <w:iCs/>
        </w:rPr>
        <w:t>Eur J Prev Cardiol</w:t>
      </w:r>
      <w:r>
        <w:t xml:space="preserve"> </w:t>
      </w:r>
      <w:r>
        <w:rPr>
          <w:b/>
          <w:bCs/>
        </w:rPr>
        <w:t>29</w:t>
      </w:r>
      <w:r>
        <w:t>, 420–431 (2022).</w:t>
      </w:r>
    </w:p>
    <w:p w14:paraId="4EC654AB" w14:textId="77777777" w:rsidR="00C81DE5" w:rsidRPr="00C81DE5" w:rsidRDefault="00C81DE5" w:rsidP="00C81DE5">
      <w:pPr>
        <w:pStyle w:val="Bibliography"/>
      </w:pPr>
      <w:r>
        <w:t>32.</w:t>
      </w:r>
      <w:r>
        <w:tab/>
        <w:t xml:space="preserve">Gu, Y. </w:t>
      </w:r>
      <w:r>
        <w:rPr>
          <w:i/>
          <w:iCs/>
        </w:rPr>
        <w:t>et al.</w:t>
      </w:r>
      <w:r>
        <w:t xml:space="preserve"> Domain-Specific Language Model Pretraining for Biomedical Natural Language Processing. </w:t>
      </w:r>
      <w:r>
        <w:rPr>
          <w:i/>
          <w:iCs/>
        </w:rPr>
        <w:t>ACM Trans. Comput. Healthcare</w:t>
      </w:r>
      <w:r>
        <w:t xml:space="preserve"> </w:t>
      </w:r>
      <w:r>
        <w:rPr>
          <w:b/>
          <w:bCs/>
        </w:rPr>
        <w:t>3</w:t>
      </w:r>
      <w:r>
        <w:t>, 1–23 (2022).</w:t>
      </w:r>
    </w:p>
    <w:p w14:paraId="29AB15B7" w14:textId="77777777" w:rsidR="00C81DE5" w:rsidRPr="00C81DE5" w:rsidRDefault="00C81DE5" w:rsidP="00C81DE5">
      <w:pPr>
        <w:pStyle w:val="Bibliography"/>
      </w:pPr>
      <w:r>
        <w:t>33.</w:t>
      </w:r>
      <w:r>
        <w:tab/>
        <w:t xml:space="preserve">Adams, J. &amp; Light, R. Mapping Interdisciplinary Fields: Efficiencies, Gaps and Redundancies in HIV/AIDS Research. </w:t>
      </w:r>
      <w:r>
        <w:rPr>
          <w:i/>
          <w:iCs/>
        </w:rPr>
        <w:t>PLoS One</w:t>
      </w:r>
      <w:r>
        <w:t xml:space="preserve"> </w:t>
      </w:r>
      <w:r>
        <w:rPr>
          <w:b/>
          <w:bCs/>
        </w:rPr>
        <w:t>9</w:t>
      </w:r>
      <w:r>
        <w:t>, e115092 (2014).</w:t>
      </w:r>
    </w:p>
    <w:p w14:paraId="236CCF0B" w14:textId="77777777" w:rsidR="00C81DE5" w:rsidRPr="00C81DE5" w:rsidRDefault="00C81DE5" w:rsidP="00C81DE5">
      <w:pPr>
        <w:pStyle w:val="Bibliography"/>
      </w:pPr>
      <w:r>
        <w:t>34.</w:t>
      </w:r>
      <w:r>
        <w:tab/>
        <w:t xml:space="preserve">Viergever, R. F. &amp; Li, K. Trends in global clinical trial registration: an analysis of numbers of registered clinical trials in different parts of the world from 2004 to 2013. </w:t>
      </w:r>
      <w:r>
        <w:rPr>
          <w:i/>
          <w:iCs/>
        </w:rPr>
        <w:t>BMJ Open</w:t>
      </w:r>
      <w:r>
        <w:t xml:space="preserve"> </w:t>
      </w:r>
      <w:r>
        <w:rPr>
          <w:b/>
          <w:bCs/>
        </w:rPr>
        <w:t>5</w:t>
      </w:r>
      <w:r>
        <w:t>, e008932 (2015).</w:t>
      </w:r>
    </w:p>
    <w:p w14:paraId="204FB05D" w14:textId="77777777" w:rsidR="00C81DE5" w:rsidRPr="00C81DE5" w:rsidRDefault="00C81DE5" w:rsidP="00C81DE5">
      <w:pPr>
        <w:pStyle w:val="Bibliography"/>
      </w:pPr>
      <w:r>
        <w:t>35.</w:t>
      </w:r>
      <w:r>
        <w:tab/>
        <w:t xml:space="preserve">RePORT </w:t>
      </w:r>
      <w:r>
        <w:rPr>
          <w:rFonts w:ascii="Cambria Math" w:hAnsi="Cambria Math" w:cs="Cambria Math"/>
        </w:rPr>
        <w:t>⟩</w:t>
      </w:r>
      <w:r>
        <w:t xml:space="preserve"> RePORTER. https://reporter.nih.gov/.</w:t>
      </w:r>
    </w:p>
    <w:p w14:paraId="2C2DB1AF" w14:textId="77777777" w:rsidR="00C81DE5" w:rsidRPr="00C81DE5" w:rsidRDefault="00C81DE5" w:rsidP="00C81DE5">
      <w:pPr>
        <w:pStyle w:val="Bibliography"/>
      </w:pPr>
      <w:r>
        <w:t>36.</w:t>
      </w:r>
      <w:r>
        <w:tab/>
        <w:t xml:space="preserve">Where are citations in Dimensions coming from? </w:t>
      </w:r>
      <w:r>
        <w:rPr>
          <w:i/>
          <w:iCs/>
        </w:rPr>
        <w:t>Dimensions</w:t>
      </w:r>
      <w:r>
        <w:t xml:space="preserve"> https://dimensions.freshdesk.com/support/solutions/articles/23000018849-where-are-citations-in-dimensions-coming-from-.</w:t>
      </w:r>
    </w:p>
    <w:p w14:paraId="70064E81" w14:textId="77777777" w:rsidR="00C81DE5" w:rsidRPr="00C81DE5" w:rsidRDefault="00C81DE5" w:rsidP="00C81DE5">
      <w:pPr>
        <w:pStyle w:val="Bibliography"/>
      </w:pPr>
      <w:r>
        <w:t>37.</w:t>
      </w:r>
      <w:r>
        <w:tab/>
        <w:t>Borrego, Á. &amp; Urbano, C. OpenAlex: Features, advantages and limitations of an open database for retrieving and analysing scholarly outputs. Preprint at https://doi.org/10.48550/arXiv.2512.16434 (2025).</w:t>
      </w:r>
    </w:p>
    <w:p w14:paraId="4EF1439C" w14:textId="2991F689" w:rsidR="00AA2FBE" w:rsidRDefault="00C81DE5">
      <w:pPr>
        <w:spacing w:after="200" w:line="360" w:lineRule="auto"/>
      </w:pPr>
      <w:r>
        <w:fldChar w:fldCharType="end"/>
      </w:r>
    </w:p>
    <w:p w14:paraId="5FABA11C" w14:textId="77777777" w:rsidR="00AA2FBE" w:rsidRDefault="00AA2FBE">
      <w:r>
        <w:br w:type="page"/>
      </w:r>
    </w:p>
    <w:p w14:paraId="4D896960" w14:textId="77777777" w:rsidR="00AA2FBE" w:rsidRDefault="00AA2FBE" w:rsidP="00AA2FBE"/>
    <w:p w14:paraId="2B9C6982" w14:textId="77777777" w:rsidR="00AA2FBE" w:rsidRDefault="00AA2FBE" w:rsidP="00AA2FBE">
      <w:pPr>
        <w:pStyle w:val="Heading1"/>
      </w:pPr>
      <w:r>
        <w:t>Extended Data Figures</w:t>
      </w:r>
    </w:p>
    <w:p w14:paraId="2A886DB4" w14:textId="77777777" w:rsidR="00AA2FBE" w:rsidRDefault="00AA2FBE" w:rsidP="00AA2FBE">
      <w:pPr>
        <w:spacing w:before="200" w:after="100"/>
        <w:jc w:val="center"/>
      </w:pPr>
      <w:r>
        <w:rPr>
          <w:noProof/>
        </w:rPr>
        <w:drawing>
          <wp:inline distT="0" distB="0" distL="0" distR="0" wp14:anchorId="5B3D846C" wp14:editId="620E09A9">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4EE56530" w14:textId="77777777" w:rsidR="00AA2FBE" w:rsidRDefault="00AA2FBE" w:rsidP="00AA2FBE">
      <w:pPr>
        <w:spacing w:before="200" w:after="100"/>
        <w:jc w:val="center"/>
      </w:pPr>
    </w:p>
    <w:p w14:paraId="5167B143" w14:textId="77777777" w:rsidR="00AA2FBE" w:rsidRDefault="00AA2FBE" w:rsidP="00AA2FBE">
      <w:pPr>
        <w:spacing w:before="100" w:after="300"/>
      </w:pPr>
      <w:r>
        <w:rPr>
          <w:rFonts w:ascii="Arial" w:eastAsia="Arial" w:hAnsi="Arial" w:cs="Arial"/>
          <w:b/>
          <w:bCs/>
          <w:sz w:val="22"/>
          <w:szCs w:val="22"/>
        </w:rPr>
        <w:t>Figure Extended Data 1. Temporal Trends in Research Equity (2000-2025).</w:t>
      </w:r>
      <w:r>
        <w:rPr>
          <w:sz w:val="22"/>
          <w:szCs w:val="22"/>
        </w:rPr>
        <w:t xml:space="preserve"> Top 25 diseases by temporal semantic drift, showing research evolution over time. Higher drift indicates more research topic changes.</w:t>
      </w:r>
    </w:p>
    <w:p w14:paraId="1208347B" w14:textId="77777777" w:rsidR="00AA2FBE" w:rsidRDefault="00AA2FBE" w:rsidP="00AA2FBE">
      <w:r>
        <w:br w:type="page"/>
      </w:r>
    </w:p>
    <w:p w14:paraId="5FD1FDB1" w14:textId="77777777" w:rsidR="00AA2FBE" w:rsidRDefault="00AA2FBE" w:rsidP="00AA2FBE">
      <w:pPr>
        <w:spacing w:before="200" w:after="100"/>
        <w:jc w:val="center"/>
      </w:pPr>
      <w:r>
        <w:rPr>
          <w:noProof/>
        </w:rPr>
        <w:lastRenderedPageBreak/>
        <w:drawing>
          <wp:inline distT="0" distB="0" distL="0" distR="0" wp14:anchorId="4F957DD9" wp14:editId="3509C56D">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15FE532F" w14:textId="77777777" w:rsidR="00AA2FBE" w:rsidRDefault="00AA2FBE" w:rsidP="00AA2FBE">
      <w:pPr>
        <w:spacing w:before="200" w:after="100"/>
        <w:jc w:val="center"/>
      </w:pPr>
    </w:p>
    <w:p w14:paraId="58C9EA6B" w14:textId="77777777" w:rsidR="00AA2FBE" w:rsidRDefault="00AA2FBE" w:rsidP="00AA2FBE">
      <w:pPr>
        <w:spacing w:before="100" w:after="300"/>
      </w:pPr>
      <w:r>
        <w:rPr>
          <w:rFonts w:ascii="Arial" w:eastAsia="Arial" w:hAnsi="Arial" w:cs="Arial"/>
          <w:b/>
          <w:bCs/>
          <w:sz w:val="22"/>
          <w:szCs w:val="22"/>
        </w:rPr>
        <w:t>Figure Extended Data 2.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5532FB7D" w14:textId="77777777" w:rsidR="00AA2FBE" w:rsidRDefault="00AA2FBE" w:rsidP="00AA2FBE">
      <w:r>
        <w:br w:type="page"/>
      </w:r>
    </w:p>
    <w:p w14:paraId="1FE6C47A" w14:textId="77777777" w:rsidR="00AA2FBE" w:rsidRDefault="00AA2FBE" w:rsidP="00AA2FBE">
      <w:pPr>
        <w:spacing w:before="200" w:after="100"/>
        <w:jc w:val="center"/>
      </w:pPr>
      <w:r>
        <w:rPr>
          <w:noProof/>
        </w:rPr>
        <w:lastRenderedPageBreak/>
        <w:drawing>
          <wp:inline distT="0" distB="0" distL="0" distR="0" wp14:anchorId="52E7A709" wp14:editId="1BFFE634">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730C3C88" w14:textId="77777777" w:rsidR="00AA2FBE" w:rsidRDefault="00AA2FBE" w:rsidP="00AA2FBE">
      <w:pPr>
        <w:spacing w:before="200" w:after="100"/>
        <w:jc w:val="center"/>
      </w:pPr>
    </w:p>
    <w:p w14:paraId="377B20CC" w14:textId="77777777" w:rsidR="00AA2FBE" w:rsidRDefault="00AA2FBE" w:rsidP="00AA2FBE">
      <w:pPr>
        <w:spacing w:before="100" w:after="300"/>
      </w:pPr>
      <w:r>
        <w:rPr>
          <w:rFonts w:ascii="Arial" w:eastAsia="Arial" w:hAnsi="Arial" w:cs="Arial"/>
          <w:b/>
          <w:bCs/>
          <w:sz w:val="22"/>
          <w:szCs w:val="22"/>
        </w:rPr>
        <w:t>Figure Extended Data 3.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09A60176" w14:textId="77777777" w:rsidR="00AA2FBE" w:rsidRDefault="00AA2FBE" w:rsidP="00AA2FBE">
      <w:pPr>
        <w:spacing w:before="100" w:after="300"/>
      </w:pPr>
    </w:p>
    <w:p w14:paraId="4092CD0E" w14:textId="77777777" w:rsidR="00AA2FBE" w:rsidRDefault="00AA2FBE" w:rsidP="00AA2FBE">
      <w:pPr>
        <w:spacing w:before="200" w:after="100"/>
        <w:jc w:val="center"/>
      </w:pPr>
      <w:r>
        <w:rPr>
          <w:noProof/>
        </w:rPr>
        <w:lastRenderedPageBreak/>
        <w:drawing>
          <wp:inline distT="0" distB="0" distL="0" distR="0" wp14:anchorId="432F1BE0" wp14:editId="4E856A53">
            <wp:extent cx="5486400" cy="4110282"/>
            <wp:effectExtent l="0" t="0" r="0" b="0"/>
            <wp:docPr id="157625922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4" name="Picture 11" descr="A screenshot of a graph&#10;&#10;AI-generated content may be incorrect."/>
                    <pic:cNvPicPr/>
                  </pic:nvPicPr>
                  <pic:blipFill>
                    <a:blip r:embed="rId16"/>
                    <a:stretch>
                      <a:fillRect/>
                    </a:stretch>
                  </pic:blipFill>
                  <pic:spPr>
                    <a:xfrm>
                      <a:off x="0" y="0"/>
                      <a:ext cx="5486400" cy="4110282"/>
                    </a:xfrm>
                    <a:prstGeom prst="rect">
                      <a:avLst/>
                    </a:prstGeom>
                  </pic:spPr>
                </pic:pic>
              </a:graphicData>
            </a:graphic>
          </wp:inline>
        </w:drawing>
      </w:r>
    </w:p>
    <w:p w14:paraId="6F3395D1" w14:textId="77777777" w:rsidR="00AA2FBE" w:rsidRDefault="00AA2FBE" w:rsidP="00AA2FBE">
      <w:pPr>
        <w:spacing w:before="100" w:after="300"/>
        <w:rPr>
          <w:rFonts w:ascii="Arial" w:eastAsia="Arial" w:hAnsi="Arial" w:cs="Arial"/>
          <w:b/>
          <w:bCs/>
          <w:sz w:val="22"/>
          <w:szCs w:val="22"/>
        </w:rPr>
      </w:pPr>
    </w:p>
    <w:p w14:paraId="5AD16CF9" w14:textId="706BB60A" w:rsidR="00AA2FBE" w:rsidRDefault="00AA2FBE" w:rsidP="00AA2FBE">
      <w:pPr>
        <w:spacing w:before="100" w:after="300"/>
      </w:pPr>
      <w:r>
        <w:rPr>
          <w:rFonts w:ascii="Arial" w:eastAsia="Arial" w:hAnsi="Arial" w:cs="Arial"/>
          <w:b/>
          <w:bCs/>
          <w:sz w:val="22"/>
          <w:szCs w:val="22"/>
        </w:rPr>
        <w:t>Figure Extended Data 4. Sensitivity Analysis of Unified Neglect Score Weighting Schemes.</w:t>
      </w:r>
      <w:r>
        <w:rPr>
          <w:sz w:val="22"/>
          <w:szCs w:val="22"/>
        </w:rPr>
        <w:t xml:space="preserve"> (a) Rank trajectories of the 30 most neglected diseases under 17 alternative weighting schemes varying Discovery and Knowledge dimension weights from 0.30/0.70 to 0.70/0.30 (exceeding the ±20% variation reported in the main text). Red lines indicate NTDs; grey lines indicate other diseases. The orange shaded region marks the ±20% perturbation range; the dashed line marks the top 10 boundary. Rankings remain highly stable, with NTDs consistently occupying the highest neglect positions. (b) Heatmap of rank deviations from the baseline (equal weighting) for the top 30 diseases across all 17 schemes. Blue indicates improved rank (less neglected); red indicates worsened rank (more neglected). Most deviations are negligible for the top 10 diseases. Spearman’s ρ ranged from 0.965 to 1.000 across all schemes, confirming that conclusions are robust to substantial changes in dimension weighting.</w:t>
      </w:r>
    </w:p>
    <w:p w14:paraId="2F4E72F6" w14:textId="77777777" w:rsidR="00AA2FBE" w:rsidRDefault="00AA2FBE" w:rsidP="00AA2FBE"/>
    <w:p w14:paraId="6F9D0D6C" w14:textId="77777777" w:rsidR="00AA2FBE" w:rsidRDefault="00AA2FBE" w:rsidP="00AA2FBE">
      <w:pPr>
        <w:spacing w:before="200" w:after="100"/>
        <w:jc w:val="center"/>
      </w:pPr>
      <w:r>
        <w:rPr>
          <w:noProof/>
        </w:rPr>
        <w:lastRenderedPageBreak/>
        <w:drawing>
          <wp:inline distT="0" distB="0" distL="0" distR="0" wp14:anchorId="0CF8480D" wp14:editId="2BF0C36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7"/>
                    <a:stretch>
                      <a:fillRect/>
                    </a:stretch>
                  </pic:blipFill>
                  <pic:spPr>
                    <a:xfrm>
                      <a:off x="0" y="0"/>
                      <a:ext cx="5943600" cy="2523490"/>
                    </a:xfrm>
                    <a:prstGeom prst="rect">
                      <a:avLst/>
                    </a:prstGeom>
                  </pic:spPr>
                </pic:pic>
              </a:graphicData>
            </a:graphic>
          </wp:inline>
        </w:drawing>
      </w:r>
    </w:p>
    <w:p w14:paraId="7718E211" w14:textId="77777777" w:rsidR="00AA2FBE" w:rsidRDefault="00AA2FBE" w:rsidP="00AA2FBE">
      <w:pPr>
        <w:spacing w:before="200" w:after="100"/>
        <w:jc w:val="center"/>
      </w:pPr>
    </w:p>
    <w:p w14:paraId="10A58D5B" w14:textId="77777777" w:rsidR="00AA2FBE" w:rsidRDefault="00AA2FBE" w:rsidP="00AA2FBE">
      <w:pPr>
        <w:spacing w:before="100" w:after="300"/>
        <w:rPr>
          <w:sz w:val="22"/>
          <w:szCs w:val="22"/>
        </w:rPr>
      </w:pPr>
      <w:r w:rsidRPr="00B00017">
        <w:rPr>
          <w:rFonts w:ascii="Arial" w:eastAsia="Arial" w:hAnsi="Arial" w:cs="Arial"/>
          <w:b/>
          <w:bCs/>
          <w:sz w:val="22"/>
          <w:szCs w:val="22"/>
        </w:rPr>
        <w:t>Figure Extended Data 5</w:t>
      </w:r>
      <w:r>
        <w:rPr>
          <w:rFonts w:ascii="Arial" w:eastAsia="Arial" w:hAnsi="Arial" w:cs="Arial"/>
          <w:b/>
          <w:bCs/>
          <w:sz w:val="22"/>
          <w:szCs w:val="22"/>
        </w:rPr>
        <w:t>. Regional Comparison by WHO Region.</w:t>
      </w:r>
      <w:r>
        <w:rPr>
          <w:sz w:val="22"/>
          <w:szCs w:val="22"/>
        </w:rPr>
        <w:t xml:space="preserve"> (A) Biobanks and publications by WHO region. (B) Research equity by WHO region showing mean Equity Alignment Scores.</w:t>
      </w:r>
    </w:p>
    <w:p w14:paraId="0D7A53D2" w14:textId="77777777" w:rsidR="00AA2FBE" w:rsidRDefault="00AA2FBE" w:rsidP="00AA2FBE">
      <w:pPr>
        <w:spacing w:before="100" w:after="300"/>
        <w:rPr>
          <w:sz w:val="22"/>
          <w:szCs w:val="22"/>
        </w:rPr>
      </w:pPr>
    </w:p>
    <w:p w14:paraId="595D2136" w14:textId="77777777" w:rsidR="00AA2FBE" w:rsidRDefault="00AA2FBE" w:rsidP="00AA2FBE">
      <w:pPr>
        <w:spacing w:before="100" w:after="300"/>
      </w:pPr>
    </w:p>
    <w:p w14:paraId="19895AF9" w14:textId="77777777" w:rsidR="00AA2FBE" w:rsidRDefault="00AA2FBE" w:rsidP="00AA2FBE">
      <w:pPr>
        <w:jc w:val="center"/>
      </w:pPr>
      <w:r>
        <w:rPr>
          <w:rFonts w:ascii="Arial" w:eastAsia="Arial" w:hAnsi="Arial" w:cs="Arial"/>
          <w:color w:val="999999"/>
          <w:sz w:val="20"/>
          <w:szCs w:val="20"/>
        </w:rPr>
        <w:t>END OF MANUSCRIPT</w:t>
      </w:r>
    </w:p>
    <w:p w14:paraId="4573C6DE" w14:textId="77777777" w:rsidR="00AA2FBE" w:rsidRDefault="00AA2FBE" w:rsidP="00AA2FBE">
      <w:pPr>
        <w:spacing w:before="100"/>
        <w:jc w:val="center"/>
      </w:pPr>
      <w:r>
        <w:rPr>
          <w:rFonts w:ascii="Arial" w:eastAsia="Arial" w:hAnsi="Arial" w:cs="Arial"/>
          <w:i/>
          <w:iCs/>
          <w:color w:val="999999"/>
          <w:sz w:val="18"/>
          <w:szCs w:val="18"/>
        </w:rPr>
        <w:t>Version 3.0 | 3 February 2026</w:t>
      </w:r>
    </w:p>
    <w:p w14:paraId="09658C59" w14:textId="3D845A4F" w:rsidR="00AE5DA4" w:rsidRDefault="00AE5DA4" w:rsidP="00AA2FBE"/>
    <w:sectPr w:rsidR="00AE5DA4">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F3D5B" w14:textId="77777777" w:rsidR="00E03CA8" w:rsidRDefault="00E03CA8">
      <w:r>
        <w:separator/>
      </w:r>
    </w:p>
  </w:endnote>
  <w:endnote w:type="continuationSeparator" w:id="0">
    <w:p w14:paraId="75F4067E" w14:textId="77777777" w:rsidR="00E03CA8" w:rsidRDefault="00E03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206D" w14:textId="77777777" w:rsidR="00E03CA8" w:rsidRDefault="00E03CA8">
      <w:r>
        <w:separator/>
      </w:r>
    </w:p>
  </w:footnote>
  <w:footnote w:type="continuationSeparator" w:id="0">
    <w:p w14:paraId="06007D79" w14:textId="77777777" w:rsidR="00E03CA8" w:rsidRDefault="00E03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81637"/>
    <w:rsid w:val="000B32FF"/>
    <w:rsid w:val="000B3CC4"/>
    <w:rsid w:val="000F2CC4"/>
    <w:rsid w:val="0012297A"/>
    <w:rsid w:val="00135D36"/>
    <w:rsid w:val="00182BBE"/>
    <w:rsid w:val="001968DD"/>
    <w:rsid w:val="001B4D20"/>
    <w:rsid w:val="001D2950"/>
    <w:rsid w:val="001E6046"/>
    <w:rsid w:val="00281869"/>
    <w:rsid w:val="002C70E7"/>
    <w:rsid w:val="002F4827"/>
    <w:rsid w:val="00341569"/>
    <w:rsid w:val="0035138D"/>
    <w:rsid w:val="0035260C"/>
    <w:rsid w:val="0036710F"/>
    <w:rsid w:val="003A0F3B"/>
    <w:rsid w:val="003D0AEF"/>
    <w:rsid w:val="003F6871"/>
    <w:rsid w:val="004076F7"/>
    <w:rsid w:val="00432CE8"/>
    <w:rsid w:val="00450B8D"/>
    <w:rsid w:val="004920B8"/>
    <w:rsid w:val="004A1EBC"/>
    <w:rsid w:val="005117FA"/>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A10F88"/>
    <w:rsid w:val="00A13B9E"/>
    <w:rsid w:val="00A37B48"/>
    <w:rsid w:val="00AA2FBE"/>
    <w:rsid w:val="00AA4FB5"/>
    <w:rsid w:val="00AD1363"/>
    <w:rsid w:val="00AD4EC3"/>
    <w:rsid w:val="00AE2BC4"/>
    <w:rsid w:val="00AE5DA4"/>
    <w:rsid w:val="00AF0F3F"/>
    <w:rsid w:val="00B00017"/>
    <w:rsid w:val="00B31E29"/>
    <w:rsid w:val="00B42A30"/>
    <w:rsid w:val="00B46099"/>
    <w:rsid w:val="00B47764"/>
    <w:rsid w:val="00B52296"/>
    <w:rsid w:val="00B66B73"/>
    <w:rsid w:val="00B80B1B"/>
    <w:rsid w:val="00B95C9C"/>
    <w:rsid w:val="00C30EB2"/>
    <w:rsid w:val="00C77FEC"/>
    <w:rsid w:val="00C81DE5"/>
    <w:rsid w:val="00C83761"/>
    <w:rsid w:val="00C926EC"/>
    <w:rsid w:val="00C96D5C"/>
    <w:rsid w:val="00CC465A"/>
    <w:rsid w:val="00CE5FFF"/>
    <w:rsid w:val="00D0390A"/>
    <w:rsid w:val="00D23D95"/>
    <w:rsid w:val="00D4405E"/>
    <w:rsid w:val="00DB6A7F"/>
    <w:rsid w:val="00DD3D9D"/>
    <w:rsid w:val="00DE247C"/>
    <w:rsid w:val="00DE2DFB"/>
    <w:rsid w:val="00DE55D1"/>
    <w:rsid w:val="00E03CA8"/>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 w:type="paragraph" w:styleId="Bibliography">
    <w:name w:val="Bibliography"/>
    <w:basedOn w:val="Normal"/>
    <w:next w:val="Normal"/>
    <w:uiPriority w:val="37"/>
    <w:unhideWhenUsed/>
    <w:rsid w:val="00C81DE5"/>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32</Pages>
  <Words>22365</Words>
  <Characters>127487</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25</cp:revision>
  <dcterms:created xsi:type="dcterms:W3CDTF">2026-02-01T15:46:00Z</dcterms:created>
  <dcterms:modified xsi:type="dcterms:W3CDTF">2026-02-03T09:07:00Z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bibliographyStyleHasBeenSet="1"/&gt;&lt;prefs&gt;&lt;pref name="fieldType" value="Field"/&gt;&lt;/prefs&gt;&lt;/data&gt;</vt:lpwstr>
  </property>
</Properties>
</file>