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C4B7" w14:textId="77777777" w:rsidR="007C37C8" w:rsidRDefault="00000000">
      <w:pPr>
        <w:pStyle w:val="Heading"/>
      </w:pPr>
      <w:r>
        <w:t>Health Equity Informative Metrics (HEIM): A Framework for Quantifying Global Biobank Research Equity</w:t>
      </w:r>
    </w:p>
    <w:p w14:paraId="6797790B" w14:textId="77777777" w:rsidR="007C37C8" w:rsidRDefault="00000000">
      <w:pPr>
        <w:spacing w:before="200" w:after="80"/>
        <w:jc w:val="center"/>
      </w:pPr>
      <w:r>
        <w:rPr>
          <w:b/>
          <w:bCs/>
        </w:rPr>
        <w:t>Manuel Corpas</w:t>
      </w:r>
      <w:r>
        <w:rPr>
          <w:vertAlign w:val="superscript"/>
        </w:rPr>
        <w:t>1,2</w:t>
      </w:r>
      <w:r>
        <w:t>*</w:t>
      </w:r>
    </w:p>
    <w:p w14:paraId="390B8FA9" w14:textId="77777777" w:rsidR="007C37C8" w:rsidRDefault="00000000">
      <w:pPr>
        <w:spacing w:after="40"/>
        <w:jc w:val="center"/>
      </w:pPr>
      <w:r>
        <w:rPr>
          <w:sz w:val="18"/>
          <w:szCs w:val="18"/>
          <w:vertAlign w:val="superscript"/>
        </w:rPr>
        <w:t>1</w:t>
      </w:r>
      <w:r>
        <w:rPr>
          <w:i/>
          <w:iCs/>
          <w:sz w:val="18"/>
          <w:szCs w:val="18"/>
        </w:rPr>
        <w:t xml:space="preserve"> School of Life Sciences, University of Westminster, London, United Kingdom</w:t>
      </w:r>
    </w:p>
    <w:p w14:paraId="0B93191E" w14:textId="77777777" w:rsidR="007C37C8" w:rsidRDefault="00000000">
      <w:pPr>
        <w:spacing w:after="80"/>
        <w:jc w:val="center"/>
      </w:pPr>
      <w:r>
        <w:rPr>
          <w:sz w:val="18"/>
          <w:szCs w:val="18"/>
          <w:vertAlign w:val="superscript"/>
        </w:rPr>
        <w:t>2</w:t>
      </w:r>
      <w:r>
        <w:rPr>
          <w:i/>
          <w:iCs/>
          <w:sz w:val="18"/>
          <w:szCs w:val="18"/>
        </w:rPr>
        <w:t xml:space="preserve"> The Alan Turing Institute, London, United Kingdom</w:t>
      </w:r>
    </w:p>
    <w:p w14:paraId="25375BC2" w14:textId="77777777" w:rsidR="007C37C8" w:rsidRDefault="00000000">
      <w:pPr>
        <w:spacing w:after="200"/>
        <w:jc w:val="center"/>
        <w:rPr>
          <w:sz w:val="18"/>
          <w:szCs w:val="18"/>
        </w:rPr>
      </w:pPr>
      <w:r>
        <w:rPr>
          <w:sz w:val="18"/>
          <w:szCs w:val="18"/>
        </w:rPr>
        <w:t>* Corresponding author: m.corpas@westminster.ac.uk</w:t>
      </w:r>
    </w:p>
    <w:p w14:paraId="57C7DC5E" w14:textId="77777777" w:rsidR="007C37C8" w:rsidRDefault="00000000">
      <w:pPr>
        <w:spacing w:after="400"/>
        <w:jc w:val="center"/>
        <w:rPr>
          <w:i/>
          <w:iCs/>
          <w:sz w:val="18"/>
          <w:szCs w:val="18"/>
        </w:rPr>
      </w:pPr>
      <w:r>
        <w:rPr>
          <w:i/>
          <w:iCs/>
          <w:sz w:val="18"/>
          <w:szCs w:val="18"/>
        </w:rPr>
        <w:t>Preprint version 1.0 | January 2026</w:t>
      </w:r>
    </w:p>
    <w:p w14:paraId="295DF983" w14:textId="77777777" w:rsidR="007C37C8" w:rsidRDefault="00000000">
      <w:pPr>
        <w:pStyle w:val="Heading1"/>
      </w:pPr>
      <w:r>
        <w:t>Abstract</w:t>
      </w:r>
    </w:p>
    <w:p w14:paraId="1539D7A1" w14:textId="77777777" w:rsidR="007C37C8" w:rsidRDefault="00000000">
      <w:pPr>
        <w:spacing w:after="120" w:line="276" w:lineRule="auto"/>
      </w:pPr>
      <w:r>
        <w:rPr>
          <w:b/>
          <w:bCs/>
        </w:rPr>
        <w:t xml:space="preserve">Background: </w:t>
      </w:r>
      <w:r>
        <w:t>Despite representing approximately 85% of the global population, low- and middle-income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14:paraId="67120870" w14:textId="77777777" w:rsidR="007C37C8" w:rsidRDefault="00000000">
      <w:pPr>
        <w:spacing w:after="120" w:line="276" w:lineRule="auto"/>
      </w:pPr>
      <w:r>
        <w:rPr>
          <w:b/>
          <w:bCs/>
        </w:rPr>
        <w:t xml:space="preserve">Methods: </w:t>
      </w:r>
      <w:r>
        <w:t>We developed the Health Equity Informative Metrics (HEIM) framework to quantify alignment between biobank research output and global disease burden. We analysed 75,356 PubMed-indexed publications (2000-2025) from 27 biobanks across 19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high-income (HIC) to LMIC research intensity.</w:t>
      </w:r>
    </w:p>
    <w:p w14:paraId="39DA9F6F" w14:textId="77777777" w:rsidR="007C37C8" w:rsidRDefault="00000000">
      <w:pPr>
        <w:spacing w:after="120" w:line="276" w:lineRule="auto"/>
      </w:pPr>
      <w:r>
        <w:rPr>
          <w:b/>
          <w:bCs/>
        </w:rPr>
        <w:t xml:space="preserve">Findings: </w:t>
      </w:r>
      <w:r>
        <w:t>Within our 27-biobank sample, HIC biobanks produced substantially higher research output per DALY compared to LMIC biobanks (ratio: 322:1; sensitivity analyses: &gt;100:1 across methodological variations). Regional concentration was marked: the Americas and Europe accounted for 97.8% of publications, while Africa, Eastern Mediterranean, and South-East Asia combined contributed &lt;1%. Of 179 disease categories, 23 (13%) exhibited critical or high-severity research gaps despite substantial global burden. Only 4 of 27 biobanks (15%) achieved 'Strong' or 'Moderate' equity alignment scores; 19 (70%) were rated 'Poor'. Six disease categories showed critical gaps, including drowning (15.7 million DALYs, 0 mapped publications) and iodine deficiency (2.3 million DALYs, 10 publications).</w:t>
      </w:r>
    </w:p>
    <w:p w14:paraId="13232AA3" w14:textId="77777777" w:rsidR="007C37C8" w:rsidRDefault="00000000">
      <w:pPr>
        <w:spacing w:after="120" w:line="276" w:lineRule="auto"/>
      </w:pPr>
      <w:r>
        <w:rPr>
          <w:b/>
          <w:bCs/>
        </w:rPr>
        <w:t xml:space="preserve">Interpretation: </w:t>
      </w:r>
      <w:r>
        <w:t>The HEIM framework reveals substantial disparities in how biobank research capacity is distributed relative to global disease burden. While the precise equity ratio varies with sample selection and methodology, the fundamental pattern of profound inequity is robust across reasonable analytical choices. These findings provide baseline measurements for tracking progress toward more equitable genomic research and identify high-priority targets for intervention.</w:t>
      </w:r>
    </w:p>
    <w:p w14:paraId="4727635D" w14:textId="77777777" w:rsidR="007C37C8" w:rsidRDefault="00000000">
      <w:pPr>
        <w:spacing w:after="300"/>
      </w:pPr>
      <w:r>
        <w:rPr>
          <w:b/>
          <w:bCs/>
        </w:rPr>
        <w:t xml:space="preserve">Keywords: </w:t>
      </w:r>
      <w:r>
        <w:t>biobanks; health equity; genomics; global health; disability-adjusted life years; precision medicine; low- and middle-income countries</w:t>
      </w:r>
      <w:r>
        <w:br w:type="page"/>
      </w:r>
    </w:p>
    <w:p w14:paraId="4D1BD0CF" w14:textId="77777777" w:rsidR="007C37C8" w:rsidRDefault="007C37C8"/>
    <w:p w14:paraId="3F266FDD" w14:textId="77777777" w:rsidR="007C37C8" w:rsidRDefault="00000000">
      <w:pPr>
        <w:pStyle w:val="Heading1"/>
      </w:pPr>
      <w:r>
        <w:t>Introduction</w:t>
      </w:r>
    </w:p>
    <w:p w14:paraId="409E42E2" w14:textId="77777777" w:rsidR="007C37C8" w:rsidRDefault="00000000">
      <w:pPr>
        <w:spacing w:after="120" w:line="276" w:lineRule="auto"/>
      </w:pPr>
      <w:r>
        <w:t>The global genomics research enterprise faces a fundamental equity challenge. Despite representing approximately 85% of the world's population, low- and middle-income countries (LMICs) contribute less than 10% of participants across genome-wide association studies (GWAS), pharmacogenomics research, direct-to-consumer genomics, and clinical trials.¹⁻⁴ This disparity has far-reaching consequences for the generalisability and clinical utility of precision medicine approaches.</w:t>
      </w:r>
    </w:p>
    <w:p w14:paraId="1278AA87" w14:textId="77777777" w:rsidR="007C37C8" w:rsidRDefault="00000000">
      <w:pPr>
        <w:spacing w:after="120" w:line="276" w:lineRule="auto"/>
      </w:pPr>
      <w:r>
        <w:t>The consequences of this representation gap are increasingly well-documented. Polygenic risk scores (PRS) developed primarily in European-ancestry populations show reduced predictive accuracy when applied to other populations, with performance decrements of 50% or greater reported in African-ancestry cohorts.⁵⁻⁶ Variant pathogenicity assessments in clinical databases such as ClinVar exhibit systematic biases toward well-studied populations, with variants common in African and Asian populations disproportionately classified as 'variants of uncertain significance'.⁷⁻⁸ These are not merely academic concerns; they represent systematic barriers to delivering equitable precision medicine globally.</w:t>
      </w:r>
    </w:p>
    <w:p w14:paraId="3A32A907" w14:textId="77777777" w:rsidR="007C37C8" w:rsidRDefault="00000000">
      <w:pPr>
        <w:spacing w:after="120" w:line="276" w:lineRule="auto"/>
      </w:pPr>
      <w:r>
        <w:t>Global health organisations, including the World Health Organization, have increasingly called for measurable frameworks to track progress toward equitable genomic research.⁹ A recent WHO report examining 6,513 genomic clinical studies conducted between 1990 and 2024 found that high-income countries (HICs) accounted for 68% of all studies, while low-income countries (LICs) contributed less than 0.5% (</w:t>
      </w:r>
      <w:r>
        <w:rPr>
          <w:b/>
          <w:bCs/>
        </w:rPr>
        <w:t>Figure 1B</w:t>
      </w:r>
      <w:r>
        <w:t>).¹⁴ The top 10 countries alone accounted for approximately 70% of global genomic clinical research output, with China (1,420 studies) and the United States (980 studies) dominating the landscape (</w:t>
      </w:r>
      <w:r>
        <w:rPr>
          <w:b/>
          <w:bCs/>
        </w:rPr>
        <w:t>Figure 2</w:t>
      </w:r>
      <w:r>
        <w:t>). However, a significant methodological gap remains: while the problem of underrepresentation has been extensively documented, no standardised framework exists to quantify research equity at the biobank level, benchmark institutions against global health priorities, or track progress over time.</w:t>
      </w:r>
    </w:p>
    <w:p w14:paraId="448B3CEC" w14:textId="77777777" w:rsidR="007C37C8" w:rsidRDefault="00000000">
      <w:pPr>
        <w:spacing w:after="120" w:line="276" w:lineRule="auto"/>
      </w:pPr>
      <w:r>
        <w:t>Biobanks represent critical infrastructure for genomic research, linking biological samples with electronic health records and enabling the large-scale studies necessary for genomic discovery.¹⁰⁻¹² The geographic distribution of biobank capacity, however, mirrors broader inequities in research infrastructure. High-income countries host the majority of large-scale biobanks with comprehensive phenotyping and genomic data, while LMICs face systematic challenges including limited funding, infrastructure constraints, and reduced access to global research networks.</w:t>
      </w:r>
    </w:p>
    <w:p w14:paraId="2CACF93C" w14:textId="77777777" w:rsidR="007C37C8" w:rsidRDefault="00000000">
      <w:pPr>
        <w:spacing w:after="120" w:line="276" w:lineRule="auto"/>
      </w:pPr>
      <w:r>
        <w:t>This study introduces the Health Equity Informative Metrics (HEIM) framework to address this measurement gap (</w:t>
      </w:r>
      <w:r>
        <w:rPr>
          <w:b/>
          <w:bCs/>
        </w:rPr>
        <w:t>Figure 1A</w:t>
      </w:r>
      <w:r>
        <w:t>). HEIM operationalises equity assessment by comparing biobank research output against global disease burden measured in disability-adjusted life years (DALYs) from the Global Burden of Disease Study 2021.¹³ HEIM treats equity as an engineering problem amenable to systematic measurement, tracking, and targeted intervention.</w:t>
      </w:r>
    </w:p>
    <w:p w14:paraId="02E241ED" w14:textId="77777777" w:rsidR="007C37C8" w:rsidRDefault="00000000">
      <w:pPr>
        <w:spacing w:after="120" w:line="276" w:lineRule="auto"/>
      </w:pPr>
      <w:r>
        <w:t xml:space="preserve">We present findings from the first comprehensive HEIM analysis, examining 75,356 publications from 27 biobanks across 19 countries. Our objectives were to: (1) quantify the alignment between biobank research output and global disease burden; (2) identify diseases with critical research gaps despite high burden; (3) benchmark individual biobanks using </w:t>
      </w:r>
      <w:r>
        <w:lastRenderedPageBreak/>
        <w:t>standardised equity metrics; and (4) characterise regional disparities in research capacity. These baseline measurements establish a foundation for monitoring progress and informing strategic investments in genomic research equity.</w:t>
      </w:r>
    </w:p>
    <w:p w14:paraId="3D07CD61" w14:textId="77777777" w:rsidR="007C37C8" w:rsidRDefault="00000000">
      <w:pPr>
        <w:pStyle w:val="Heading1"/>
      </w:pPr>
      <w:r>
        <w:t>Methods</w:t>
      </w:r>
    </w:p>
    <w:p w14:paraId="6F5EE97D" w14:textId="77777777" w:rsidR="007C37C8" w:rsidRDefault="00000000">
      <w:pPr>
        <w:pStyle w:val="Heading2"/>
      </w:pPr>
      <w:r>
        <w:t>Data Sources</w:t>
      </w:r>
    </w:p>
    <w:p w14:paraId="27305CCB" w14:textId="77777777" w:rsidR="007C37C8" w:rsidRDefault="00000000">
      <w:pPr>
        <w:pStyle w:val="Heading3"/>
      </w:pPr>
      <w:r>
        <w:t>Publication Data</w:t>
      </w:r>
    </w:p>
    <w:p w14:paraId="05649F4E" w14:textId="1BFF19E6" w:rsidR="007C37C8" w:rsidRDefault="69F96221">
      <w:pPr>
        <w:spacing w:after="120" w:line="276" w:lineRule="auto"/>
      </w:pPr>
      <w:r>
        <w:t xml:space="preserve">We retrieved publications linked to 27 biobanks from PubMed using the NCBI Entrez API. Biobank-specific queries were constructed using institution names, acronyms, and known variants (full query strings available </w:t>
      </w:r>
      <w:r>
        <w:t>at the HEIM Equity Tool: https://manuelcorpas.github.io/17-EHR/</w:t>
      </w:r>
      <w:r>
        <w:t>). The search period spanned January 2000 to December 2025. Each publication’s Medical Subject Headings (MeSH) terms were extracted and mapped to Global Burden of Disease (GBD) 2021 disease categories using a manually curated mapping dictionary validated on a subset of 500 publications (concordance: 85.2%).</w:t>
      </w:r>
    </w:p>
    <w:p w14:paraId="004038B9" w14:textId="77777777" w:rsidR="007C37C8" w:rsidRDefault="00000000">
      <w:pPr>
        <w:pStyle w:val="Heading3"/>
      </w:pPr>
      <w:r>
        <w:t>Disease Burden Data</w:t>
      </w:r>
    </w:p>
    <w:p w14:paraId="3ACCCC53" w14:textId="77777777" w:rsidR="007C37C8" w:rsidRDefault="00000000">
      <w:pPr>
        <w:spacing w:after="120" w:line="276" w:lineRule="auto"/>
      </w:pPr>
      <w:r>
        <w:t>Disability-adjusted life years (DALYs) were obtained from the Institute for Health Metrics and Evaluation (IHME) Global Burden of Disease Study 2021.¹³ DALYs combine years of life lost (YLL) due to premature mortality with years lived with disability (YLD), providing a comprehensive measure of disease burden. We used global, all-age, both-sexes estimates for the 179 disease categories included in our analysis.</w:t>
      </w:r>
    </w:p>
    <w:p w14:paraId="5DC7720E" w14:textId="77777777" w:rsidR="007C37C8" w:rsidRDefault="00000000">
      <w:pPr>
        <w:pStyle w:val="Heading3"/>
      </w:pPr>
      <w:r>
        <w:t>Biobank Selection</w:t>
      </w:r>
    </w:p>
    <w:p w14:paraId="476F6C83" w14:textId="77777777" w:rsidR="007C37C8" w:rsidRDefault="00000000">
      <w:pPr>
        <w:spacing w:after="120" w:line="276" w:lineRule="auto"/>
      </w:pPr>
      <w:r>
        <w:t>We selected 27 biobanks based on three criteria: (1) availability of linked electronic health records enabling disease phenotyping; (2) retrievable publication record in PubMed; and (3) geographic diversity across WHO regions. We acknowledge that these criteria privilege large, well-established institutions with English-language publication records; smaller regional biobanks and those publishing primarily in non-English journals may be underrepresented. The selected biobanks span 19 countries across five WHO regions (</w:t>
      </w:r>
      <w:r>
        <w:rPr>
          <w:b/>
          <w:bCs/>
        </w:rPr>
        <w:t>Table 1</w:t>
      </w:r>
      <w:r>
        <w:t>).</w:t>
      </w:r>
    </w:p>
    <w:p w14:paraId="18A2A6DF" w14:textId="77777777" w:rsidR="007C37C8" w:rsidRDefault="00000000">
      <w:pPr>
        <w:pStyle w:val="Heading2"/>
      </w:pPr>
      <w:r>
        <w:t>Core Metric Definitions</w:t>
      </w:r>
    </w:p>
    <w:p w14:paraId="32E88537" w14:textId="77777777" w:rsidR="007C37C8" w:rsidRDefault="00000000">
      <w:pPr>
        <w:spacing w:after="120" w:line="276" w:lineRule="auto"/>
      </w:pPr>
      <w:r>
        <w:t>The HEIM framework comprises three core components that together quantify research equity (</w:t>
      </w:r>
      <w:r>
        <w:rPr>
          <w:b/>
          <w:bCs/>
        </w:rPr>
        <w:t>Figure 1A</w:t>
      </w:r>
      <w:r>
        <w:t>): Gap Severity (mismatch between research output and disease burden), Burden Miss (high-burden diseases with inadequate coverage), and Capacity Penalty (underutilisation of research capacity in underrepresented settings).</w:t>
      </w:r>
    </w:p>
    <w:p w14:paraId="1D4B5E68" w14:textId="77777777" w:rsidR="007C37C8" w:rsidRDefault="00000000">
      <w:pPr>
        <w:pStyle w:val="Heading3"/>
      </w:pPr>
      <w:r>
        <w:t>Burden Score</w:t>
      </w:r>
    </w:p>
    <w:p w14:paraId="6F7183EF" w14:textId="77777777" w:rsidR="007C37C8" w:rsidRDefault="00000000">
      <w:pPr>
        <w:spacing w:after="120" w:line="276" w:lineRule="auto"/>
      </w:pPr>
      <w:r>
        <w:t>The Burden Score quantifies the global health importance of each disease category using a logarithmic transformation to prevent high-burden conditions from dominating the analysis:</w:t>
      </w:r>
    </w:p>
    <w:p w14:paraId="70DF64F4" w14:textId="77777777" w:rsidR="007C37C8" w:rsidRDefault="00000000">
      <w:pPr>
        <w:spacing w:before="120" w:after="120"/>
        <w:jc w:val="center"/>
        <w:rPr>
          <w:i/>
          <w:iCs/>
        </w:rPr>
      </w:pPr>
      <w:r>
        <w:rPr>
          <w:i/>
          <w:iCs/>
        </w:rPr>
        <w:t>Burden Score = log₁₀(DALYs + 1) × 10</w:t>
      </w:r>
    </w:p>
    <w:p w14:paraId="4530CB84" w14:textId="77777777" w:rsidR="007C37C8" w:rsidRDefault="00000000">
      <w:pPr>
        <w:pStyle w:val="Heading3"/>
      </w:pPr>
      <w:r>
        <w:t>Gap Score</w:t>
      </w:r>
    </w:p>
    <w:p w14:paraId="7BFC6FED" w14:textId="77777777" w:rsidR="007C37C8" w:rsidRDefault="00000000">
      <w:pPr>
        <w:spacing w:after="120" w:line="276" w:lineRule="auto"/>
      </w:pPr>
      <w:r>
        <w:t>The Gap Score measures the mismatch between disease burden and research attention:</w:t>
      </w:r>
    </w:p>
    <w:p w14:paraId="1E5EC34C" w14:textId="77777777" w:rsidR="007C37C8" w:rsidRDefault="00000000">
      <w:pPr>
        <w:spacing w:before="120" w:after="120"/>
        <w:jc w:val="center"/>
        <w:rPr>
          <w:i/>
          <w:iCs/>
        </w:rPr>
      </w:pPr>
      <w:r>
        <w:rPr>
          <w:i/>
          <w:iCs/>
        </w:rPr>
        <w:t>Gap Score = Burden Score × (1 - Research Coverage)</w:t>
      </w:r>
    </w:p>
    <w:p w14:paraId="3476F92D" w14:textId="77777777" w:rsidR="007C37C8" w:rsidRDefault="00000000">
      <w:pPr>
        <w:spacing w:after="120" w:line="276" w:lineRule="auto"/>
      </w:pPr>
      <w:r>
        <w:lastRenderedPageBreak/>
        <w:t>where Research Coverage is the normalised publication count relative to the maximum observed across all diseases. Gap Scores range from 0-100, with higher values indicating larger gaps. Gap severity was classified as: Critical (&gt;70), High (50-70), Moderate (30-50), or Low (&lt;30).</w:t>
      </w:r>
    </w:p>
    <w:p w14:paraId="53420086" w14:textId="77777777" w:rsidR="007C37C8" w:rsidRDefault="00000000">
      <w:pPr>
        <w:pStyle w:val="Heading3"/>
      </w:pPr>
      <w:r>
        <w:t>Equity Alignment Score (EAS)</w:t>
      </w:r>
    </w:p>
    <w:p w14:paraId="261AF1F8" w14:textId="77777777" w:rsidR="007C37C8" w:rsidRDefault="00000000">
      <w:pPr>
        <w:spacing w:after="120" w:line="276" w:lineRule="auto"/>
      </w:pPr>
      <w:r>
        <w:t>The EAS provides an overall assessment of how well a biobank's research portfolio aligns with global disease burden:</w:t>
      </w:r>
    </w:p>
    <w:p w14:paraId="72C17009" w14:textId="77777777" w:rsidR="007C37C8" w:rsidRDefault="00000000">
      <w:pPr>
        <w:spacing w:before="120" w:after="120"/>
        <w:jc w:val="center"/>
        <w:rPr>
          <w:i/>
          <w:iCs/>
        </w:rPr>
      </w:pPr>
      <w:r>
        <w:rPr>
          <w:i/>
          <w:iCs/>
        </w:rPr>
        <w:t>EAS = f(Gap, Burden, Capacity) = 100 - (Weighted Gap Penalty + Critical Gap Penalty)</w:t>
      </w:r>
    </w:p>
    <w:p w14:paraId="01F40B46" w14:textId="77777777" w:rsidR="007C37C8" w:rsidRDefault="00000000">
      <w:pPr>
        <w:spacing w:after="120" w:line="276" w:lineRule="auto"/>
      </w:pPr>
      <w:r>
        <w:t>Scores range from 0-100 and are categorised as: Strong (≥80), Moderate (60-79), Weak (40-59), or Poor (&lt;40). EAS scoring uses global DALYs rather than region-specific burden; this is a deliberate normative choice to assess how well each biobank serves global rather than local health priorities. The category thresholds are initially heuristic; future iterations will refine boundaries based on empirical distributions.</w:t>
      </w:r>
    </w:p>
    <w:p w14:paraId="0A61359B" w14:textId="77777777" w:rsidR="007C37C8" w:rsidRDefault="00000000">
      <w:pPr>
        <w:pStyle w:val="Heading3"/>
      </w:pPr>
      <w:r>
        <w:t>Equity Ratio</w:t>
      </w:r>
    </w:p>
    <w:p w14:paraId="4E521F20" w14:textId="77777777" w:rsidR="007C37C8" w:rsidRDefault="00000000">
      <w:pPr>
        <w:spacing w:after="120" w:line="276" w:lineRule="auto"/>
      </w:pPr>
      <w:r>
        <w:t>The equity ratio compares research intensity (publications per DALY) between high-income country (HIC) and low- and middle-income country (LMIC) biobanks:</w:t>
      </w:r>
    </w:p>
    <w:p w14:paraId="3F80F8B7" w14:textId="77777777" w:rsidR="007C37C8" w:rsidRDefault="00000000">
      <w:pPr>
        <w:spacing w:before="120" w:after="120"/>
        <w:jc w:val="center"/>
        <w:rPr>
          <w:i/>
          <w:iCs/>
        </w:rPr>
      </w:pPr>
      <w:r>
        <w:rPr>
          <w:i/>
          <w:iCs/>
        </w:rPr>
        <w:t>Equity Ratio = (Publications_HIC / DALYs_HIC) / (Publications_LMIC / DALYs_LMIC)</w:t>
      </w:r>
    </w:p>
    <w:p w14:paraId="51D256D3" w14:textId="77777777" w:rsidR="007C37C8" w:rsidRDefault="00000000">
      <w:pPr>
        <w:spacing w:after="120" w:line="276" w:lineRule="auto"/>
      </w:pPr>
      <w:r>
        <w:t>A ratio of 1.0 would indicate perfect equity; higher values indicate greater HIC advantage.</w:t>
      </w:r>
    </w:p>
    <w:p w14:paraId="0D59CE66" w14:textId="77777777" w:rsidR="007C37C8" w:rsidRDefault="00000000">
      <w:pPr>
        <w:pStyle w:val="Heading2"/>
      </w:pPr>
      <w:r>
        <w:t>Validation and Sensitivity Analyses</w:t>
      </w:r>
    </w:p>
    <w:p w14:paraId="494FC831" w14:textId="77777777" w:rsidR="007C37C8" w:rsidRDefault="00000000">
      <w:pPr>
        <w:spacing w:after="120" w:line="276" w:lineRule="auto"/>
      </w:pPr>
      <w:r>
        <w:t>We conducted several sensitivity analyses to assess robustness: (1) restricting to publications from 2015-2025 only; (2) excluding the two largest biobanks (eMERGE Network, UK Biobank); (3) using alternative burden metrics (mortality alone, prevalence alone); and (4) varying MeSH-to-GBD mapping stringency. The primary equity ratio finding was robust across all variations (ratio &gt;100:1 in all scenarios).</w:t>
      </w:r>
    </w:p>
    <w:p w14:paraId="14BFCEEE" w14:textId="77777777" w:rsidR="007C37C8" w:rsidRDefault="00000000">
      <w:pPr>
        <w:pStyle w:val="Heading2"/>
      </w:pPr>
      <w:r>
        <w:t>Data Availability and Reproducibility</w:t>
      </w:r>
    </w:p>
    <w:p w14:paraId="1D722CBF" w14:textId="77777777" w:rsidR="007C37C8" w:rsidRDefault="00000000">
      <w:pPr>
        <w:spacing w:after="120" w:line="276" w:lineRule="auto"/>
      </w:pPr>
      <w:r>
        <w:t>All analysis code, mapping dictionaries, and aggregated data are available at the HEIM Equity Tool (https://manuelcorpas.github.io/17-EHR/). Raw publication data are derived from PubMed and subject to NLM terms of use. Disease burden data are available from the IHME Global Health Data Exchange.</w:t>
      </w:r>
    </w:p>
    <w:p w14:paraId="402B5C46" w14:textId="77777777" w:rsidR="007C37C8" w:rsidRDefault="00000000">
      <w:pPr>
        <w:pStyle w:val="Heading2"/>
      </w:pPr>
      <w:r>
        <w:t>Role of the Funding Source</w:t>
      </w:r>
    </w:p>
    <w:p w14:paraId="5A7FCECE" w14:textId="77777777" w:rsidR="007C37C8" w:rsidRDefault="00000000">
      <w:pPr>
        <w:spacing w:after="120" w:line="276" w:lineRule="auto"/>
      </w:pPr>
      <w:r>
        <w:t>The funders had no role in study design, data collection, analysis, interpretation, or writing of the manuscript. The corresponding author had full access to all data and final responsibility for the decision to submit for publication.</w:t>
      </w:r>
      <w:r>
        <w:br w:type="page"/>
      </w:r>
    </w:p>
    <w:p w14:paraId="742DABD2" w14:textId="77777777" w:rsidR="007C37C8" w:rsidRDefault="007C37C8"/>
    <w:p w14:paraId="17258237" w14:textId="77777777" w:rsidR="007C37C8" w:rsidRDefault="00000000">
      <w:pPr>
        <w:pStyle w:val="Heading1"/>
      </w:pPr>
      <w:r>
        <w:t>Results</w:t>
      </w:r>
    </w:p>
    <w:p w14:paraId="15013340" w14:textId="77777777" w:rsidR="007C37C8" w:rsidRDefault="00000000">
      <w:pPr>
        <w:pStyle w:val="Heading2"/>
      </w:pPr>
      <w:r>
        <w:t>Overview of Dataset</w:t>
      </w:r>
    </w:p>
    <w:p w14:paraId="6A17EBB9" w14:textId="77777777" w:rsidR="007C37C8" w:rsidRDefault="00000000">
      <w:pPr>
        <w:spacing w:after="120" w:line="276" w:lineRule="auto"/>
      </w:pPr>
      <w:r>
        <w:t>We analysed 75,356 PubMed-indexed publications from 27 biobanks across 19 countries (</w:t>
      </w:r>
      <w:r>
        <w:rPr>
          <w:b/>
          <w:bCs/>
        </w:rPr>
        <w:t>Table 1</w:t>
      </w:r>
      <w:r>
        <w:t>). Publications were mapped to 179 disease categories based on MeSH term annotations. The included biobanks span five WHO regions, with representation from both high-income (n=20) and low- and middle-income (n=7) countries.</w:t>
      </w:r>
    </w:p>
    <w:p w14:paraId="32BB115E" w14:textId="77777777" w:rsidR="007C37C8" w:rsidRDefault="00000000">
      <w:pPr>
        <w:pStyle w:val="Heading2"/>
      </w:pPr>
      <w:r>
        <w:t>Regional Distribution of Research Output</w:t>
      </w:r>
    </w:p>
    <w:p w14:paraId="4D9611F9" w14:textId="77777777" w:rsidR="007C37C8" w:rsidRDefault="00000000">
      <w:pPr>
        <w:spacing w:after="120" w:line="276" w:lineRule="auto"/>
      </w:pPr>
      <w:r>
        <w:t>Research output was highly concentrated in specific regions (</w:t>
      </w:r>
      <w:r>
        <w:rPr>
          <w:b/>
          <w:bCs/>
        </w:rPr>
        <w:t>Table 2</w:t>
      </w:r>
      <w:r>
        <w:t>). The Americas region contributed 65.4% of all publications (49,264 of 75,356), driven primarily by US-based biobanks including the eMERGE Network (47,755 publications) and Million Veteran Program (327 publications). Europe contributed 32.4% (24,445 publications), with the UK Biobank (13,341 publications) and deCODE Genetics (5,604 publications) as leading contributors.</w:t>
      </w:r>
    </w:p>
    <w:p w14:paraId="113C5A99" w14:textId="77777777" w:rsidR="007C37C8" w:rsidRDefault="00000000">
      <w:pPr>
        <w:spacing w:after="120" w:line="276" w:lineRule="auto"/>
      </w:pPr>
      <w:r>
        <w:t>Critically, Africa, Eastern Mediterranean, and South-East Asia combined contributed less than 1% of total publications (378 of 75,356). This regional concentration is the primary driver of the observed equity disparities. The geographic distribution of genomic clinical studies more broadly, as documented by the WHO (</w:t>
      </w:r>
      <w:r>
        <w:rPr>
          <w:b/>
          <w:bCs/>
        </w:rPr>
        <w:t>Figure 2</w:t>
      </w:r>
      <w:r>
        <w:t>), shows a similar pattern: China and the United States together account for over 2,400 studies, while entire regions of Africa and South America remain underrepresented.</w:t>
      </w:r>
    </w:p>
    <w:p w14:paraId="536C4A97" w14:textId="77777777" w:rsidR="007C37C8" w:rsidRDefault="00000000">
      <w:pPr>
        <w:pStyle w:val="Heading2"/>
      </w:pPr>
      <w:r>
        <w:t>Equity Ratio</w:t>
      </w:r>
    </w:p>
    <w:p w14:paraId="7C7666BB" w14:textId="77777777" w:rsidR="007C37C8" w:rsidRDefault="00000000">
      <w:pPr>
        <w:spacing w:after="120" w:line="276" w:lineRule="auto"/>
      </w:pPr>
      <w:r>
        <w:t xml:space="preserve">Within our 27-biobank sample, HIC biobanks produced substantially higher research output per DALY compared to LMIC biobanks (equity ratio: 322:1; </w:t>
      </w:r>
      <w:r>
        <w:rPr>
          <w:b/>
          <w:bCs/>
        </w:rPr>
        <w:t>Figure 1C</w:t>
      </w:r>
      <w:r>
        <w:t>). This ratio indicates that for every unit of disease burden, HIC biobanks generated 322 times more research output than LMIC biobanks.</w:t>
      </w:r>
    </w:p>
    <w:p w14:paraId="65501901" w14:textId="77777777" w:rsidR="007C37C8" w:rsidRDefault="00000000">
      <w:pPr>
        <w:spacing w:after="120" w:line="276" w:lineRule="auto"/>
      </w:pPr>
      <w:r>
        <w:t>The distribution of genomic research output by income group (</w:t>
      </w:r>
      <w:r>
        <w:rPr>
          <w:b/>
          <w:bCs/>
        </w:rPr>
        <w:t>Figure 1B</w:t>
      </w:r>
      <w:r>
        <w:t>) illustrates this disparity: HICs account for 68% of genomic clinical studies but bear a smaller proportion of global disease burden, while LICs contribute only 0.5% of studies despite bearing approximately 15% of global burden (</w:t>
      </w:r>
      <w:r>
        <w:rPr>
          <w:b/>
          <w:bCs/>
        </w:rPr>
        <w:t>Figure 1D</w:t>
      </w:r>
      <w:r>
        <w:t>).</w:t>
      </w:r>
    </w:p>
    <w:p w14:paraId="4CDC2BFB" w14:textId="77777777" w:rsidR="007C37C8" w:rsidRDefault="00000000">
      <w:pPr>
        <w:spacing w:after="120" w:line="276" w:lineRule="auto"/>
      </w:pPr>
      <w:r>
        <w:t>Sensitivity analyses confirmed the robustness of this finding. When restricting to 2015-2025 publications only, the ratio remained high (284:1). Excluding the two largest biobanks (eMERGE Network, UK Biobank) yielded a ratio of 156:1. Using mortality alone as the burden metric produced a ratio of 289:1. While the precise value varies with methodological choices, the fundamental pattern of substantial inequity was consistent across all analyses (ratio &gt;100:1 in all scenarios).</w:t>
      </w:r>
    </w:p>
    <w:p w14:paraId="35901640" w14:textId="77777777" w:rsidR="007C37C8" w:rsidRDefault="00000000">
      <w:pPr>
        <w:pStyle w:val="Heading2"/>
      </w:pPr>
      <w:r>
        <w:t>Disease-Level Research Gaps</w:t>
      </w:r>
    </w:p>
    <w:p w14:paraId="73B25576" w14:textId="77777777" w:rsidR="007C37C8" w:rsidRDefault="00000000">
      <w:pPr>
        <w:spacing w:after="120" w:line="276" w:lineRule="auto"/>
      </w:pPr>
      <w:r>
        <w:t>Of 179 disease categories analysed, 6 (3.4%) showed critical research gaps, 17 (9.5%) showed high gaps, 48 (26.8%) showed moderate gaps, and 108 (60.3%) showed low gaps (adequate coverage). The 23 diseases with critical or high gaps represent priority targets for equity-focused investment.</w:t>
      </w:r>
    </w:p>
    <w:p w14:paraId="1B858342" w14:textId="77777777" w:rsidR="007C37C8" w:rsidRDefault="00000000">
      <w:pPr>
        <w:spacing w:after="120" w:line="276" w:lineRule="auto"/>
      </w:pPr>
      <w:r>
        <w:lastRenderedPageBreak/>
        <w:t>Six disease categories exhibited critical gaps (Gap Score &gt;70), defined as conditions with substantial global burden but minimal or zero mapped publications (</w:t>
      </w:r>
      <w:r>
        <w:rPr>
          <w:b/>
          <w:bCs/>
        </w:rPr>
        <w:t>Table 3</w:t>
      </w:r>
      <w:r>
        <w:t>):</w:t>
      </w:r>
    </w:p>
    <w:p w14:paraId="6C094A53" w14:textId="77777777" w:rsidR="007C37C8" w:rsidRDefault="00000000">
      <w:pPr>
        <w:pStyle w:val="ListParagraph"/>
        <w:numPr>
          <w:ilvl w:val="0"/>
          <w:numId w:val="3"/>
        </w:numPr>
        <w:spacing w:after="80" w:line="276" w:lineRule="auto"/>
      </w:pPr>
      <w:r>
        <w:t>Drowning: 15.7 million DALYs, 0 mapped publications</w:t>
      </w:r>
    </w:p>
    <w:p w14:paraId="3B7539B4" w14:textId="77777777" w:rsidR="007C37C8" w:rsidRDefault="00000000">
      <w:pPr>
        <w:pStyle w:val="ListParagraph"/>
        <w:numPr>
          <w:ilvl w:val="0"/>
          <w:numId w:val="2"/>
        </w:numPr>
        <w:spacing w:after="80" w:line="276" w:lineRule="auto"/>
      </w:pPr>
      <w:r>
        <w:t>Iodine deficiency: 2.3 million DALYs, 10 publications</w:t>
      </w:r>
    </w:p>
    <w:p w14:paraId="1B338948" w14:textId="77777777" w:rsidR="007C37C8" w:rsidRDefault="00000000">
      <w:pPr>
        <w:pStyle w:val="ListParagraph"/>
        <w:numPr>
          <w:ilvl w:val="0"/>
          <w:numId w:val="2"/>
        </w:numPr>
        <w:spacing w:after="80" w:line="276" w:lineRule="auto"/>
      </w:pPr>
      <w:r>
        <w:t>Viral skin diseases: 4.2 million DALYs, 1 publication</w:t>
      </w:r>
    </w:p>
    <w:p w14:paraId="23264F4C" w14:textId="77777777" w:rsidR="007C37C8" w:rsidRDefault="00000000">
      <w:pPr>
        <w:pStyle w:val="ListParagraph"/>
        <w:numPr>
          <w:ilvl w:val="0"/>
          <w:numId w:val="2"/>
        </w:numPr>
        <w:spacing w:after="80" w:line="276" w:lineRule="auto"/>
      </w:pPr>
      <w:r>
        <w:t>Cysticercosis: 1.2 million DALYs, 2 publications</w:t>
      </w:r>
    </w:p>
    <w:p w14:paraId="0FBCDCAC" w14:textId="77777777" w:rsidR="007C37C8" w:rsidRDefault="00000000">
      <w:pPr>
        <w:pStyle w:val="ListParagraph"/>
        <w:numPr>
          <w:ilvl w:val="0"/>
          <w:numId w:val="2"/>
        </w:numPr>
        <w:spacing w:after="80" w:line="276" w:lineRule="auto"/>
      </w:pPr>
      <w:r>
        <w:t>Paralytic ileus and intestinal obstruction: 6.7 million DALYs, 5 publications</w:t>
      </w:r>
    </w:p>
    <w:p w14:paraId="5B6A5F97" w14:textId="77777777" w:rsidR="007C37C8" w:rsidRDefault="00000000">
      <w:pPr>
        <w:pStyle w:val="ListParagraph"/>
        <w:numPr>
          <w:ilvl w:val="0"/>
          <w:numId w:val="2"/>
        </w:numPr>
        <w:spacing w:after="80" w:line="276" w:lineRule="auto"/>
      </w:pPr>
      <w:r>
        <w:t>Scabies: 5.3 million DALYs, 6 publications</w:t>
      </w:r>
    </w:p>
    <w:p w14:paraId="1AE20B09" w14:textId="77777777" w:rsidR="007C37C8" w:rsidRDefault="00000000">
      <w:pPr>
        <w:spacing w:after="120" w:line="276" w:lineRule="auto"/>
      </w:pPr>
      <w:r>
        <w:rPr>
          <w:b/>
          <w:bCs/>
        </w:rPr>
        <w:t xml:space="preserve">Interpretation note: </w:t>
      </w:r>
      <w:r>
        <w:t>The zero publications for drowning reflects a property of our pipeline (PubMed queries, MeSH mapping) rather than a literal claim that no genomics research exists on drowning-related outcomes. Nevertheless, the near-complete absence of biobank engagement with this high-burden condition illustrates how research agendas can become disconnected from global health priorities.</w:t>
      </w:r>
    </w:p>
    <w:p w14:paraId="6CCE1050" w14:textId="77777777" w:rsidR="007C37C8" w:rsidRDefault="00000000">
      <w:pPr>
        <w:pStyle w:val="Heading2"/>
      </w:pPr>
      <w:r>
        <w:t>Biobank-Level Equity Alignment</w:t>
      </w:r>
    </w:p>
    <w:p w14:paraId="3854C82C" w14:textId="77777777" w:rsidR="007C37C8" w:rsidRDefault="00000000">
      <w:pPr>
        <w:spacing w:after="120" w:line="276" w:lineRule="auto"/>
      </w:pPr>
      <w:r>
        <w:t>Equity Alignment Scores ranged from 0.2 (EPIGEN-Brazil) to 98.3 (eMERGE Network). The distribution was heavily skewed toward lower scores (</w:t>
      </w:r>
      <w:r>
        <w:rPr>
          <w:b/>
          <w:bCs/>
        </w:rPr>
        <w:t>Table 4</w:t>
      </w:r>
      <w:r>
        <w:t>):</w:t>
      </w:r>
    </w:p>
    <w:p w14:paraId="2790043F" w14:textId="77777777" w:rsidR="007C37C8" w:rsidRDefault="00000000">
      <w:pPr>
        <w:pStyle w:val="ListParagraph"/>
        <w:numPr>
          <w:ilvl w:val="0"/>
          <w:numId w:val="2"/>
        </w:numPr>
        <w:spacing w:after="80" w:line="276" w:lineRule="auto"/>
      </w:pPr>
      <w:r>
        <w:t>Strong (EAS ≥80): 2 biobanks (7.4%)</w:t>
      </w:r>
    </w:p>
    <w:p w14:paraId="5AFFAA92" w14:textId="77777777" w:rsidR="007C37C8" w:rsidRDefault="00000000">
      <w:pPr>
        <w:pStyle w:val="ListParagraph"/>
        <w:numPr>
          <w:ilvl w:val="0"/>
          <w:numId w:val="2"/>
        </w:numPr>
        <w:spacing w:after="80" w:line="276" w:lineRule="auto"/>
      </w:pPr>
      <w:r>
        <w:t>Moderate (EAS 60-79): 2 biobanks (7.4%)</w:t>
      </w:r>
    </w:p>
    <w:p w14:paraId="1D3F7A09" w14:textId="77777777" w:rsidR="007C37C8" w:rsidRDefault="00000000">
      <w:pPr>
        <w:pStyle w:val="ListParagraph"/>
        <w:numPr>
          <w:ilvl w:val="0"/>
          <w:numId w:val="2"/>
        </w:numPr>
        <w:spacing w:after="80" w:line="276" w:lineRule="auto"/>
      </w:pPr>
      <w:r>
        <w:t>Weak (EAS 40-59): 4 biobanks (14.8%)</w:t>
      </w:r>
    </w:p>
    <w:p w14:paraId="27395A54" w14:textId="77777777" w:rsidR="007C37C8" w:rsidRDefault="00000000">
      <w:pPr>
        <w:pStyle w:val="ListParagraph"/>
        <w:numPr>
          <w:ilvl w:val="0"/>
          <w:numId w:val="2"/>
        </w:numPr>
        <w:spacing w:after="80" w:line="276" w:lineRule="auto"/>
      </w:pPr>
      <w:r>
        <w:t>Poor (EAS &lt;40): 19 biobanks (70.4%)</w:t>
      </w:r>
    </w:p>
    <w:p w14:paraId="5E4AFEB0" w14:textId="77777777" w:rsidR="007C37C8" w:rsidRDefault="00000000">
      <w:pPr>
        <w:spacing w:after="120" w:line="276" w:lineRule="auto"/>
      </w:pPr>
      <w:r>
        <w:t xml:space="preserve">The concentration in the 'Poor' category reflects systemic factors including resource constraints, infrastructure limitations, and research agendas driven by local rather than global priorities. Notably, several LMIC biobanks with low EAS scores are relatively recently established; their scores may improve as their research programmes mature. Complete biobank rankings are provided in </w:t>
      </w:r>
      <w:r>
        <w:rPr>
          <w:b/>
          <w:bCs/>
        </w:rPr>
        <w:t>Table 1</w:t>
      </w:r>
      <w:r>
        <w:t>.</w:t>
      </w:r>
    </w:p>
    <w:p w14:paraId="7E198C49" w14:textId="77777777" w:rsidR="007C37C8" w:rsidRDefault="00000000">
      <w:pPr>
        <w:pStyle w:val="Heading2"/>
      </w:pPr>
      <w:r>
        <w:t>Global South Biobanks</w:t>
      </w:r>
    </w:p>
    <w:p w14:paraId="3527D15E" w14:textId="77777777" w:rsidR="007C37C8" w:rsidRDefault="00000000">
      <w:pPr>
        <w:spacing w:after="120" w:line="276" w:lineRule="auto"/>
      </w:pPr>
      <w:r>
        <w:t>Seven biobanks in our sample serve Global South populations (</w:t>
      </w:r>
      <w:r>
        <w:rPr>
          <w:b/>
          <w:bCs/>
        </w:rPr>
        <w:t>Table 1</w:t>
      </w:r>
      <w:r>
        <w:t>, GS column). Despite resource constraints, several are emerging as important contributors to genomic equity:</w:t>
      </w:r>
    </w:p>
    <w:p w14:paraId="5397DEEF" w14:textId="77777777" w:rsidR="007C37C8" w:rsidRDefault="00000000">
      <w:pPr>
        <w:pStyle w:val="ListParagraph"/>
        <w:numPr>
          <w:ilvl w:val="0"/>
          <w:numId w:val="2"/>
        </w:numPr>
        <w:spacing w:after="80" w:line="276" w:lineRule="auto"/>
      </w:pPr>
      <w:r>
        <w:t>China Kadoorie Biobank: 516 publications covering 109 diseases (EAS: 38.7)</w:t>
      </w:r>
    </w:p>
    <w:p w14:paraId="04506439" w14:textId="77777777" w:rsidR="007C37C8" w:rsidRDefault="00000000">
      <w:pPr>
        <w:pStyle w:val="ListParagraph"/>
        <w:numPr>
          <w:ilvl w:val="0"/>
          <w:numId w:val="2"/>
        </w:numPr>
        <w:spacing w:after="80" w:line="276" w:lineRule="auto"/>
      </w:pPr>
      <w:r>
        <w:t>Qatar Biobank: 174 publications covering 72 diseases (EAS: 17.4)</w:t>
      </w:r>
    </w:p>
    <w:p w14:paraId="1B2199AE" w14:textId="77777777" w:rsidR="007C37C8" w:rsidRDefault="00000000">
      <w:pPr>
        <w:pStyle w:val="ListParagraph"/>
        <w:numPr>
          <w:ilvl w:val="0"/>
          <w:numId w:val="2"/>
        </w:numPr>
        <w:spacing w:after="80" w:line="276" w:lineRule="auto"/>
      </w:pPr>
      <w:r>
        <w:t>H3Africa Consortium: 139 publications covering 43 diseases (EAS: 16.8)</w:t>
      </w:r>
    </w:p>
    <w:p w14:paraId="731159D0" w14:textId="77777777" w:rsidR="007C37C8" w:rsidRDefault="00000000">
      <w:pPr>
        <w:pStyle w:val="ListParagraph"/>
        <w:numPr>
          <w:ilvl w:val="0"/>
          <w:numId w:val="2"/>
        </w:numPr>
        <w:spacing w:after="80" w:line="276" w:lineRule="auto"/>
      </w:pPr>
      <w:r>
        <w:t>AWI-Gen: 60 publications covering 31 diseases (EAS: 11.0)</w:t>
      </w:r>
    </w:p>
    <w:p w14:paraId="7BAF63D7" w14:textId="77777777" w:rsidR="007C37C8" w:rsidRDefault="00000000">
      <w:pPr>
        <w:spacing w:after="120" w:line="276" w:lineRule="auto"/>
      </w:pPr>
      <w:r>
        <w:t>These biobanks face systematic challenges including limited funding and infrastructure constraints, but provide critical representation for populations historically excluded from genomic research.</w:t>
      </w:r>
      <w:r>
        <w:br w:type="page"/>
      </w:r>
    </w:p>
    <w:p w14:paraId="129622DF" w14:textId="77777777" w:rsidR="007C37C8" w:rsidRDefault="007C37C8"/>
    <w:p w14:paraId="24C490EB" w14:textId="77777777" w:rsidR="007C37C8" w:rsidRDefault="00000000">
      <w:pPr>
        <w:pStyle w:val="Heading1"/>
      </w:pPr>
      <w:r>
        <w:t>Discussion</w:t>
      </w:r>
    </w:p>
    <w:p w14:paraId="23F83AEC" w14:textId="77777777" w:rsidR="007C37C8" w:rsidRDefault="00000000">
      <w:pPr>
        <w:pStyle w:val="Heading2"/>
      </w:pPr>
      <w:r>
        <w:t>Principal Findings</w:t>
      </w:r>
    </w:p>
    <w:p w14:paraId="04F94861" w14:textId="77777777" w:rsidR="007C37C8" w:rsidRDefault="00000000">
      <w:pPr>
        <w:spacing w:after="120" w:line="276" w:lineRule="auto"/>
      </w:pPr>
      <w:r>
        <w:t xml:space="preserve">This study introduces the HEIM framework for quantifying equity in global biobank research and presents baseline measurements from 27 biobanks across 19 countries. Our principal findings are threefold. First, we observed a substantial disparity in research intensity between HIC and LMIC biobanks (equity ratio: 322:1 within our sample; </w:t>
      </w:r>
      <w:r>
        <w:rPr>
          <w:b/>
          <w:bCs/>
        </w:rPr>
        <w:t>Figure 1C</w:t>
      </w:r>
      <w:r>
        <w:t>), indicating that the distribution of biobank research capacity is profoundly misaligned with global disease burden. Second, we identified 23 disease categories (13%) with critical or high-severity research gaps despite substantial global burden (</w:t>
      </w:r>
      <w:r>
        <w:rPr>
          <w:b/>
          <w:bCs/>
        </w:rPr>
        <w:t>Table 3</w:t>
      </w:r>
      <w:r>
        <w:t>), representing priority targets for equity-focused investment. Third, only 4 of 27 biobanks (15%) achieved 'Strong' or 'Moderate' equity alignment scores (</w:t>
      </w:r>
      <w:r>
        <w:rPr>
          <w:b/>
          <w:bCs/>
        </w:rPr>
        <w:t>Table 4</w:t>
      </w:r>
      <w:r>
        <w:t>), highlighting systemic underperformance across the global biobank landscape.</w:t>
      </w:r>
    </w:p>
    <w:p w14:paraId="6A5A6024" w14:textId="77777777" w:rsidR="007C37C8" w:rsidRDefault="00000000">
      <w:pPr>
        <w:pStyle w:val="Heading2"/>
      </w:pPr>
      <w:r>
        <w:t>Comparison with Prior Literature</w:t>
      </w:r>
    </w:p>
    <w:p w14:paraId="28273A0B" w14:textId="77777777" w:rsidR="007C37C8" w:rsidRDefault="00000000">
      <w:pPr>
        <w:spacing w:after="120" w:line="276" w:lineRule="auto"/>
      </w:pPr>
      <w:r>
        <w:t>Our findings are consistent with prior documentation of ancestry bias in genomic research. Popejoy and Fullerton reported that individuals of European descent comprised 79% of GWAS participants despite representing approximately 16% of the global population.³ Sirugo et al. documented persistent underrepresentation of African populations across multiple genomic research modalities.² The recent WHO report on genomic clinical studies (1990-2024) found that 68% of all studies were conducted in high-income countries, with the top 10 countries accounting for approximately 70% of global output (</w:t>
      </w:r>
      <w:r>
        <w:rPr>
          <w:b/>
          <w:bCs/>
        </w:rPr>
        <w:t>Figures 1-2</w:t>
      </w:r>
      <w:r>
        <w:t>).¹⁴ Our contribution extends this literature by providing disease-resolved, DALY-normalised equity metrics at the biobank level, enabling benchmarking and progress tracking.</w:t>
      </w:r>
    </w:p>
    <w:p w14:paraId="03EA803B" w14:textId="77777777" w:rsidR="007C37C8" w:rsidRDefault="00000000">
      <w:pPr>
        <w:spacing w:after="120" w:line="276" w:lineRule="auto"/>
      </w:pPr>
      <w:r>
        <w:t>The observed equity ratio should be interpreted carefully. While the 322:1 figure reflects the specific biobanks and time period in our analysis, sensitivity analyses confirm that the fundamental inequity is robust: the ratio exceeds 100:1 across all reasonable methodological variations. The precise value matters less than the consistent finding of profound disparity.</w:t>
      </w:r>
    </w:p>
    <w:p w14:paraId="56460ECE" w14:textId="77777777" w:rsidR="007C37C8" w:rsidRDefault="00000000">
      <w:pPr>
        <w:pStyle w:val="Heading2"/>
      </w:pPr>
      <w:r>
        <w:t>Implications for Precision Medicine</w:t>
      </w:r>
    </w:p>
    <w:p w14:paraId="58B2D797" w14:textId="77777777" w:rsidR="007C37C8" w:rsidRDefault="00000000">
      <w:pPr>
        <w:spacing w:after="120" w:line="276" w:lineRule="auto"/>
      </w:pPr>
      <w:r>
        <w:t>The research gaps identified here have direct implications for precision medicine. Conditions prevalent in LMICs but understudied in biobank research will have weaker evidence bases for genomic medicine applications. Polygenic risk scores developed without adequate representation from diverse populations will underperform in those populations.⁵⁻⁶ Variant pathogenicity databases will contain systematic blind spots for understudied ancestries.⁷⁻⁸ The HEIM framework provides a mechanism for identifying and tracking these gaps, enabling targeted interventions.</w:t>
      </w:r>
    </w:p>
    <w:p w14:paraId="6005A521" w14:textId="77777777" w:rsidR="007C37C8" w:rsidRDefault="00000000">
      <w:pPr>
        <w:pStyle w:val="Heading2"/>
      </w:pPr>
      <w:r>
        <w:t>Interpreting Critical Disease Gaps</w:t>
      </w:r>
    </w:p>
    <w:p w14:paraId="539CC4B2" w14:textId="77777777" w:rsidR="007C37C8" w:rsidRDefault="00000000">
      <w:pPr>
        <w:spacing w:after="120" w:line="276" w:lineRule="auto"/>
      </w:pPr>
      <w:r>
        <w:t>The critical gaps identified (</w:t>
      </w:r>
      <w:r>
        <w:rPr>
          <w:b/>
          <w:bCs/>
        </w:rPr>
        <w:t>Table 3</w:t>
      </w:r>
      <w:r>
        <w:t xml:space="preserve">), including drowning, iodine deficiency, and cysticercosis, warrant careful interpretation. Zero mapped publications for drowning does not indicate complete absence of relevant research; rather, it reflects the limitations of our PubMed-based, MeSH-mapped pipeline. Some high-burden conditions may have limited genomic contributions regardless of research effort. Nevertheless, the pattern of critical gaps </w:t>
      </w:r>
      <w:r>
        <w:lastRenderedPageBreak/>
        <w:t>is informative: conditions disproportionately affecting LMICs receive systematically less attention from the global biobank research enterprise.</w:t>
      </w:r>
    </w:p>
    <w:p w14:paraId="4032B51C" w14:textId="77777777" w:rsidR="007C37C8" w:rsidRDefault="00000000">
      <w:pPr>
        <w:pStyle w:val="Heading2"/>
      </w:pPr>
      <w:r>
        <w:t>Why 70% of Biobanks Score 'Poor'</w:t>
      </w:r>
    </w:p>
    <w:p w14:paraId="745AC1D8" w14:textId="77777777" w:rsidR="007C37C8" w:rsidRDefault="00000000">
      <w:pPr>
        <w:spacing w:after="120" w:line="276" w:lineRule="auto"/>
      </w:pPr>
      <w:r>
        <w:t>The concentration of biobanks in the 'Poor' EAS category (</w:t>
      </w:r>
      <w:r>
        <w:rPr>
          <w:b/>
          <w:bCs/>
        </w:rPr>
        <w:t>Table 4</w:t>
      </w:r>
      <w:r>
        <w:t>) reflects structural factors rather than individual institutional failures:</w:t>
      </w:r>
    </w:p>
    <w:p w14:paraId="58CB7108" w14:textId="77777777" w:rsidR="007C37C8" w:rsidRDefault="00000000">
      <w:pPr>
        <w:pStyle w:val="ListParagraph"/>
        <w:numPr>
          <w:ilvl w:val="0"/>
          <w:numId w:val="2"/>
        </w:numPr>
        <w:spacing w:after="80" w:line="276" w:lineRule="auto"/>
      </w:pPr>
      <w:r>
        <w:t>Resource constraints: LMIC biobanks operate with a fraction of the funding available to HIC counterparts</w:t>
      </w:r>
    </w:p>
    <w:p w14:paraId="0FBC1999" w14:textId="77777777" w:rsidR="007C37C8" w:rsidRDefault="00000000">
      <w:pPr>
        <w:pStyle w:val="ListParagraph"/>
        <w:numPr>
          <w:ilvl w:val="0"/>
          <w:numId w:val="2"/>
        </w:numPr>
        <w:spacing w:after="80" w:line="276" w:lineRule="auto"/>
      </w:pPr>
      <w:r>
        <w:t>Infrastructure gaps: Genomic sequencing, computing infrastructure, and trained personnel remain scarce in many regions</w:t>
      </w:r>
    </w:p>
    <w:p w14:paraId="3E2EC651" w14:textId="77777777" w:rsidR="007C37C8" w:rsidRDefault="00000000">
      <w:pPr>
        <w:pStyle w:val="ListParagraph"/>
        <w:numPr>
          <w:ilvl w:val="0"/>
          <w:numId w:val="2"/>
        </w:numPr>
        <w:spacing w:after="80" w:line="276" w:lineRule="auto"/>
      </w:pPr>
      <w:r>
        <w:t>Network effects: Research collaborations, journal access, and funding opportunities cluster in established centres</w:t>
      </w:r>
    </w:p>
    <w:p w14:paraId="237AF30F" w14:textId="77777777" w:rsidR="007C37C8" w:rsidRDefault="00000000">
      <w:pPr>
        <w:pStyle w:val="ListParagraph"/>
        <w:numPr>
          <w:ilvl w:val="0"/>
          <w:numId w:val="2"/>
        </w:numPr>
        <w:spacing w:after="80" w:line="276" w:lineRule="auto"/>
      </w:pPr>
      <w:r>
        <w:t>Local versus global priorities: Biobanks naturally focus on conditions prevalent in their source populations</w:t>
      </w:r>
    </w:p>
    <w:p w14:paraId="3ECB53ED" w14:textId="77777777" w:rsidR="007C37C8" w:rsidRDefault="00000000">
      <w:pPr>
        <w:spacing w:after="120" w:line="276" w:lineRule="auto"/>
      </w:pPr>
      <w:r>
        <w:t>Addressing these systemic factors requires coordinated action from funders, institutions, and policymakers. The HEIM framework provides measurement infrastructure to track whether interventions are effective.</w:t>
      </w:r>
    </w:p>
    <w:p w14:paraId="195F7DE5" w14:textId="77777777" w:rsidR="007C37C8" w:rsidRDefault="00000000">
      <w:pPr>
        <w:pStyle w:val="Heading2"/>
      </w:pPr>
      <w:r>
        <w:t>Limitations</w:t>
      </w:r>
    </w:p>
    <w:p w14:paraId="7F6D8903" w14:textId="77777777" w:rsidR="007C37C8" w:rsidRDefault="00000000">
      <w:pPr>
        <w:spacing w:after="120" w:line="276" w:lineRule="auto"/>
      </w:pPr>
      <w:r>
        <w:t>Several limitations should inform interpretation of these findings:</w:t>
      </w:r>
    </w:p>
    <w:p w14:paraId="282E3B97" w14:textId="77777777" w:rsidR="007C37C8" w:rsidRDefault="00000000">
      <w:pPr>
        <w:pStyle w:val="ListParagraph"/>
        <w:numPr>
          <w:ilvl w:val="0"/>
          <w:numId w:val="2"/>
        </w:numPr>
        <w:spacing w:after="80" w:line="276" w:lineRule="auto"/>
      </w:pPr>
      <w:r>
        <w:t>Publication coverage: Our analysis is limited to PubMed-indexed publications, potentially undercounting research published in regional journals or non-English languages</w:t>
      </w:r>
    </w:p>
    <w:p w14:paraId="10B0E14E" w14:textId="77777777" w:rsidR="007C37C8" w:rsidRDefault="00000000">
      <w:pPr>
        <w:pStyle w:val="ListParagraph"/>
        <w:numPr>
          <w:ilvl w:val="0"/>
          <w:numId w:val="2"/>
        </w:numPr>
        <w:spacing w:after="80" w:line="276" w:lineRule="auto"/>
      </w:pPr>
      <w:r>
        <w:t>MeSH mapping accuracy: Automated mapping from MeSH terms to GBD categories achieved 85% concordance with manual classification; some misclassification is expected, particularly for multimorbid conditions</w:t>
      </w:r>
    </w:p>
    <w:p w14:paraId="6CC031D1" w14:textId="77777777" w:rsidR="007C37C8" w:rsidRDefault="00000000">
      <w:pPr>
        <w:pStyle w:val="ListParagraph"/>
        <w:numPr>
          <w:ilvl w:val="0"/>
          <w:numId w:val="2"/>
        </w:numPr>
        <w:spacing w:after="80" w:line="276" w:lineRule="auto"/>
      </w:pPr>
      <w:r>
        <w:t>Biobank selection: The 27 biobanks analysed represent a convenience sample of major institutions; hundreds of smaller biobanks are not captured</w:t>
      </w:r>
    </w:p>
    <w:p w14:paraId="24441FE1" w14:textId="77777777" w:rsidR="007C37C8" w:rsidRDefault="00000000">
      <w:pPr>
        <w:pStyle w:val="ListParagraph"/>
        <w:numPr>
          <w:ilvl w:val="0"/>
          <w:numId w:val="2"/>
        </w:numPr>
        <w:spacing w:after="80" w:line="276" w:lineRule="auto"/>
      </w:pPr>
      <w:r>
        <w:t>Temporal confounding: Cumulative publication counts advantage established biobanks; recently established biobanks may appear to underperform despite rapid growth</w:t>
      </w:r>
    </w:p>
    <w:p w14:paraId="6487C571" w14:textId="77777777" w:rsidR="007C37C8" w:rsidRDefault="00000000">
      <w:pPr>
        <w:pStyle w:val="ListParagraph"/>
        <w:numPr>
          <w:ilvl w:val="0"/>
          <w:numId w:val="2"/>
        </w:numPr>
        <w:spacing w:after="80" w:line="276" w:lineRule="auto"/>
      </w:pPr>
      <w:r>
        <w:t>Quality versus quantity: Publication counts do not capture research quality, clinical impact, or translation to practice</w:t>
      </w:r>
    </w:p>
    <w:p w14:paraId="47AE5D90" w14:textId="77777777" w:rsidR="007C37C8" w:rsidRDefault="00000000">
      <w:pPr>
        <w:pStyle w:val="ListParagraph"/>
        <w:numPr>
          <w:ilvl w:val="0"/>
          <w:numId w:val="2"/>
        </w:numPr>
        <w:spacing w:after="80" w:line="276" w:lineRule="auto"/>
      </w:pPr>
      <w:r>
        <w:t>Normative choices: Using global rather than regional DALYs reflects a specific equity perspective; alternative framings are possible</w:t>
      </w:r>
    </w:p>
    <w:p w14:paraId="07482B2B" w14:textId="77777777" w:rsidR="007C37C8" w:rsidRDefault="00000000">
      <w:pPr>
        <w:spacing w:after="120" w:line="276" w:lineRule="auto"/>
      </w:pPr>
      <w:r>
        <w:t>Future versions of the HEIM framework will address these limitations through expanded data sources, improved mapping algorithms, and additional metrics capturing research quality and impact.</w:t>
      </w:r>
    </w:p>
    <w:p w14:paraId="76ACB987" w14:textId="77777777" w:rsidR="007C37C8" w:rsidRDefault="00000000">
      <w:pPr>
        <w:pStyle w:val="Heading2"/>
      </w:pPr>
      <w:r>
        <w:t>Policy Implications</w:t>
      </w:r>
    </w:p>
    <w:p w14:paraId="5B5676FD" w14:textId="77777777" w:rsidR="007C37C8" w:rsidRDefault="00000000">
      <w:pPr>
        <w:spacing w:after="120" w:line="276" w:lineRule="auto"/>
      </w:pPr>
      <w:r>
        <w:t xml:space="preserve">The HEIM framework has several potential applications for policy and practice. Research funders could incorporate equity metrics into grant evaluation criteria, weighting proposals that address high-gap diseases or involve LMIC biobanks. Biobanks could use the </w:t>
      </w:r>
      <w:r>
        <w:lastRenderedPageBreak/>
        <w:t>framework for strategic planning, identifying underserved disease areas within their capacity. Policymakers could reference equity metrics when allocating resources for genomic research infrastructure.</w:t>
      </w:r>
    </w:p>
    <w:p w14:paraId="1F1FA6FF" w14:textId="77777777" w:rsidR="007C37C8" w:rsidRDefault="00000000">
      <w:pPr>
        <w:spacing w:after="120" w:line="276" w:lineRule="auto"/>
      </w:pPr>
      <w:r>
        <w:t>We emphasise that HEIM metrics are best viewed as a platform for piloting equity-aware mechanisms, to be refined as evidence accumulates on their impact. The thresholds and weights used in our scoring represent starting points rather than definitive standards.</w:t>
      </w:r>
    </w:p>
    <w:p w14:paraId="1C564B5F" w14:textId="77777777" w:rsidR="007C37C8" w:rsidRDefault="00000000">
      <w:pPr>
        <w:pStyle w:val="Heading1"/>
      </w:pPr>
      <w:r>
        <w:t>Conclusions</w:t>
      </w:r>
    </w:p>
    <w:p w14:paraId="359640F9" w14:textId="77777777" w:rsidR="007C37C8" w:rsidRDefault="00000000">
      <w:pPr>
        <w:spacing w:after="120" w:line="276" w:lineRule="auto"/>
      </w:pPr>
      <w:r>
        <w:t>The HEIM framework provides a standardised, reproducible approach to quantifying equity in global biobank research (</w:t>
      </w:r>
      <w:r>
        <w:rPr>
          <w:b/>
          <w:bCs/>
        </w:rPr>
        <w:t>Figure 1A</w:t>
      </w:r>
      <w:r>
        <w:t>). Our analysis of 27 biobanks reveals substantial disparities in how research capacity is distributed relative to global disease burden, with HIC biobanks producing substantially higher research output per DALY than LMIC counterparts (</w:t>
      </w:r>
      <w:r>
        <w:rPr>
          <w:b/>
          <w:bCs/>
        </w:rPr>
        <w:t>Tables 1-2</w:t>
      </w:r>
      <w:r>
        <w:t xml:space="preserve">; </w:t>
      </w:r>
      <w:r>
        <w:rPr>
          <w:b/>
          <w:bCs/>
        </w:rPr>
        <w:t>Figure 1B-C</w:t>
      </w:r>
      <w:r>
        <w:t>). These findings establish baseline measurements for tracking progress toward more equitable genomic research.</w:t>
      </w:r>
    </w:p>
    <w:p w14:paraId="6047528B" w14:textId="77777777" w:rsidR="007C37C8" w:rsidRDefault="00000000">
      <w:pPr>
        <w:spacing w:after="120" w:line="276" w:lineRule="auto"/>
      </w:pPr>
      <w:r>
        <w:t>Closing the equity gap requires coordinated action across the research ecosystem: targeted funding for LMIC biobanks, capacity-building investments, equitable collaboration frameworks, and metrics that reward equity-aligned research. The HEIM framework provides the measurement infrastructure to track whether such interventions are working.</w:t>
      </w:r>
    </w:p>
    <w:p w14:paraId="2B368047" w14:textId="77777777" w:rsidR="007C37C8" w:rsidRDefault="00000000">
      <w:pPr>
        <w:spacing w:after="120" w:line="276" w:lineRule="auto"/>
      </w:pPr>
      <w:r>
        <w:t>Future work will expand the HEIM framework to include additional biobanks, refine mapping methodologies, and develop complementary metrics for research quality and clinical impact. Annual updates to the HEIM Equity Index will enable stakeholders to monitor progress and identify emerging priorities. The interactive HEIM Equity Tool (https://manuelcorpas.github.io/17-EHR/) provides real-time access to these metrics for researchers, funders, and policymakers.</w:t>
      </w:r>
      <w:r>
        <w:br w:type="page"/>
      </w:r>
    </w:p>
    <w:p w14:paraId="64E3FF34" w14:textId="77777777" w:rsidR="007C37C8" w:rsidRDefault="007C37C8"/>
    <w:p w14:paraId="19C25ECF" w14:textId="77777777" w:rsidR="007C37C8" w:rsidRDefault="00000000">
      <w:pPr>
        <w:pStyle w:val="Heading1"/>
      </w:pPr>
      <w:r>
        <w:t>Declarations</w:t>
      </w:r>
    </w:p>
    <w:p w14:paraId="50BBFAC6" w14:textId="77777777" w:rsidR="007C37C8" w:rsidRDefault="00000000">
      <w:pPr>
        <w:pStyle w:val="Heading2"/>
      </w:pPr>
      <w:r>
        <w:t>Author Contributions</w:t>
      </w:r>
    </w:p>
    <w:p w14:paraId="56905405" w14:textId="77777777" w:rsidR="007C37C8" w:rsidRDefault="00000000">
      <w:pPr>
        <w:spacing w:after="120" w:line="276" w:lineRule="auto"/>
      </w:pPr>
      <w:r>
        <w:t>MC conceived the study, developed the methodology, conducted the analyses, and wrote the manuscript.</w:t>
      </w:r>
    </w:p>
    <w:p w14:paraId="79F438B4" w14:textId="77777777" w:rsidR="007C37C8" w:rsidRDefault="00000000">
      <w:pPr>
        <w:pStyle w:val="Heading2"/>
      </w:pPr>
      <w:r>
        <w:t>Funding</w:t>
      </w:r>
    </w:p>
    <w:p w14:paraId="29303905" w14:textId="77777777" w:rsidR="007C37C8" w:rsidRDefault="00000000">
      <w:pPr>
        <w:spacing w:after="120" w:line="276" w:lineRule="auto"/>
      </w:pPr>
      <w:r>
        <w:t>No specific funding has been dedicated for this work.</w:t>
      </w:r>
    </w:p>
    <w:p w14:paraId="3A083063" w14:textId="77777777" w:rsidR="007C37C8" w:rsidRDefault="00000000">
      <w:pPr>
        <w:pStyle w:val="Heading2"/>
      </w:pPr>
      <w:r>
        <w:t>Conflicts of Interest</w:t>
      </w:r>
    </w:p>
    <w:p w14:paraId="673508F3" w14:textId="77777777" w:rsidR="007C37C8" w:rsidRDefault="00000000">
      <w:pPr>
        <w:spacing w:after="120" w:line="276" w:lineRule="auto"/>
      </w:pPr>
      <w:r>
        <w:t>The author declares no competing interests.</w:t>
      </w:r>
    </w:p>
    <w:p w14:paraId="78A53AF3" w14:textId="77777777" w:rsidR="007C37C8" w:rsidRDefault="00000000">
      <w:pPr>
        <w:pStyle w:val="Heading2"/>
      </w:pPr>
      <w:r>
        <w:t>Ethics Approval</w:t>
      </w:r>
    </w:p>
    <w:p w14:paraId="75D372F6" w14:textId="77777777" w:rsidR="007C37C8" w:rsidRDefault="00000000">
      <w:pPr>
        <w:spacing w:after="120" w:line="276" w:lineRule="auto"/>
      </w:pPr>
      <w:r>
        <w:t>This study analysed publicly available, aggregated publication data and disease burden statistics. No individual-level human subjects data were used. Institutional ethics approval was not required.</w:t>
      </w:r>
    </w:p>
    <w:p w14:paraId="4BEE3CC8" w14:textId="77777777" w:rsidR="007C37C8" w:rsidRDefault="00000000">
      <w:pPr>
        <w:pStyle w:val="Heading2"/>
      </w:pPr>
      <w:r>
        <w:t>Data Availability</w:t>
      </w:r>
    </w:p>
    <w:p w14:paraId="0D9E906A" w14:textId="77777777" w:rsidR="007C37C8" w:rsidRDefault="00000000">
      <w:pPr>
        <w:spacing w:after="120" w:line="276" w:lineRule="auto"/>
      </w:pPr>
      <w:r>
        <w:t>All aggregated data, analysis code, and mapping dictionaries are available at the HEIM Equity Tool (https://manuelcorpas.github.io/17-EHR/). Raw publication metadata are derived from PubMed and subject to NLM terms of use. Disease burden data are available from the IHME Global Health Data Exchange (https://ghdx.healthdata.org/).</w:t>
      </w:r>
    </w:p>
    <w:p w14:paraId="1716D820" w14:textId="77777777" w:rsidR="007C37C8" w:rsidRDefault="00000000">
      <w:pPr>
        <w:pStyle w:val="Heading2"/>
      </w:pPr>
      <w:r>
        <w:t>Acknowledgements</w:t>
      </w:r>
    </w:p>
    <w:p w14:paraId="626DFE24" w14:textId="77777777" w:rsidR="007C37C8" w:rsidRDefault="00000000">
      <w:pPr>
        <w:spacing w:after="120" w:line="276" w:lineRule="auto"/>
      </w:pPr>
      <w:r>
        <w:t>The author acknowledges the contributions of the global biobank community and the Institute for Health Metrics and Evaluation for making disease burden data publicly available.</w:t>
      </w:r>
      <w:r>
        <w:br w:type="page"/>
      </w:r>
    </w:p>
    <w:p w14:paraId="30BBA5F6" w14:textId="77777777" w:rsidR="007C37C8" w:rsidRDefault="007C37C8"/>
    <w:p w14:paraId="29DAA403" w14:textId="77777777" w:rsidR="007C37C8" w:rsidRDefault="00000000">
      <w:pPr>
        <w:pStyle w:val="Heading1"/>
      </w:pPr>
      <w:r>
        <w:t>References</w:t>
      </w:r>
    </w:p>
    <w:p w14:paraId="43D2D22B" w14:textId="77777777" w:rsidR="007C37C8" w:rsidRDefault="00000000">
      <w:pPr>
        <w:spacing w:after="120" w:line="276" w:lineRule="auto"/>
      </w:pPr>
      <w:r>
        <w:t>1. Corpas M, Fatumo S, Rasheed H, Guio H, Fakhro K, Iacoangeli A. Bridging genomics' greatest challenge: the diversity gap. Nat Rev Genet 2025 (in press).</w:t>
      </w:r>
    </w:p>
    <w:p w14:paraId="09D5959D" w14:textId="77777777" w:rsidR="007C37C8" w:rsidRDefault="00000000">
      <w:pPr>
        <w:spacing w:after="120" w:line="276" w:lineRule="auto"/>
      </w:pPr>
      <w:r>
        <w:t>2. Sirugo G, Williams SM, Tishkoff SA. The missing diversity in human genetic studies. Cell 2019;177:26-31.</w:t>
      </w:r>
    </w:p>
    <w:p w14:paraId="61D96147" w14:textId="77777777" w:rsidR="007C37C8" w:rsidRDefault="00000000">
      <w:pPr>
        <w:spacing w:after="120" w:line="276" w:lineRule="auto"/>
      </w:pPr>
      <w:r>
        <w:t>3. Popejoy AB, Fullerton SM. Genomics is failing on diversity. Nature 2016;538:161-164.</w:t>
      </w:r>
    </w:p>
    <w:p w14:paraId="6B75D84D" w14:textId="77777777" w:rsidR="007C37C8" w:rsidRDefault="00000000">
      <w:pPr>
        <w:spacing w:after="120" w:line="276" w:lineRule="auto"/>
      </w:pPr>
      <w:r>
        <w:t>4. Ju Y, Jia T, Yang L, et al. Importance of including non-European populations in large human genetic studies to enhance precision medicine. Annu Rev Genomics Hum Genet 2022;23:187-207.</w:t>
      </w:r>
    </w:p>
    <w:p w14:paraId="22F7F750" w14:textId="77777777" w:rsidR="007C37C8" w:rsidRDefault="00000000">
      <w:pPr>
        <w:spacing w:after="120" w:line="276" w:lineRule="auto"/>
      </w:pPr>
      <w:r>
        <w:t>5. Duncan L, Shen H, Gelaye B, et al. Analysis of polygenic risk score usage and performance in diverse human populations. Nat Commun 2019;10:3328.</w:t>
      </w:r>
    </w:p>
    <w:p w14:paraId="1DD77CC6" w14:textId="77777777" w:rsidR="007C37C8" w:rsidRDefault="00000000">
      <w:pPr>
        <w:spacing w:after="120" w:line="276" w:lineRule="auto"/>
      </w:pPr>
      <w:r>
        <w:t>6. Wang Y, Guo J, Ni G, Yang J, Visscher PM, Yengo L. Theoretical and empirical quantification of the accuracy of polygenic scores in ancestry divergent populations. Nat Commun 2020;11:3865.</w:t>
      </w:r>
    </w:p>
    <w:p w14:paraId="6EDA810F" w14:textId="77777777" w:rsidR="007C37C8" w:rsidRDefault="00000000">
      <w:pPr>
        <w:spacing w:after="120" w:line="276" w:lineRule="auto"/>
      </w:pPr>
      <w:r>
        <w:t>7. Manrai AK, Funke BH, Rehm HL, et al. Genetic misdiagnoses and the potential for health disparities. N Engl J Med 2016;375:655-665.</w:t>
      </w:r>
    </w:p>
    <w:p w14:paraId="4F960114" w14:textId="77777777" w:rsidR="007C37C8" w:rsidRDefault="00000000">
      <w:pPr>
        <w:spacing w:after="120" w:line="276" w:lineRule="auto"/>
      </w:pPr>
      <w:r>
        <w:t>8. Landrum MJ, Lee JM, Benson M, et al. ClinVar: improving access to variant interpretations and supporting evidence. Nucleic Acids Res 2018;46:D1062-D1067.</w:t>
      </w:r>
    </w:p>
    <w:p w14:paraId="48B43402" w14:textId="77777777" w:rsidR="007C37C8" w:rsidRDefault="00000000">
      <w:pPr>
        <w:spacing w:after="120" w:line="276" w:lineRule="auto"/>
      </w:pPr>
      <w:r>
        <w:t>9. World Health Organization. WHO Science Council report on the acceleration and equitable implementation of human genomics for global health. Geneva: WHO; 2024.</w:t>
      </w:r>
    </w:p>
    <w:p w14:paraId="443BFF1A" w14:textId="77777777" w:rsidR="007C37C8" w:rsidRDefault="00000000">
      <w:pPr>
        <w:spacing w:after="120" w:line="276" w:lineRule="auto"/>
      </w:pPr>
      <w:r>
        <w:t>10. Sudlow C, Gallacher J, Allen N, et al. UK Biobank: An open access resource for identifying the causes of a wide range of complex diseases of middle and old age. PLoS Med 2015;12:e1001779.</w:t>
      </w:r>
    </w:p>
    <w:p w14:paraId="4CB66222" w14:textId="77777777" w:rsidR="007C37C8" w:rsidRDefault="00000000">
      <w:pPr>
        <w:spacing w:after="120" w:line="276" w:lineRule="auto"/>
      </w:pPr>
      <w:r>
        <w:t>11. Gaziano JM, Concato J, Brophy M, et al. Million Veteran Program: A mega-biobank to study genetic influences on health and disease. J Clin Epidemiol 2016;70:214-223.</w:t>
      </w:r>
    </w:p>
    <w:p w14:paraId="0BDF9C74" w14:textId="77777777" w:rsidR="007C37C8" w:rsidRDefault="00000000">
      <w:pPr>
        <w:spacing w:after="120" w:line="276" w:lineRule="auto"/>
      </w:pPr>
      <w:r>
        <w:t>12. Gottesman O, Kuivaniemi H, Tromp G, et al. The Electronic Medical Records and Genomics (eMERGE) Network: Past, present and future. Genet Med 2013;15:761-771.</w:t>
      </w:r>
    </w:p>
    <w:p w14:paraId="1C81C969" w14:textId="77777777" w:rsidR="007C37C8" w:rsidRDefault="00000000">
      <w:pPr>
        <w:spacing w:after="120" w:line="276" w:lineRule="auto"/>
      </w:pPr>
      <w:r>
        <w:t>13. GBD 2021 Collaborators. Global burden of 369 diseases and injuries in 204 countries and territories, 1990-2021: a systematic analysis for the Global Burden of Disease Study 2021. Lancet 2022;401:1990-2034.</w:t>
      </w:r>
    </w:p>
    <w:p w14:paraId="3A188E9F" w14:textId="77777777" w:rsidR="007C37C8" w:rsidRDefault="00000000">
      <w:pPr>
        <w:spacing w:after="120" w:line="276" w:lineRule="auto"/>
      </w:pPr>
      <w:r>
        <w:t>14. World Health Organization. Human genomics technologies in clinical studies—the research landscape: report on the 1990-2024 period. Geneva: WHO; 2025.</w:t>
      </w:r>
    </w:p>
    <w:p w14:paraId="5B243C8E" w14:textId="77777777" w:rsidR="007C37C8" w:rsidRDefault="00000000">
      <w:pPr>
        <w:spacing w:after="120" w:line="276" w:lineRule="auto"/>
      </w:pPr>
      <w:r>
        <w:t>15. Fitipaldi H, McCarthy MI, Florez JC, Franks PW. Ethnic, gender and other sociodemographic biases in genome-wide association studies for the most prevalent human diseases: A systematic review. Hum Mol Genet 2023;32:520-532.</w:t>
      </w:r>
      <w:r>
        <w:br w:type="page"/>
      </w:r>
    </w:p>
    <w:p w14:paraId="183408C7" w14:textId="77777777" w:rsidR="007C37C8" w:rsidRDefault="007C37C8"/>
    <w:p w14:paraId="1F417111" w14:textId="77777777" w:rsidR="007C37C8" w:rsidRDefault="00000000">
      <w:pPr>
        <w:pStyle w:val="Heading1"/>
      </w:pPr>
      <w:r>
        <w:t>Figures</w:t>
      </w:r>
    </w:p>
    <w:p w14:paraId="2C9B6A8D" w14:textId="77777777" w:rsidR="007C37C8" w:rsidRDefault="00000000">
      <w:pPr>
        <w:spacing w:before="200" w:after="80"/>
        <w:rPr>
          <w:b/>
          <w:bCs/>
        </w:rPr>
      </w:pPr>
      <w:r>
        <w:rPr>
          <w:b/>
          <w:bCs/>
        </w:rPr>
        <w:t>Figure 1. HEIM Framework and Global Genomic Research Equity</w:t>
      </w:r>
    </w:p>
    <w:p w14:paraId="615360BD" w14:textId="2CC58AF5" w:rsidR="007C37C8" w:rsidRDefault="00000000">
      <w:pPr>
        <w:pStyle w:val="FigureLegend"/>
        <w:spacing w:after="240"/>
        <w:rPr>
          <w:b/>
          <w:bCs/>
        </w:rPr>
      </w:pPr>
      <w:r>
        <w:rPr>
          <w:b/>
          <w:noProof/>
          <w:lang w:val="en-US" w:eastAsia="en-US"/>
        </w:rPr>
        <w:pict w14:anchorId="140C8E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451.45pt;height:280.1pt;visibility:visible;mso-wrap-style:square">
            <v:imagedata r:id="rId7" o:title="" croptop="-4f" cropbottom="-4f" cropleft="-3f" cropright="-3f"/>
          </v:shape>
        </w:pict>
      </w:r>
    </w:p>
    <w:p w14:paraId="56B3115E" w14:textId="77777777" w:rsidR="007C37C8" w:rsidRDefault="00000000">
      <w:pPr>
        <w:pStyle w:val="FigureLegend"/>
        <w:spacing w:after="240"/>
      </w:pPr>
      <w:r>
        <w:rPr>
          <w:b/>
          <w:bCs/>
        </w:rPr>
        <w:t xml:space="preserve">Figure 1. </w:t>
      </w:r>
      <w:r>
        <w:t xml:space="preserve">Health Equity Informative Metrics (HEIM) framework and distribution of global genomic clinical studies. </w:t>
      </w:r>
      <w:r>
        <w:rPr>
          <w:b/>
          <w:bCs/>
        </w:rPr>
        <w:t xml:space="preserve">(A) </w:t>
      </w:r>
      <w:r>
        <w:t xml:space="preserve">Core formulation of the Equity Alignment Score (EAS), comprising three components: Gap Severity (mismatch between research output and disease burden), Burden Miss (high-burden diseases with inadequate genomic research coverage), and Capacity Penalty (underutilisation of research capacity in underrepresented settings). </w:t>
      </w:r>
      <w:r>
        <w:rPr>
          <w:b/>
          <w:bCs/>
        </w:rPr>
        <w:t xml:space="preserve">(B) </w:t>
      </w:r>
      <w:r>
        <w:t xml:space="preserve">Distribution of genomic clinical studies (1990-2024) by World Bank income group, showing research output (dark blue) versus global disease burden (grey). High-income countries (HIC) account for 68% of studies; low-income countries (LIC) contribute only 0.5% despite bearing approximately 15% of global disease burden. </w:t>
      </w:r>
      <w:r>
        <w:rPr>
          <w:b/>
          <w:bCs/>
        </w:rPr>
        <w:t xml:space="preserve">(C) </w:t>
      </w:r>
      <w:r>
        <w:t xml:space="preserve">Key finding: the publication ratio between high-income and low-income countries is 322:1, indicating that HICs produce 322 times more genomic studies per unit of disease burden. </w:t>
      </w:r>
      <w:r>
        <w:rPr>
          <w:b/>
          <w:bCs/>
        </w:rPr>
        <w:t xml:space="preserve">(D) </w:t>
      </w:r>
      <w:r>
        <w:t>Summary statistics from WHO analysis of 6,513 genomic clinical studies: 70% conducted in top 10 countries, 68% in high-income countries, and &lt;0.5% in low-income countries. Data source: World Health Organization (2025).</w:t>
      </w:r>
    </w:p>
    <w:p w14:paraId="2EAE33C4" w14:textId="77777777" w:rsidR="007C37C8" w:rsidRDefault="00000000">
      <w:pPr>
        <w:spacing w:after="300"/>
      </w:pPr>
      <w:r>
        <w:br w:type="page"/>
      </w:r>
    </w:p>
    <w:p w14:paraId="6C04C044" w14:textId="77777777" w:rsidR="007C37C8" w:rsidRDefault="007C37C8">
      <w:pPr>
        <w:rPr>
          <w:b/>
          <w:bCs/>
        </w:rPr>
      </w:pPr>
    </w:p>
    <w:p w14:paraId="0D50D749" w14:textId="77777777" w:rsidR="007C37C8" w:rsidRDefault="00000000">
      <w:pPr>
        <w:spacing w:before="200" w:after="80"/>
        <w:rPr>
          <w:b/>
          <w:bCs/>
        </w:rPr>
      </w:pPr>
      <w:r>
        <w:rPr>
          <w:b/>
          <w:bCs/>
        </w:rPr>
        <w:t>Figure 2. Global Distribution of Genomic Clinical Studies (1990-2024)</w:t>
      </w:r>
    </w:p>
    <w:p w14:paraId="715FB241" w14:textId="012C9785" w:rsidR="007C37C8" w:rsidRDefault="00000000">
      <w:pPr>
        <w:pStyle w:val="FigureLegend"/>
        <w:spacing w:after="240"/>
        <w:rPr>
          <w:b/>
          <w:bCs/>
        </w:rPr>
      </w:pPr>
      <w:r>
        <w:rPr>
          <w:b/>
          <w:noProof/>
          <w:lang w:val="en-US" w:eastAsia="en-US"/>
        </w:rPr>
        <w:pict w14:anchorId="176FF4B6">
          <v:shape id="Picture 2" o:spid="_x0000_i1025" type="#_x0000_t75" style="width:451.45pt;height:265.4pt;visibility:visible;mso-wrap-style:square">
            <v:imagedata r:id="rId8" o:title="" croptop="-3f" cropbottom="-3f" cropleft="-2f" cropright="-2f"/>
          </v:shape>
        </w:pict>
      </w:r>
    </w:p>
    <w:p w14:paraId="7F46644A" w14:textId="77777777" w:rsidR="007C37C8" w:rsidRDefault="00000000">
      <w:pPr>
        <w:pStyle w:val="FigureLegend"/>
        <w:spacing w:after="240"/>
      </w:pPr>
      <w:r>
        <w:rPr>
          <w:b/>
          <w:bCs/>
        </w:rPr>
        <w:t xml:space="preserve">Figure 2. </w:t>
      </w:r>
      <w:r>
        <w:t>Global distribution of genomic clinical studies (1990-2024) by country. Circle size is proportional to the number of studies conducted in each country (scale shown in legend). Countries are coloured by World Bank income classification: high-income (dark blue), upper-middle-income (medium blue), lower-middle-income (yellow/orange), and low-income (red outline). The top 10 countries account for approximately 70% of all 6,513 studies worldwide. China leads with 1,420 studies, followed by the United States (980), Italy (520), France (380), Germany (340), United Kingdom (310), Spain (240), Japan (180), India (150), and Netherlands (120). Note the concentration of genomic research capacity in North America, Europe, and East Asia, with minimal representation across Africa, Latin America, and South Asia. The high-income to low-income publication ratio of 322:1 reflects this geographic concentration. Data source: WHO 2025 Report on Human Genomics Technologies in Clinical Studies.</w:t>
      </w:r>
      <w:r>
        <w:br w:type="page"/>
      </w:r>
    </w:p>
    <w:p w14:paraId="4A8274AD" w14:textId="77777777" w:rsidR="007C37C8" w:rsidRDefault="007C37C8"/>
    <w:p w14:paraId="09C2EC30" w14:textId="77777777" w:rsidR="007C37C8" w:rsidRDefault="00000000">
      <w:pPr>
        <w:pStyle w:val="Heading1"/>
      </w:pPr>
      <w:r>
        <w:t>Tables</w:t>
      </w:r>
    </w:p>
    <w:p w14:paraId="15EBB107" w14:textId="77777777" w:rsidR="007C37C8" w:rsidRDefault="00000000">
      <w:pPr>
        <w:pStyle w:val="Heading2"/>
      </w:pPr>
      <w:r>
        <w:t>Table 1. Characteristics of Included Biobanks</w:t>
      </w:r>
    </w:p>
    <w:p w14:paraId="0DF306E1" w14:textId="77777777" w:rsidR="007C37C8" w:rsidRDefault="00000000">
      <w:pPr>
        <w:spacing w:after="120"/>
      </w:pPr>
      <w:r>
        <w:rPr>
          <w:i/>
          <w:iCs/>
        </w:rPr>
        <w:t xml:space="preserve">Abbreviations: </w:t>
      </w:r>
      <w:r>
        <w:rPr>
          <w:i/>
          <w:iCs/>
          <w:sz w:val="18"/>
          <w:szCs w:val="18"/>
        </w:rPr>
        <w:t>AMR = Americas; EUR = Europe; WPR = Western Pacific; AFR = Africa; EMR = Eastern Mediterranean; HIC = High-income country; LMIC = Low- and middle-income country; EAS = Equity Alignment Score; GS = Global South priority biobank.</w:t>
      </w:r>
    </w:p>
    <w:tbl>
      <w:tblPr>
        <w:tblW w:w="8200" w:type="dxa"/>
        <w:tblInd w:w="11" w:type="dxa"/>
        <w:tblLayout w:type="fixed"/>
        <w:tblCellMar>
          <w:left w:w="10" w:type="dxa"/>
          <w:right w:w="10" w:type="dxa"/>
        </w:tblCellMar>
        <w:tblLook w:val="04A0" w:firstRow="1" w:lastRow="0" w:firstColumn="1" w:lastColumn="0" w:noHBand="0" w:noVBand="1"/>
      </w:tblPr>
      <w:tblGrid>
        <w:gridCol w:w="2000"/>
        <w:gridCol w:w="1600"/>
        <w:gridCol w:w="700"/>
        <w:gridCol w:w="800"/>
        <w:gridCol w:w="900"/>
        <w:gridCol w:w="800"/>
        <w:gridCol w:w="700"/>
        <w:gridCol w:w="700"/>
      </w:tblGrid>
      <w:tr w:rsidR="007C37C8" w14:paraId="41162922" w14:textId="77777777">
        <w:trPr>
          <w:tblHeader/>
        </w:trPr>
        <w:tc>
          <w:tcPr>
            <w:tcW w:w="2000" w:type="dxa"/>
            <w:tcBorders>
              <w:top w:val="single" w:sz="2" w:space="0" w:color="808080"/>
              <w:left w:val="single" w:sz="2" w:space="0" w:color="808080"/>
              <w:bottom w:val="single" w:sz="2" w:space="0" w:color="808080"/>
              <w:right w:val="single" w:sz="2" w:space="0" w:color="808080"/>
            </w:tcBorders>
            <w:shd w:val="clear" w:color="auto" w:fill="E8E8E8"/>
          </w:tcPr>
          <w:p w14:paraId="3F5B9518" w14:textId="77777777" w:rsidR="007C37C8" w:rsidRDefault="00000000">
            <w:pPr>
              <w:rPr>
                <w:b/>
                <w:bCs/>
                <w:sz w:val="20"/>
                <w:szCs w:val="20"/>
              </w:rPr>
            </w:pPr>
            <w:r>
              <w:rPr>
                <w:b/>
                <w:bCs/>
                <w:sz w:val="20"/>
                <w:szCs w:val="20"/>
              </w:rPr>
              <w:t>Biobank</w:t>
            </w:r>
          </w:p>
        </w:tc>
        <w:tc>
          <w:tcPr>
            <w:tcW w:w="1600" w:type="dxa"/>
            <w:tcBorders>
              <w:top w:val="single" w:sz="2" w:space="0" w:color="808080"/>
              <w:left w:val="single" w:sz="2" w:space="0" w:color="808080"/>
              <w:bottom w:val="single" w:sz="2" w:space="0" w:color="808080"/>
              <w:right w:val="single" w:sz="2" w:space="0" w:color="808080"/>
            </w:tcBorders>
            <w:shd w:val="clear" w:color="auto" w:fill="E8E8E8"/>
          </w:tcPr>
          <w:p w14:paraId="37738BC4" w14:textId="77777777" w:rsidR="007C37C8" w:rsidRDefault="00000000">
            <w:pPr>
              <w:rPr>
                <w:b/>
                <w:bCs/>
                <w:sz w:val="20"/>
                <w:szCs w:val="20"/>
              </w:rPr>
            </w:pPr>
            <w:r>
              <w:rPr>
                <w:b/>
                <w:bCs/>
                <w:sz w:val="20"/>
                <w:szCs w:val="20"/>
              </w:rPr>
              <w:t>Country</w:t>
            </w:r>
          </w:p>
        </w:tc>
        <w:tc>
          <w:tcPr>
            <w:tcW w:w="700" w:type="dxa"/>
            <w:tcBorders>
              <w:top w:val="single" w:sz="2" w:space="0" w:color="808080"/>
              <w:left w:val="single" w:sz="2" w:space="0" w:color="808080"/>
              <w:bottom w:val="single" w:sz="2" w:space="0" w:color="808080"/>
              <w:right w:val="single" w:sz="2" w:space="0" w:color="808080"/>
            </w:tcBorders>
            <w:shd w:val="clear" w:color="auto" w:fill="E8E8E8"/>
          </w:tcPr>
          <w:p w14:paraId="66C5B412" w14:textId="77777777" w:rsidR="007C37C8" w:rsidRDefault="00000000">
            <w:pPr>
              <w:jc w:val="center"/>
              <w:rPr>
                <w:b/>
                <w:bCs/>
                <w:sz w:val="20"/>
                <w:szCs w:val="20"/>
              </w:rPr>
            </w:pPr>
            <w:r>
              <w:rPr>
                <w:b/>
                <w:bCs/>
                <w:sz w:val="20"/>
                <w:szCs w:val="20"/>
              </w:rPr>
              <w:t>Rgn</w:t>
            </w:r>
          </w:p>
        </w:tc>
        <w:tc>
          <w:tcPr>
            <w:tcW w:w="800" w:type="dxa"/>
            <w:tcBorders>
              <w:top w:val="single" w:sz="2" w:space="0" w:color="808080"/>
              <w:left w:val="single" w:sz="2" w:space="0" w:color="808080"/>
              <w:bottom w:val="single" w:sz="2" w:space="0" w:color="808080"/>
              <w:right w:val="single" w:sz="2" w:space="0" w:color="808080"/>
            </w:tcBorders>
            <w:shd w:val="clear" w:color="auto" w:fill="E8E8E8"/>
          </w:tcPr>
          <w:p w14:paraId="4999F686" w14:textId="77777777" w:rsidR="007C37C8" w:rsidRDefault="00000000">
            <w:pPr>
              <w:jc w:val="center"/>
              <w:rPr>
                <w:b/>
                <w:bCs/>
                <w:sz w:val="20"/>
                <w:szCs w:val="20"/>
              </w:rPr>
            </w:pPr>
            <w:r>
              <w:rPr>
                <w:b/>
                <w:bCs/>
                <w:sz w:val="20"/>
                <w:szCs w:val="20"/>
              </w:rPr>
              <w:t>Income</w:t>
            </w:r>
          </w:p>
        </w:tc>
        <w:tc>
          <w:tcPr>
            <w:tcW w:w="900" w:type="dxa"/>
            <w:tcBorders>
              <w:top w:val="single" w:sz="2" w:space="0" w:color="808080"/>
              <w:left w:val="single" w:sz="2" w:space="0" w:color="808080"/>
              <w:bottom w:val="single" w:sz="2" w:space="0" w:color="808080"/>
              <w:right w:val="single" w:sz="2" w:space="0" w:color="808080"/>
            </w:tcBorders>
            <w:shd w:val="clear" w:color="auto" w:fill="E8E8E8"/>
          </w:tcPr>
          <w:p w14:paraId="3293404E" w14:textId="77777777" w:rsidR="007C37C8" w:rsidRDefault="00000000">
            <w:pPr>
              <w:jc w:val="center"/>
              <w:rPr>
                <w:b/>
                <w:bCs/>
                <w:sz w:val="20"/>
                <w:szCs w:val="20"/>
              </w:rPr>
            </w:pPr>
            <w:r>
              <w:rPr>
                <w:b/>
                <w:bCs/>
                <w:sz w:val="20"/>
                <w:szCs w:val="20"/>
              </w:rPr>
              <w:t>Pubs</w:t>
            </w:r>
          </w:p>
        </w:tc>
        <w:tc>
          <w:tcPr>
            <w:tcW w:w="800" w:type="dxa"/>
            <w:tcBorders>
              <w:top w:val="single" w:sz="2" w:space="0" w:color="808080"/>
              <w:left w:val="single" w:sz="2" w:space="0" w:color="808080"/>
              <w:bottom w:val="single" w:sz="2" w:space="0" w:color="808080"/>
              <w:right w:val="single" w:sz="2" w:space="0" w:color="808080"/>
            </w:tcBorders>
            <w:shd w:val="clear" w:color="auto" w:fill="E8E8E8"/>
          </w:tcPr>
          <w:p w14:paraId="5616D111" w14:textId="77777777" w:rsidR="007C37C8" w:rsidRDefault="00000000">
            <w:pPr>
              <w:jc w:val="center"/>
              <w:rPr>
                <w:b/>
                <w:bCs/>
                <w:sz w:val="20"/>
                <w:szCs w:val="20"/>
              </w:rPr>
            </w:pPr>
            <w:r>
              <w:rPr>
                <w:b/>
                <w:bCs/>
                <w:sz w:val="20"/>
                <w:szCs w:val="20"/>
              </w:rPr>
              <w:t>Dis</w:t>
            </w:r>
          </w:p>
        </w:tc>
        <w:tc>
          <w:tcPr>
            <w:tcW w:w="700" w:type="dxa"/>
            <w:tcBorders>
              <w:top w:val="single" w:sz="2" w:space="0" w:color="808080"/>
              <w:left w:val="single" w:sz="2" w:space="0" w:color="808080"/>
              <w:bottom w:val="single" w:sz="2" w:space="0" w:color="808080"/>
              <w:right w:val="single" w:sz="2" w:space="0" w:color="808080"/>
            </w:tcBorders>
            <w:shd w:val="clear" w:color="auto" w:fill="E8E8E8"/>
          </w:tcPr>
          <w:p w14:paraId="445F661F" w14:textId="77777777" w:rsidR="007C37C8" w:rsidRDefault="00000000">
            <w:pPr>
              <w:jc w:val="center"/>
              <w:rPr>
                <w:b/>
                <w:bCs/>
                <w:sz w:val="20"/>
                <w:szCs w:val="20"/>
              </w:rPr>
            </w:pPr>
            <w:r>
              <w:rPr>
                <w:b/>
                <w:bCs/>
                <w:sz w:val="20"/>
                <w:szCs w:val="20"/>
              </w:rPr>
              <w:t>EAS</w:t>
            </w:r>
          </w:p>
        </w:tc>
        <w:tc>
          <w:tcPr>
            <w:tcW w:w="700" w:type="dxa"/>
            <w:tcBorders>
              <w:top w:val="single" w:sz="2" w:space="0" w:color="808080"/>
              <w:left w:val="single" w:sz="2" w:space="0" w:color="808080"/>
              <w:bottom w:val="single" w:sz="2" w:space="0" w:color="808080"/>
              <w:right w:val="single" w:sz="2" w:space="0" w:color="808080"/>
            </w:tcBorders>
            <w:shd w:val="clear" w:color="auto" w:fill="E8E8E8"/>
          </w:tcPr>
          <w:p w14:paraId="1ADD9126" w14:textId="77777777" w:rsidR="007C37C8" w:rsidRDefault="00000000">
            <w:pPr>
              <w:jc w:val="center"/>
              <w:rPr>
                <w:b/>
                <w:bCs/>
                <w:sz w:val="20"/>
                <w:szCs w:val="20"/>
              </w:rPr>
            </w:pPr>
            <w:r>
              <w:rPr>
                <w:b/>
                <w:bCs/>
                <w:sz w:val="20"/>
                <w:szCs w:val="20"/>
              </w:rPr>
              <w:t>GS</w:t>
            </w:r>
          </w:p>
        </w:tc>
      </w:tr>
      <w:tr w:rsidR="007C37C8" w14:paraId="50B97EB4" w14:textId="77777777">
        <w:tc>
          <w:tcPr>
            <w:tcW w:w="2000" w:type="dxa"/>
            <w:tcBorders>
              <w:top w:val="single" w:sz="2" w:space="0" w:color="999999"/>
              <w:left w:val="single" w:sz="2" w:space="0" w:color="999999"/>
              <w:bottom w:val="single" w:sz="2" w:space="0" w:color="999999"/>
              <w:right w:val="single" w:sz="2" w:space="0" w:color="999999"/>
            </w:tcBorders>
          </w:tcPr>
          <w:p w14:paraId="0A34DE63" w14:textId="77777777" w:rsidR="007C37C8" w:rsidRDefault="00000000">
            <w:pPr>
              <w:rPr>
                <w:sz w:val="20"/>
                <w:szCs w:val="20"/>
              </w:rPr>
            </w:pPr>
            <w:r>
              <w:rPr>
                <w:sz w:val="20"/>
                <w:szCs w:val="20"/>
              </w:rPr>
              <w:t>eMERGE Network</w:t>
            </w:r>
          </w:p>
        </w:tc>
        <w:tc>
          <w:tcPr>
            <w:tcW w:w="1600" w:type="dxa"/>
            <w:tcBorders>
              <w:top w:val="single" w:sz="2" w:space="0" w:color="999999"/>
              <w:left w:val="single" w:sz="2" w:space="0" w:color="999999"/>
              <w:bottom w:val="single" w:sz="2" w:space="0" w:color="999999"/>
              <w:right w:val="single" w:sz="2" w:space="0" w:color="999999"/>
            </w:tcBorders>
          </w:tcPr>
          <w:p w14:paraId="2944380F" w14:textId="77777777" w:rsidR="007C37C8" w:rsidRDefault="00000000">
            <w:pPr>
              <w:rPr>
                <w:sz w:val="20"/>
                <w:szCs w:val="20"/>
              </w:rPr>
            </w:pPr>
            <w:r>
              <w:rPr>
                <w:sz w:val="20"/>
                <w:szCs w:val="20"/>
              </w:rPr>
              <w:t>United States</w:t>
            </w:r>
          </w:p>
        </w:tc>
        <w:tc>
          <w:tcPr>
            <w:tcW w:w="700" w:type="dxa"/>
            <w:tcBorders>
              <w:top w:val="single" w:sz="2" w:space="0" w:color="999999"/>
              <w:left w:val="single" w:sz="2" w:space="0" w:color="999999"/>
              <w:bottom w:val="single" w:sz="2" w:space="0" w:color="999999"/>
              <w:right w:val="single" w:sz="2" w:space="0" w:color="999999"/>
            </w:tcBorders>
          </w:tcPr>
          <w:p w14:paraId="392764DA" w14:textId="77777777" w:rsidR="007C37C8" w:rsidRDefault="00000000">
            <w:pPr>
              <w:jc w:val="center"/>
              <w:rPr>
                <w:sz w:val="20"/>
                <w:szCs w:val="20"/>
              </w:rPr>
            </w:pPr>
            <w:r>
              <w:rPr>
                <w:sz w:val="20"/>
                <w:szCs w:val="20"/>
              </w:rPr>
              <w:t>AMR</w:t>
            </w:r>
          </w:p>
        </w:tc>
        <w:tc>
          <w:tcPr>
            <w:tcW w:w="800" w:type="dxa"/>
            <w:tcBorders>
              <w:top w:val="single" w:sz="2" w:space="0" w:color="999999"/>
              <w:left w:val="single" w:sz="2" w:space="0" w:color="999999"/>
              <w:bottom w:val="single" w:sz="2" w:space="0" w:color="999999"/>
              <w:right w:val="single" w:sz="2" w:space="0" w:color="999999"/>
            </w:tcBorders>
          </w:tcPr>
          <w:p w14:paraId="3754CB06"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4AFD7820" w14:textId="77777777" w:rsidR="007C37C8" w:rsidRDefault="00000000">
            <w:pPr>
              <w:jc w:val="center"/>
              <w:rPr>
                <w:sz w:val="20"/>
                <w:szCs w:val="20"/>
              </w:rPr>
            </w:pPr>
            <w:r>
              <w:rPr>
                <w:sz w:val="20"/>
                <w:szCs w:val="20"/>
              </w:rPr>
              <w:t>47,755</w:t>
            </w:r>
          </w:p>
        </w:tc>
        <w:tc>
          <w:tcPr>
            <w:tcW w:w="800" w:type="dxa"/>
            <w:tcBorders>
              <w:top w:val="single" w:sz="2" w:space="0" w:color="999999"/>
              <w:left w:val="single" w:sz="2" w:space="0" w:color="999999"/>
              <w:bottom w:val="single" w:sz="2" w:space="0" w:color="999999"/>
              <w:right w:val="single" w:sz="2" w:space="0" w:color="999999"/>
            </w:tcBorders>
          </w:tcPr>
          <w:p w14:paraId="78F64062" w14:textId="77777777" w:rsidR="007C37C8" w:rsidRDefault="00000000">
            <w:pPr>
              <w:jc w:val="center"/>
              <w:rPr>
                <w:sz w:val="20"/>
                <w:szCs w:val="20"/>
              </w:rPr>
            </w:pPr>
            <w:r>
              <w:rPr>
                <w:sz w:val="20"/>
                <w:szCs w:val="20"/>
              </w:rPr>
              <w:t>177</w:t>
            </w:r>
          </w:p>
        </w:tc>
        <w:tc>
          <w:tcPr>
            <w:tcW w:w="700" w:type="dxa"/>
            <w:tcBorders>
              <w:top w:val="single" w:sz="2" w:space="0" w:color="999999"/>
              <w:left w:val="single" w:sz="2" w:space="0" w:color="999999"/>
              <w:bottom w:val="single" w:sz="2" w:space="0" w:color="999999"/>
              <w:right w:val="single" w:sz="2" w:space="0" w:color="999999"/>
            </w:tcBorders>
          </w:tcPr>
          <w:p w14:paraId="1A10EADC" w14:textId="77777777" w:rsidR="007C37C8" w:rsidRDefault="00000000">
            <w:pPr>
              <w:jc w:val="center"/>
              <w:rPr>
                <w:sz w:val="20"/>
                <w:szCs w:val="20"/>
              </w:rPr>
            </w:pPr>
            <w:r>
              <w:rPr>
                <w:sz w:val="20"/>
                <w:szCs w:val="20"/>
              </w:rPr>
              <w:t>98.3</w:t>
            </w:r>
          </w:p>
        </w:tc>
        <w:tc>
          <w:tcPr>
            <w:tcW w:w="700" w:type="dxa"/>
            <w:tcBorders>
              <w:top w:val="single" w:sz="2" w:space="0" w:color="999999"/>
              <w:left w:val="single" w:sz="2" w:space="0" w:color="999999"/>
              <w:bottom w:val="single" w:sz="2" w:space="0" w:color="999999"/>
              <w:right w:val="single" w:sz="2" w:space="0" w:color="999999"/>
            </w:tcBorders>
          </w:tcPr>
          <w:p w14:paraId="160ECC1F" w14:textId="77777777" w:rsidR="007C37C8" w:rsidRDefault="00000000">
            <w:pPr>
              <w:jc w:val="center"/>
              <w:rPr>
                <w:sz w:val="20"/>
                <w:szCs w:val="20"/>
              </w:rPr>
            </w:pPr>
            <w:r>
              <w:rPr>
                <w:sz w:val="20"/>
                <w:szCs w:val="20"/>
              </w:rPr>
              <w:t>N</w:t>
            </w:r>
          </w:p>
        </w:tc>
      </w:tr>
      <w:tr w:rsidR="007C37C8" w14:paraId="7E0FA80F" w14:textId="77777777">
        <w:tc>
          <w:tcPr>
            <w:tcW w:w="2000" w:type="dxa"/>
            <w:tcBorders>
              <w:top w:val="single" w:sz="2" w:space="0" w:color="999999"/>
              <w:left w:val="single" w:sz="2" w:space="0" w:color="999999"/>
              <w:bottom w:val="single" w:sz="2" w:space="0" w:color="999999"/>
              <w:right w:val="single" w:sz="2" w:space="0" w:color="999999"/>
            </w:tcBorders>
          </w:tcPr>
          <w:p w14:paraId="773E9721" w14:textId="77777777" w:rsidR="007C37C8" w:rsidRDefault="00000000">
            <w:pPr>
              <w:rPr>
                <w:sz w:val="20"/>
                <w:szCs w:val="20"/>
              </w:rPr>
            </w:pPr>
            <w:r>
              <w:rPr>
                <w:sz w:val="20"/>
                <w:szCs w:val="20"/>
              </w:rPr>
              <w:t>UK Biobank</w:t>
            </w:r>
          </w:p>
        </w:tc>
        <w:tc>
          <w:tcPr>
            <w:tcW w:w="1600" w:type="dxa"/>
            <w:tcBorders>
              <w:top w:val="single" w:sz="2" w:space="0" w:color="999999"/>
              <w:left w:val="single" w:sz="2" w:space="0" w:color="999999"/>
              <w:bottom w:val="single" w:sz="2" w:space="0" w:color="999999"/>
              <w:right w:val="single" w:sz="2" w:space="0" w:color="999999"/>
            </w:tcBorders>
          </w:tcPr>
          <w:p w14:paraId="3738C1BA" w14:textId="77777777" w:rsidR="007C37C8" w:rsidRDefault="00000000">
            <w:pPr>
              <w:rPr>
                <w:sz w:val="20"/>
                <w:szCs w:val="20"/>
              </w:rPr>
            </w:pPr>
            <w:r>
              <w:rPr>
                <w:sz w:val="20"/>
                <w:szCs w:val="20"/>
              </w:rPr>
              <w:t>United Kingdom</w:t>
            </w:r>
          </w:p>
        </w:tc>
        <w:tc>
          <w:tcPr>
            <w:tcW w:w="700" w:type="dxa"/>
            <w:tcBorders>
              <w:top w:val="single" w:sz="2" w:space="0" w:color="999999"/>
              <w:left w:val="single" w:sz="2" w:space="0" w:color="999999"/>
              <w:bottom w:val="single" w:sz="2" w:space="0" w:color="999999"/>
              <w:right w:val="single" w:sz="2" w:space="0" w:color="999999"/>
            </w:tcBorders>
          </w:tcPr>
          <w:p w14:paraId="176CD643" w14:textId="77777777" w:rsidR="007C37C8" w:rsidRDefault="00000000">
            <w:pPr>
              <w:jc w:val="center"/>
              <w:rPr>
                <w:sz w:val="20"/>
                <w:szCs w:val="20"/>
              </w:rPr>
            </w:pPr>
            <w:r>
              <w:rPr>
                <w:sz w:val="20"/>
                <w:szCs w:val="20"/>
              </w:rPr>
              <w:t>EUR</w:t>
            </w:r>
          </w:p>
        </w:tc>
        <w:tc>
          <w:tcPr>
            <w:tcW w:w="800" w:type="dxa"/>
            <w:tcBorders>
              <w:top w:val="single" w:sz="2" w:space="0" w:color="999999"/>
              <w:left w:val="single" w:sz="2" w:space="0" w:color="999999"/>
              <w:bottom w:val="single" w:sz="2" w:space="0" w:color="999999"/>
              <w:right w:val="single" w:sz="2" w:space="0" w:color="999999"/>
            </w:tcBorders>
          </w:tcPr>
          <w:p w14:paraId="45648C13"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3D5E9689" w14:textId="77777777" w:rsidR="007C37C8" w:rsidRDefault="00000000">
            <w:pPr>
              <w:jc w:val="center"/>
              <w:rPr>
                <w:sz w:val="20"/>
                <w:szCs w:val="20"/>
              </w:rPr>
            </w:pPr>
            <w:r>
              <w:rPr>
                <w:sz w:val="20"/>
                <w:szCs w:val="20"/>
              </w:rPr>
              <w:t>13,341</w:t>
            </w:r>
          </w:p>
        </w:tc>
        <w:tc>
          <w:tcPr>
            <w:tcW w:w="800" w:type="dxa"/>
            <w:tcBorders>
              <w:top w:val="single" w:sz="2" w:space="0" w:color="999999"/>
              <w:left w:val="single" w:sz="2" w:space="0" w:color="999999"/>
              <w:bottom w:val="single" w:sz="2" w:space="0" w:color="999999"/>
              <w:right w:val="single" w:sz="2" w:space="0" w:color="999999"/>
            </w:tcBorders>
          </w:tcPr>
          <w:p w14:paraId="70C1D33E" w14:textId="77777777" w:rsidR="007C37C8" w:rsidRDefault="00000000">
            <w:pPr>
              <w:jc w:val="center"/>
              <w:rPr>
                <w:sz w:val="20"/>
                <w:szCs w:val="20"/>
              </w:rPr>
            </w:pPr>
            <w:r>
              <w:rPr>
                <w:sz w:val="20"/>
                <w:szCs w:val="20"/>
              </w:rPr>
              <w:t>163</w:t>
            </w:r>
          </w:p>
        </w:tc>
        <w:tc>
          <w:tcPr>
            <w:tcW w:w="700" w:type="dxa"/>
            <w:tcBorders>
              <w:top w:val="single" w:sz="2" w:space="0" w:color="999999"/>
              <w:left w:val="single" w:sz="2" w:space="0" w:color="999999"/>
              <w:bottom w:val="single" w:sz="2" w:space="0" w:color="999999"/>
              <w:right w:val="single" w:sz="2" w:space="0" w:color="999999"/>
            </w:tcBorders>
          </w:tcPr>
          <w:p w14:paraId="56D1EAAE" w14:textId="77777777" w:rsidR="007C37C8" w:rsidRDefault="00000000">
            <w:pPr>
              <w:jc w:val="center"/>
              <w:rPr>
                <w:sz w:val="20"/>
                <w:szCs w:val="20"/>
              </w:rPr>
            </w:pPr>
            <w:r>
              <w:rPr>
                <w:sz w:val="20"/>
                <w:szCs w:val="20"/>
              </w:rPr>
              <w:t>84.9</w:t>
            </w:r>
          </w:p>
        </w:tc>
        <w:tc>
          <w:tcPr>
            <w:tcW w:w="700" w:type="dxa"/>
            <w:tcBorders>
              <w:top w:val="single" w:sz="2" w:space="0" w:color="999999"/>
              <w:left w:val="single" w:sz="2" w:space="0" w:color="999999"/>
              <w:bottom w:val="single" w:sz="2" w:space="0" w:color="999999"/>
              <w:right w:val="single" w:sz="2" w:space="0" w:color="999999"/>
            </w:tcBorders>
          </w:tcPr>
          <w:p w14:paraId="4E250A79" w14:textId="77777777" w:rsidR="007C37C8" w:rsidRDefault="00000000">
            <w:pPr>
              <w:jc w:val="center"/>
              <w:rPr>
                <w:sz w:val="20"/>
                <w:szCs w:val="20"/>
              </w:rPr>
            </w:pPr>
            <w:r>
              <w:rPr>
                <w:sz w:val="20"/>
                <w:szCs w:val="20"/>
              </w:rPr>
              <w:t>N</w:t>
            </w:r>
          </w:p>
        </w:tc>
      </w:tr>
      <w:tr w:rsidR="007C37C8" w14:paraId="09E39B58" w14:textId="77777777">
        <w:tc>
          <w:tcPr>
            <w:tcW w:w="2000" w:type="dxa"/>
            <w:tcBorders>
              <w:top w:val="single" w:sz="2" w:space="0" w:color="999999"/>
              <w:left w:val="single" w:sz="2" w:space="0" w:color="999999"/>
              <w:bottom w:val="single" w:sz="2" w:space="0" w:color="999999"/>
              <w:right w:val="single" w:sz="2" w:space="0" w:color="999999"/>
            </w:tcBorders>
          </w:tcPr>
          <w:p w14:paraId="39AF3B10" w14:textId="77777777" w:rsidR="007C37C8" w:rsidRDefault="00000000">
            <w:pPr>
              <w:rPr>
                <w:sz w:val="20"/>
                <w:szCs w:val="20"/>
              </w:rPr>
            </w:pPr>
            <w:r>
              <w:rPr>
                <w:sz w:val="20"/>
                <w:szCs w:val="20"/>
              </w:rPr>
              <w:t>deCODE Genetics</w:t>
            </w:r>
          </w:p>
        </w:tc>
        <w:tc>
          <w:tcPr>
            <w:tcW w:w="1600" w:type="dxa"/>
            <w:tcBorders>
              <w:top w:val="single" w:sz="2" w:space="0" w:color="999999"/>
              <w:left w:val="single" w:sz="2" w:space="0" w:color="999999"/>
              <w:bottom w:val="single" w:sz="2" w:space="0" w:color="999999"/>
              <w:right w:val="single" w:sz="2" w:space="0" w:color="999999"/>
            </w:tcBorders>
          </w:tcPr>
          <w:p w14:paraId="1279B925" w14:textId="77777777" w:rsidR="007C37C8" w:rsidRDefault="00000000">
            <w:pPr>
              <w:rPr>
                <w:sz w:val="20"/>
                <w:szCs w:val="20"/>
              </w:rPr>
            </w:pPr>
            <w:r>
              <w:rPr>
                <w:sz w:val="20"/>
                <w:szCs w:val="20"/>
              </w:rPr>
              <w:t>Iceland</w:t>
            </w:r>
          </w:p>
        </w:tc>
        <w:tc>
          <w:tcPr>
            <w:tcW w:w="700" w:type="dxa"/>
            <w:tcBorders>
              <w:top w:val="single" w:sz="2" w:space="0" w:color="999999"/>
              <w:left w:val="single" w:sz="2" w:space="0" w:color="999999"/>
              <w:bottom w:val="single" w:sz="2" w:space="0" w:color="999999"/>
              <w:right w:val="single" w:sz="2" w:space="0" w:color="999999"/>
            </w:tcBorders>
          </w:tcPr>
          <w:p w14:paraId="62C07C3B" w14:textId="77777777" w:rsidR="007C37C8" w:rsidRDefault="00000000">
            <w:pPr>
              <w:jc w:val="center"/>
              <w:rPr>
                <w:sz w:val="20"/>
                <w:szCs w:val="20"/>
              </w:rPr>
            </w:pPr>
            <w:r>
              <w:rPr>
                <w:sz w:val="20"/>
                <w:szCs w:val="20"/>
              </w:rPr>
              <w:t>EUR</w:t>
            </w:r>
          </w:p>
        </w:tc>
        <w:tc>
          <w:tcPr>
            <w:tcW w:w="800" w:type="dxa"/>
            <w:tcBorders>
              <w:top w:val="single" w:sz="2" w:space="0" w:color="999999"/>
              <w:left w:val="single" w:sz="2" w:space="0" w:color="999999"/>
              <w:bottom w:val="single" w:sz="2" w:space="0" w:color="999999"/>
              <w:right w:val="single" w:sz="2" w:space="0" w:color="999999"/>
            </w:tcBorders>
          </w:tcPr>
          <w:p w14:paraId="0D6AE1B1"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5860F93F" w14:textId="77777777" w:rsidR="007C37C8" w:rsidRDefault="00000000">
            <w:pPr>
              <w:jc w:val="center"/>
              <w:rPr>
                <w:sz w:val="20"/>
                <w:szCs w:val="20"/>
              </w:rPr>
            </w:pPr>
            <w:r>
              <w:rPr>
                <w:sz w:val="20"/>
                <w:szCs w:val="20"/>
              </w:rPr>
              <w:t>5,604</w:t>
            </w:r>
          </w:p>
        </w:tc>
        <w:tc>
          <w:tcPr>
            <w:tcW w:w="800" w:type="dxa"/>
            <w:tcBorders>
              <w:top w:val="single" w:sz="2" w:space="0" w:color="999999"/>
              <w:left w:val="single" w:sz="2" w:space="0" w:color="999999"/>
              <w:bottom w:val="single" w:sz="2" w:space="0" w:color="999999"/>
              <w:right w:val="single" w:sz="2" w:space="0" w:color="999999"/>
            </w:tcBorders>
          </w:tcPr>
          <w:p w14:paraId="1B46DDB3" w14:textId="77777777" w:rsidR="007C37C8" w:rsidRDefault="00000000">
            <w:pPr>
              <w:jc w:val="center"/>
              <w:rPr>
                <w:sz w:val="20"/>
                <w:szCs w:val="20"/>
              </w:rPr>
            </w:pPr>
            <w:r>
              <w:rPr>
                <w:sz w:val="20"/>
                <w:szCs w:val="20"/>
              </w:rPr>
              <w:t>154</w:t>
            </w:r>
          </w:p>
        </w:tc>
        <w:tc>
          <w:tcPr>
            <w:tcW w:w="700" w:type="dxa"/>
            <w:tcBorders>
              <w:top w:val="single" w:sz="2" w:space="0" w:color="999999"/>
              <w:left w:val="single" w:sz="2" w:space="0" w:color="999999"/>
              <w:bottom w:val="single" w:sz="2" w:space="0" w:color="999999"/>
              <w:right w:val="single" w:sz="2" w:space="0" w:color="999999"/>
            </w:tcBorders>
          </w:tcPr>
          <w:p w14:paraId="08B3E084" w14:textId="77777777" w:rsidR="007C37C8" w:rsidRDefault="00000000">
            <w:pPr>
              <w:jc w:val="center"/>
              <w:rPr>
                <w:sz w:val="20"/>
                <w:szCs w:val="20"/>
              </w:rPr>
            </w:pPr>
            <w:r>
              <w:rPr>
                <w:sz w:val="20"/>
                <w:szCs w:val="20"/>
              </w:rPr>
              <w:t>69.4</w:t>
            </w:r>
          </w:p>
        </w:tc>
        <w:tc>
          <w:tcPr>
            <w:tcW w:w="700" w:type="dxa"/>
            <w:tcBorders>
              <w:top w:val="single" w:sz="2" w:space="0" w:color="999999"/>
              <w:left w:val="single" w:sz="2" w:space="0" w:color="999999"/>
              <w:bottom w:val="single" w:sz="2" w:space="0" w:color="999999"/>
              <w:right w:val="single" w:sz="2" w:space="0" w:color="999999"/>
            </w:tcBorders>
          </w:tcPr>
          <w:p w14:paraId="77B8DC2D" w14:textId="77777777" w:rsidR="007C37C8" w:rsidRDefault="00000000">
            <w:pPr>
              <w:jc w:val="center"/>
              <w:rPr>
                <w:sz w:val="20"/>
                <w:szCs w:val="20"/>
              </w:rPr>
            </w:pPr>
            <w:r>
              <w:rPr>
                <w:sz w:val="20"/>
                <w:szCs w:val="20"/>
              </w:rPr>
              <w:t>N</w:t>
            </w:r>
          </w:p>
        </w:tc>
      </w:tr>
      <w:tr w:rsidR="007C37C8" w14:paraId="63130EE2" w14:textId="77777777">
        <w:tc>
          <w:tcPr>
            <w:tcW w:w="2000" w:type="dxa"/>
            <w:tcBorders>
              <w:top w:val="single" w:sz="2" w:space="0" w:color="999999"/>
              <w:left w:val="single" w:sz="2" w:space="0" w:color="999999"/>
              <w:bottom w:val="single" w:sz="2" w:space="0" w:color="999999"/>
              <w:right w:val="single" w:sz="2" w:space="0" w:color="999999"/>
            </w:tcBorders>
          </w:tcPr>
          <w:p w14:paraId="7BCB2F25" w14:textId="77777777" w:rsidR="007C37C8" w:rsidRDefault="00000000">
            <w:pPr>
              <w:rPr>
                <w:sz w:val="20"/>
                <w:szCs w:val="20"/>
              </w:rPr>
            </w:pPr>
            <w:r>
              <w:rPr>
                <w:sz w:val="20"/>
                <w:szCs w:val="20"/>
              </w:rPr>
              <w:t>FinnGen</w:t>
            </w:r>
          </w:p>
        </w:tc>
        <w:tc>
          <w:tcPr>
            <w:tcW w:w="1600" w:type="dxa"/>
            <w:tcBorders>
              <w:top w:val="single" w:sz="2" w:space="0" w:color="999999"/>
              <w:left w:val="single" w:sz="2" w:space="0" w:color="999999"/>
              <w:bottom w:val="single" w:sz="2" w:space="0" w:color="999999"/>
              <w:right w:val="single" w:sz="2" w:space="0" w:color="999999"/>
            </w:tcBorders>
          </w:tcPr>
          <w:p w14:paraId="3CDC96C7" w14:textId="77777777" w:rsidR="007C37C8" w:rsidRDefault="00000000">
            <w:pPr>
              <w:rPr>
                <w:sz w:val="20"/>
                <w:szCs w:val="20"/>
              </w:rPr>
            </w:pPr>
            <w:r>
              <w:rPr>
                <w:sz w:val="20"/>
                <w:szCs w:val="20"/>
              </w:rPr>
              <w:t>Finland</w:t>
            </w:r>
          </w:p>
        </w:tc>
        <w:tc>
          <w:tcPr>
            <w:tcW w:w="700" w:type="dxa"/>
            <w:tcBorders>
              <w:top w:val="single" w:sz="2" w:space="0" w:color="999999"/>
              <w:left w:val="single" w:sz="2" w:space="0" w:color="999999"/>
              <w:bottom w:val="single" w:sz="2" w:space="0" w:color="999999"/>
              <w:right w:val="single" w:sz="2" w:space="0" w:color="999999"/>
            </w:tcBorders>
          </w:tcPr>
          <w:p w14:paraId="75911F31" w14:textId="77777777" w:rsidR="007C37C8" w:rsidRDefault="00000000">
            <w:pPr>
              <w:jc w:val="center"/>
              <w:rPr>
                <w:sz w:val="20"/>
                <w:szCs w:val="20"/>
              </w:rPr>
            </w:pPr>
            <w:r>
              <w:rPr>
                <w:sz w:val="20"/>
                <w:szCs w:val="20"/>
              </w:rPr>
              <w:t>EUR</w:t>
            </w:r>
          </w:p>
        </w:tc>
        <w:tc>
          <w:tcPr>
            <w:tcW w:w="800" w:type="dxa"/>
            <w:tcBorders>
              <w:top w:val="single" w:sz="2" w:space="0" w:color="999999"/>
              <w:left w:val="single" w:sz="2" w:space="0" w:color="999999"/>
              <w:bottom w:val="single" w:sz="2" w:space="0" w:color="999999"/>
              <w:right w:val="single" w:sz="2" w:space="0" w:color="999999"/>
            </w:tcBorders>
          </w:tcPr>
          <w:p w14:paraId="5B667EE7"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061F5789" w14:textId="77777777" w:rsidR="007C37C8" w:rsidRDefault="00000000">
            <w:pPr>
              <w:jc w:val="center"/>
              <w:rPr>
                <w:sz w:val="20"/>
                <w:szCs w:val="20"/>
              </w:rPr>
            </w:pPr>
            <w:r>
              <w:rPr>
                <w:sz w:val="20"/>
                <w:szCs w:val="20"/>
              </w:rPr>
              <w:t>2,683</w:t>
            </w:r>
          </w:p>
        </w:tc>
        <w:tc>
          <w:tcPr>
            <w:tcW w:w="800" w:type="dxa"/>
            <w:tcBorders>
              <w:top w:val="single" w:sz="2" w:space="0" w:color="999999"/>
              <w:left w:val="single" w:sz="2" w:space="0" w:color="999999"/>
              <w:bottom w:val="single" w:sz="2" w:space="0" w:color="999999"/>
              <w:right w:val="single" w:sz="2" w:space="0" w:color="999999"/>
            </w:tcBorders>
          </w:tcPr>
          <w:p w14:paraId="7B6DE0A8" w14:textId="77777777" w:rsidR="007C37C8" w:rsidRDefault="00000000">
            <w:pPr>
              <w:jc w:val="center"/>
              <w:rPr>
                <w:sz w:val="20"/>
                <w:szCs w:val="20"/>
              </w:rPr>
            </w:pPr>
            <w:r>
              <w:rPr>
                <w:sz w:val="20"/>
                <w:szCs w:val="20"/>
              </w:rPr>
              <w:t>144</w:t>
            </w:r>
          </w:p>
        </w:tc>
        <w:tc>
          <w:tcPr>
            <w:tcW w:w="700" w:type="dxa"/>
            <w:tcBorders>
              <w:top w:val="single" w:sz="2" w:space="0" w:color="999999"/>
              <w:left w:val="single" w:sz="2" w:space="0" w:color="999999"/>
              <w:bottom w:val="single" w:sz="2" w:space="0" w:color="999999"/>
              <w:right w:val="single" w:sz="2" w:space="0" w:color="999999"/>
            </w:tcBorders>
          </w:tcPr>
          <w:p w14:paraId="41508E95" w14:textId="77777777" w:rsidR="007C37C8" w:rsidRDefault="00000000">
            <w:pPr>
              <w:jc w:val="center"/>
              <w:rPr>
                <w:sz w:val="20"/>
                <w:szCs w:val="20"/>
              </w:rPr>
            </w:pPr>
            <w:r>
              <w:rPr>
                <w:sz w:val="20"/>
                <w:szCs w:val="20"/>
              </w:rPr>
              <w:t>60.3</w:t>
            </w:r>
          </w:p>
        </w:tc>
        <w:tc>
          <w:tcPr>
            <w:tcW w:w="700" w:type="dxa"/>
            <w:tcBorders>
              <w:top w:val="single" w:sz="2" w:space="0" w:color="999999"/>
              <w:left w:val="single" w:sz="2" w:space="0" w:color="999999"/>
              <w:bottom w:val="single" w:sz="2" w:space="0" w:color="999999"/>
              <w:right w:val="single" w:sz="2" w:space="0" w:color="999999"/>
            </w:tcBorders>
          </w:tcPr>
          <w:p w14:paraId="4A7AC637" w14:textId="77777777" w:rsidR="007C37C8" w:rsidRDefault="00000000">
            <w:pPr>
              <w:jc w:val="center"/>
              <w:rPr>
                <w:sz w:val="20"/>
                <w:szCs w:val="20"/>
              </w:rPr>
            </w:pPr>
            <w:r>
              <w:rPr>
                <w:sz w:val="20"/>
                <w:szCs w:val="20"/>
              </w:rPr>
              <w:t>N</w:t>
            </w:r>
          </w:p>
        </w:tc>
      </w:tr>
      <w:tr w:rsidR="007C37C8" w14:paraId="2C4681BE" w14:textId="77777777">
        <w:tc>
          <w:tcPr>
            <w:tcW w:w="2000" w:type="dxa"/>
            <w:tcBorders>
              <w:top w:val="single" w:sz="2" w:space="0" w:color="999999"/>
              <w:left w:val="single" w:sz="2" w:space="0" w:color="999999"/>
              <w:bottom w:val="single" w:sz="2" w:space="0" w:color="999999"/>
              <w:right w:val="single" w:sz="2" w:space="0" w:color="999999"/>
            </w:tcBorders>
          </w:tcPr>
          <w:p w14:paraId="6D2EEB4F" w14:textId="77777777" w:rsidR="007C37C8" w:rsidRDefault="00000000">
            <w:pPr>
              <w:rPr>
                <w:sz w:val="20"/>
                <w:szCs w:val="20"/>
              </w:rPr>
            </w:pPr>
            <w:r>
              <w:rPr>
                <w:sz w:val="20"/>
                <w:szCs w:val="20"/>
              </w:rPr>
              <w:t>HUNT Study</w:t>
            </w:r>
          </w:p>
        </w:tc>
        <w:tc>
          <w:tcPr>
            <w:tcW w:w="1600" w:type="dxa"/>
            <w:tcBorders>
              <w:top w:val="single" w:sz="2" w:space="0" w:color="999999"/>
              <w:left w:val="single" w:sz="2" w:space="0" w:color="999999"/>
              <w:bottom w:val="single" w:sz="2" w:space="0" w:color="999999"/>
              <w:right w:val="single" w:sz="2" w:space="0" w:color="999999"/>
            </w:tcBorders>
          </w:tcPr>
          <w:p w14:paraId="3C063587" w14:textId="77777777" w:rsidR="007C37C8" w:rsidRDefault="00000000">
            <w:pPr>
              <w:rPr>
                <w:sz w:val="20"/>
                <w:szCs w:val="20"/>
              </w:rPr>
            </w:pPr>
            <w:r>
              <w:rPr>
                <w:sz w:val="20"/>
                <w:szCs w:val="20"/>
              </w:rPr>
              <w:t>Norway</w:t>
            </w:r>
          </w:p>
        </w:tc>
        <w:tc>
          <w:tcPr>
            <w:tcW w:w="700" w:type="dxa"/>
            <w:tcBorders>
              <w:top w:val="single" w:sz="2" w:space="0" w:color="999999"/>
              <w:left w:val="single" w:sz="2" w:space="0" w:color="999999"/>
              <w:bottom w:val="single" w:sz="2" w:space="0" w:color="999999"/>
              <w:right w:val="single" w:sz="2" w:space="0" w:color="999999"/>
            </w:tcBorders>
          </w:tcPr>
          <w:p w14:paraId="5540513C" w14:textId="77777777" w:rsidR="007C37C8" w:rsidRDefault="00000000">
            <w:pPr>
              <w:jc w:val="center"/>
              <w:rPr>
                <w:sz w:val="20"/>
                <w:szCs w:val="20"/>
              </w:rPr>
            </w:pPr>
            <w:r>
              <w:rPr>
                <w:sz w:val="20"/>
                <w:szCs w:val="20"/>
              </w:rPr>
              <w:t>EUR</w:t>
            </w:r>
          </w:p>
        </w:tc>
        <w:tc>
          <w:tcPr>
            <w:tcW w:w="800" w:type="dxa"/>
            <w:tcBorders>
              <w:top w:val="single" w:sz="2" w:space="0" w:color="999999"/>
              <w:left w:val="single" w:sz="2" w:space="0" w:color="999999"/>
              <w:bottom w:val="single" w:sz="2" w:space="0" w:color="999999"/>
              <w:right w:val="single" w:sz="2" w:space="0" w:color="999999"/>
            </w:tcBorders>
          </w:tcPr>
          <w:p w14:paraId="1F7958CB"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0D50301A" w14:textId="77777777" w:rsidR="007C37C8" w:rsidRDefault="00000000">
            <w:pPr>
              <w:jc w:val="center"/>
              <w:rPr>
                <w:sz w:val="20"/>
                <w:szCs w:val="20"/>
              </w:rPr>
            </w:pPr>
            <w:r>
              <w:rPr>
                <w:sz w:val="20"/>
                <w:szCs w:val="20"/>
              </w:rPr>
              <w:t>1,152</w:t>
            </w:r>
          </w:p>
        </w:tc>
        <w:tc>
          <w:tcPr>
            <w:tcW w:w="800" w:type="dxa"/>
            <w:tcBorders>
              <w:top w:val="single" w:sz="2" w:space="0" w:color="999999"/>
              <w:left w:val="single" w:sz="2" w:space="0" w:color="999999"/>
              <w:bottom w:val="single" w:sz="2" w:space="0" w:color="999999"/>
              <w:right w:val="single" w:sz="2" w:space="0" w:color="999999"/>
            </w:tcBorders>
          </w:tcPr>
          <w:p w14:paraId="58520C71" w14:textId="77777777" w:rsidR="007C37C8" w:rsidRDefault="00000000">
            <w:pPr>
              <w:jc w:val="center"/>
              <w:rPr>
                <w:sz w:val="20"/>
                <w:szCs w:val="20"/>
              </w:rPr>
            </w:pPr>
            <w:r>
              <w:rPr>
                <w:sz w:val="20"/>
                <w:szCs w:val="20"/>
              </w:rPr>
              <w:t>116</w:t>
            </w:r>
          </w:p>
        </w:tc>
        <w:tc>
          <w:tcPr>
            <w:tcW w:w="700" w:type="dxa"/>
            <w:tcBorders>
              <w:top w:val="single" w:sz="2" w:space="0" w:color="999999"/>
              <w:left w:val="single" w:sz="2" w:space="0" w:color="999999"/>
              <w:bottom w:val="single" w:sz="2" w:space="0" w:color="999999"/>
              <w:right w:val="single" w:sz="2" w:space="0" w:color="999999"/>
            </w:tcBorders>
          </w:tcPr>
          <w:p w14:paraId="5EB43154" w14:textId="77777777" w:rsidR="007C37C8" w:rsidRDefault="00000000">
            <w:pPr>
              <w:jc w:val="center"/>
              <w:rPr>
                <w:sz w:val="20"/>
                <w:szCs w:val="20"/>
              </w:rPr>
            </w:pPr>
            <w:r>
              <w:rPr>
                <w:sz w:val="20"/>
                <w:szCs w:val="20"/>
              </w:rPr>
              <w:t>48.2</w:t>
            </w:r>
          </w:p>
        </w:tc>
        <w:tc>
          <w:tcPr>
            <w:tcW w:w="700" w:type="dxa"/>
            <w:tcBorders>
              <w:top w:val="single" w:sz="2" w:space="0" w:color="999999"/>
              <w:left w:val="single" w:sz="2" w:space="0" w:color="999999"/>
              <w:bottom w:val="single" w:sz="2" w:space="0" w:color="999999"/>
              <w:right w:val="single" w:sz="2" w:space="0" w:color="999999"/>
            </w:tcBorders>
          </w:tcPr>
          <w:p w14:paraId="41D53B08" w14:textId="77777777" w:rsidR="007C37C8" w:rsidRDefault="00000000">
            <w:pPr>
              <w:jc w:val="center"/>
              <w:rPr>
                <w:sz w:val="20"/>
                <w:szCs w:val="20"/>
              </w:rPr>
            </w:pPr>
            <w:r>
              <w:rPr>
                <w:sz w:val="20"/>
                <w:szCs w:val="20"/>
              </w:rPr>
              <w:t>N</w:t>
            </w:r>
          </w:p>
        </w:tc>
      </w:tr>
      <w:tr w:rsidR="007C37C8" w14:paraId="02270EF9" w14:textId="77777777">
        <w:tc>
          <w:tcPr>
            <w:tcW w:w="2000" w:type="dxa"/>
            <w:tcBorders>
              <w:top w:val="single" w:sz="2" w:space="0" w:color="999999"/>
              <w:left w:val="single" w:sz="2" w:space="0" w:color="999999"/>
              <w:bottom w:val="single" w:sz="2" w:space="0" w:color="999999"/>
              <w:right w:val="single" w:sz="2" w:space="0" w:color="999999"/>
            </w:tcBorders>
          </w:tcPr>
          <w:p w14:paraId="27EC15B7" w14:textId="77777777" w:rsidR="007C37C8" w:rsidRDefault="00000000">
            <w:pPr>
              <w:rPr>
                <w:sz w:val="20"/>
                <w:szCs w:val="20"/>
              </w:rPr>
            </w:pPr>
            <w:r>
              <w:rPr>
                <w:sz w:val="20"/>
                <w:szCs w:val="20"/>
              </w:rPr>
              <w:t>LifeLines</w:t>
            </w:r>
          </w:p>
        </w:tc>
        <w:tc>
          <w:tcPr>
            <w:tcW w:w="1600" w:type="dxa"/>
            <w:tcBorders>
              <w:top w:val="single" w:sz="2" w:space="0" w:color="999999"/>
              <w:left w:val="single" w:sz="2" w:space="0" w:color="999999"/>
              <w:bottom w:val="single" w:sz="2" w:space="0" w:color="999999"/>
              <w:right w:val="single" w:sz="2" w:space="0" w:color="999999"/>
            </w:tcBorders>
          </w:tcPr>
          <w:p w14:paraId="2709D018" w14:textId="77777777" w:rsidR="007C37C8" w:rsidRDefault="00000000">
            <w:pPr>
              <w:rPr>
                <w:sz w:val="20"/>
                <w:szCs w:val="20"/>
              </w:rPr>
            </w:pPr>
            <w:r>
              <w:rPr>
                <w:sz w:val="20"/>
                <w:szCs w:val="20"/>
              </w:rPr>
              <w:t>Netherlands</w:t>
            </w:r>
          </w:p>
        </w:tc>
        <w:tc>
          <w:tcPr>
            <w:tcW w:w="700" w:type="dxa"/>
            <w:tcBorders>
              <w:top w:val="single" w:sz="2" w:space="0" w:color="999999"/>
              <w:left w:val="single" w:sz="2" w:space="0" w:color="999999"/>
              <w:bottom w:val="single" w:sz="2" w:space="0" w:color="999999"/>
              <w:right w:val="single" w:sz="2" w:space="0" w:color="999999"/>
            </w:tcBorders>
          </w:tcPr>
          <w:p w14:paraId="3E80EE8D" w14:textId="77777777" w:rsidR="007C37C8" w:rsidRDefault="00000000">
            <w:pPr>
              <w:jc w:val="center"/>
              <w:rPr>
                <w:sz w:val="20"/>
                <w:szCs w:val="20"/>
              </w:rPr>
            </w:pPr>
            <w:r>
              <w:rPr>
                <w:sz w:val="20"/>
                <w:szCs w:val="20"/>
              </w:rPr>
              <w:t>EUR</w:t>
            </w:r>
          </w:p>
        </w:tc>
        <w:tc>
          <w:tcPr>
            <w:tcW w:w="800" w:type="dxa"/>
            <w:tcBorders>
              <w:top w:val="single" w:sz="2" w:space="0" w:color="999999"/>
              <w:left w:val="single" w:sz="2" w:space="0" w:color="999999"/>
              <w:bottom w:val="single" w:sz="2" w:space="0" w:color="999999"/>
              <w:right w:val="single" w:sz="2" w:space="0" w:color="999999"/>
            </w:tcBorders>
          </w:tcPr>
          <w:p w14:paraId="734C7C26"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5843B158" w14:textId="77777777" w:rsidR="007C37C8" w:rsidRDefault="00000000">
            <w:pPr>
              <w:jc w:val="center"/>
              <w:rPr>
                <w:sz w:val="20"/>
                <w:szCs w:val="20"/>
              </w:rPr>
            </w:pPr>
            <w:r>
              <w:rPr>
                <w:sz w:val="20"/>
                <w:szCs w:val="20"/>
              </w:rPr>
              <w:t>730</w:t>
            </w:r>
          </w:p>
        </w:tc>
        <w:tc>
          <w:tcPr>
            <w:tcW w:w="800" w:type="dxa"/>
            <w:tcBorders>
              <w:top w:val="single" w:sz="2" w:space="0" w:color="999999"/>
              <w:left w:val="single" w:sz="2" w:space="0" w:color="999999"/>
              <w:bottom w:val="single" w:sz="2" w:space="0" w:color="999999"/>
              <w:right w:val="single" w:sz="2" w:space="0" w:color="999999"/>
            </w:tcBorders>
          </w:tcPr>
          <w:p w14:paraId="37F75A41" w14:textId="77777777" w:rsidR="007C37C8" w:rsidRDefault="00000000">
            <w:pPr>
              <w:jc w:val="center"/>
              <w:rPr>
                <w:sz w:val="20"/>
                <w:szCs w:val="20"/>
              </w:rPr>
            </w:pPr>
            <w:r>
              <w:rPr>
                <w:sz w:val="20"/>
                <w:szCs w:val="20"/>
              </w:rPr>
              <w:t>119</w:t>
            </w:r>
          </w:p>
        </w:tc>
        <w:tc>
          <w:tcPr>
            <w:tcW w:w="700" w:type="dxa"/>
            <w:tcBorders>
              <w:top w:val="single" w:sz="2" w:space="0" w:color="999999"/>
              <w:left w:val="single" w:sz="2" w:space="0" w:color="999999"/>
              <w:bottom w:val="single" w:sz="2" w:space="0" w:color="999999"/>
              <w:right w:val="single" w:sz="2" w:space="0" w:color="999999"/>
            </w:tcBorders>
          </w:tcPr>
          <w:p w14:paraId="274E4EED" w14:textId="77777777" w:rsidR="007C37C8" w:rsidRDefault="00000000">
            <w:pPr>
              <w:jc w:val="center"/>
              <w:rPr>
                <w:sz w:val="20"/>
                <w:szCs w:val="20"/>
              </w:rPr>
            </w:pPr>
            <w:r>
              <w:rPr>
                <w:sz w:val="20"/>
                <w:szCs w:val="20"/>
              </w:rPr>
              <w:t>46.4</w:t>
            </w:r>
          </w:p>
        </w:tc>
        <w:tc>
          <w:tcPr>
            <w:tcW w:w="700" w:type="dxa"/>
            <w:tcBorders>
              <w:top w:val="single" w:sz="2" w:space="0" w:color="999999"/>
              <w:left w:val="single" w:sz="2" w:space="0" w:color="999999"/>
              <w:bottom w:val="single" w:sz="2" w:space="0" w:color="999999"/>
              <w:right w:val="single" w:sz="2" w:space="0" w:color="999999"/>
            </w:tcBorders>
          </w:tcPr>
          <w:p w14:paraId="02368F60" w14:textId="77777777" w:rsidR="007C37C8" w:rsidRDefault="00000000">
            <w:pPr>
              <w:jc w:val="center"/>
              <w:rPr>
                <w:sz w:val="20"/>
                <w:szCs w:val="20"/>
              </w:rPr>
            </w:pPr>
            <w:r>
              <w:rPr>
                <w:sz w:val="20"/>
                <w:szCs w:val="20"/>
              </w:rPr>
              <w:t>N</w:t>
            </w:r>
          </w:p>
        </w:tc>
      </w:tr>
      <w:tr w:rsidR="007C37C8" w14:paraId="2E85BDD6" w14:textId="77777777">
        <w:tc>
          <w:tcPr>
            <w:tcW w:w="2000" w:type="dxa"/>
            <w:tcBorders>
              <w:top w:val="single" w:sz="2" w:space="0" w:color="999999"/>
              <w:left w:val="single" w:sz="2" w:space="0" w:color="999999"/>
              <w:bottom w:val="single" w:sz="2" w:space="0" w:color="999999"/>
              <w:right w:val="single" w:sz="2" w:space="0" w:color="999999"/>
            </w:tcBorders>
          </w:tcPr>
          <w:p w14:paraId="2F7629AC" w14:textId="77777777" w:rsidR="007C37C8" w:rsidRDefault="00000000">
            <w:pPr>
              <w:rPr>
                <w:sz w:val="20"/>
                <w:szCs w:val="20"/>
              </w:rPr>
            </w:pPr>
            <w:r>
              <w:rPr>
                <w:sz w:val="20"/>
                <w:szCs w:val="20"/>
              </w:rPr>
              <w:t>All of Us</w:t>
            </w:r>
          </w:p>
        </w:tc>
        <w:tc>
          <w:tcPr>
            <w:tcW w:w="1600" w:type="dxa"/>
            <w:tcBorders>
              <w:top w:val="single" w:sz="2" w:space="0" w:color="999999"/>
              <w:left w:val="single" w:sz="2" w:space="0" w:color="999999"/>
              <w:bottom w:val="single" w:sz="2" w:space="0" w:color="999999"/>
              <w:right w:val="single" w:sz="2" w:space="0" w:color="999999"/>
            </w:tcBorders>
          </w:tcPr>
          <w:p w14:paraId="63297356" w14:textId="77777777" w:rsidR="007C37C8" w:rsidRDefault="00000000">
            <w:pPr>
              <w:rPr>
                <w:sz w:val="20"/>
                <w:szCs w:val="20"/>
              </w:rPr>
            </w:pPr>
            <w:r>
              <w:rPr>
                <w:sz w:val="20"/>
                <w:szCs w:val="20"/>
              </w:rPr>
              <w:t>United States</w:t>
            </w:r>
          </w:p>
        </w:tc>
        <w:tc>
          <w:tcPr>
            <w:tcW w:w="700" w:type="dxa"/>
            <w:tcBorders>
              <w:top w:val="single" w:sz="2" w:space="0" w:color="999999"/>
              <w:left w:val="single" w:sz="2" w:space="0" w:color="999999"/>
              <w:bottom w:val="single" w:sz="2" w:space="0" w:color="999999"/>
              <w:right w:val="single" w:sz="2" w:space="0" w:color="999999"/>
            </w:tcBorders>
          </w:tcPr>
          <w:p w14:paraId="483A83DB" w14:textId="77777777" w:rsidR="007C37C8" w:rsidRDefault="00000000">
            <w:pPr>
              <w:jc w:val="center"/>
              <w:rPr>
                <w:sz w:val="20"/>
                <w:szCs w:val="20"/>
              </w:rPr>
            </w:pPr>
            <w:r>
              <w:rPr>
                <w:sz w:val="20"/>
                <w:szCs w:val="20"/>
              </w:rPr>
              <w:t>AMR</w:t>
            </w:r>
          </w:p>
        </w:tc>
        <w:tc>
          <w:tcPr>
            <w:tcW w:w="800" w:type="dxa"/>
            <w:tcBorders>
              <w:top w:val="single" w:sz="2" w:space="0" w:color="999999"/>
              <w:left w:val="single" w:sz="2" w:space="0" w:color="999999"/>
              <w:bottom w:val="single" w:sz="2" w:space="0" w:color="999999"/>
              <w:right w:val="single" w:sz="2" w:space="0" w:color="999999"/>
            </w:tcBorders>
          </w:tcPr>
          <w:p w14:paraId="07E14BB1"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692184B0" w14:textId="77777777" w:rsidR="007C37C8" w:rsidRDefault="00000000">
            <w:pPr>
              <w:jc w:val="center"/>
              <w:rPr>
                <w:sz w:val="20"/>
                <w:szCs w:val="20"/>
              </w:rPr>
            </w:pPr>
            <w:r>
              <w:rPr>
                <w:sz w:val="20"/>
                <w:szCs w:val="20"/>
              </w:rPr>
              <w:t>613</w:t>
            </w:r>
          </w:p>
        </w:tc>
        <w:tc>
          <w:tcPr>
            <w:tcW w:w="800" w:type="dxa"/>
            <w:tcBorders>
              <w:top w:val="single" w:sz="2" w:space="0" w:color="999999"/>
              <w:left w:val="single" w:sz="2" w:space="0" w:color="999999"/>
              <w:bottom w:val="single" w:sz="2" w:space="0" w:color="999999"/>
              <w:right w:val="single" w:sz="2" w:space="0" w:color="999999"/>
            </w:tcBorders>
          </w:tcPr>
          <w:p w14:paraId="45EC4767" w14:textId="77777777" w:rsidR="007C37C8" w:rsidRDefault="00000000">
            <w:pPr>
              <w:jc w:val="center"/>
              <w:rPr>
                <w:sz w:val="20"/>
                <w:szCs w:val="20"/>
              </w:rPr>
            </w:pPr>
            <w:r>
              <w:rPr>
                <w:sz w:val="20"/>
                <w:szCs w:val="20"/>
              </w:rPr>
              <w:t>118</w:t>
            </w:r>
          </w:p>
        </w:tc>
        <w:tc>
          <w:tcPr>
            <w:tcW w:w="700" w:type="dxa"/>
            <w:tcBorders>
              <w:top w:val="single" w:sz="2" w:space="0" w:color="999999"/>
              <w:left w:val="single" w:sz="2" w:space="0" w:color="999999"/>
              <w:bottom w:val="single" w:sz="2" w:space="0" w:color="999999"/>
              <w:right w:val="single" w:sz="2" w:space="0" w:color="999999"/>
            </w:tcBorders>
          </w:tcPr>
          <w:p w14:paraId="147C10BD" w14:textId="77777777" w:rsidR="007C37C8" w:rsidRDefault="00000000">
            <w:pPr>
              <w:jc w:val="center"/>
              <w:rPr>
                <w:sz w:val="20"/>
                <w:szCs w:val="20"/>
              </w:rPr>
            </w:pPr>
            <w:r>
              <w:rPr>
                <w:sz w:val="20"/>
                <w:szCs w:val="20"/>
              </w:rPr>
              <w:t>42.0</w:t>
            </w:r>
          </w:p>
        </w:tc>
        <w:tc>
          <w:tcPr>
            <w:tcW w:w="700" w:type="dxa"/>
            <w:tcBorders>
              <w:top w:val="single" w:sz="2" w:space="0" w:color="999999"/>
              <w:left w:val="single" w:sz="2" w:space="0" w:color="999999"/>
              <w:bottom w:val="single" w:sz="2" w:space="0" w:color="999999"/>
              <w:right w:val="single" w:sz="2" w:space="0" w:color="999999"/>
            </w:tcBorders>
          </w:tcPr>
          <w:p w14:paraId="769ADFB9" w14:textId="77777777" w:rsidR="007C37C8" w:rsidRDefault="00000000">
            <w:pPr>
              <w:jc w:val="center"/>
              <w:rPr>
                <w:sz w:val="20"/>
                <w:szCs w:val="20"/>
              </w:rPr>
            </w:pPr>
            <w:r>
              <w:rPr>
                <w:sz w:val="20"/>
                <w:szCs w:val="20"/>
              </w:rPr>
              <w:t>N</w:t>
            </w:r>
          </w:p>
        </w:tc>
      </w:tr>
      <w:tr w:rsidR="007C37C8" w14:paraId="7D4DD569" w14:textId="77777777">
        <w:tc>
          <w:tcPr>
            <w:tcW w:w="2000" w:type="dxa"/>
            <w:tcBorders>
              <w:top w:val="single" w:sz="2" w:space="0" w:color="999999"/>
              <w:left w:val="single" w:sz="2" w:space="0" w:color="999999"/>
              <w:bottom w:val="single" w:sz="2" w:space="0" w:color="999999"/>
              <w:right w:val="single" w:sz="2" w:space="0" w:color="999999"/>
            </w:tcBorders>
          </w:tcPr>
          <w:p w14:paraId="5BD0775C" w14:textId="77777777" w:rsidR="007C37C8" w:rsidRDefault="00000000">
            <w:pPr>
              <w:rPr>
                <w:sz w:val="20"/>
                <w:szCs w:val="20"/>
              </w:rPr>
            </w:pPr>
            <w:r>
              <w:rPr>
                <w:sz w:val="20"/>
                <w:szCs w:val="20"/>
              </w:rPr>
              <w:t>BioBank Japan</w:t>
            </w:r>
          </w:p>
        </w:tc>
        <w:tc>
          <w:tcPr>
            <w:tcW w:w="1600" w:type="dxa"/>
            <w:tcBorders>
              <w:top w:val="single" w:sz="2" w:space="0" w:color="999999"/>
              <w:left w:val="single" w:sz="2" w:space="0" w:color="999999"/>
              <w:bottom w:val="single" w:sz="2" w:space="0" w:color="999999"/>
              <w:right w:val="single" w:sz="2" w:space="0" w:color="999999"/>
            </w:tcBorders>
          </w:tcPr>
          <w:p w14:paraId="677FDC3C" w14:textId="77777777" w:rsidR="007C37C8" w:rsidRDefault="00000000">
            <w:pPr>
              <w:rPr>
                <w:sz w:val="20"/>
                <w:szCs w:val="20"/>
              </w:rPr>
            </w:pPr>
            <w:r>
              <w:rPr>
                <w:sz w:val="20"/>
                <w:szCs w:val="20"/>
              </w:rPr>
              <w:t>Japan</w:t>
            </w:r>
          </w:p>
        </w:tc>
        <w:tc>
          <w:tcPr>
            <w:tcW w:w="700" w:type="dxa"/>
            <w:tcBorders>
              <w:top w:val="single" w:sz="2" w:space="0" w:color="999999"/>
              <w:left w:val="single" w:sz="2" w:space="0" w:color="999999"/>
              <w:bottom w:val="single" w:sz="2" w:space="0" w:color="999999"/>
              <w:right w:val="single" w:sz="2" w:space="0" w:color="999999"/>
            </w:tcBorders>
          </w:tcPr>
          <w:p w14:paraId="2F30E581" w14:textId="77777777" w:rsidR="007C37C8" w:rsidRDefault="00000000">
            <w:pPr>
              <w:jc w:val="center"/>
              <w:rPr>
                <w:sz w:val="20"/>
                <w:szCs w:val="20"/>
              </w:rPr>
            </w:pPr>
            <w:r>
              <w:rPr>
                <w:sz w:val="20"/>
                <w:szCs w:val="20"/>
              </w:rPr>
              <w:t>WPR</w:t>
            </w:r>
          </w:p>
        </w:tc>
        <w:tc>
          <w:tcPr>
            <w:tcW w:w="800" w:type="dxa"/>
            <w:tcBorders>
              <w:top w:val="single" w:sz="2" w:space="0" w:color="999999"/>
              <w:left w:val="single" w:sz="2" w:space="0" w:color="999999"/>
              <w:bottom w:val="single" w:sz="2" w:space="0" w:color="999999"/>
              <w:right w:val="single" w:sz="2" w:space="0" w:color="999999"/>
            </w:tcBorders>
          </w:tcPr>
          <w:p w14:paraId="01E15B6F"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3D7D756F" w14:textId="77777777" w:rsidR="007C37C8" w:rsidRDefault="00000000">
            <w:pPr>
              <w:jc w:val="center"/>
              <w:rPr>
                <w:sz w:val="20"/>
                <w:szCs w:val="20"/>
              </w:rPr>
            </w:pPr>
            <w:r>
              <w:rPr>
                <w:sz w:val="20"/>
                <w:szCs w:val="20"/>
              </w:rPr>
              <w:t>271</w:t>
            </w:r>
          </w:p>
        </w:tc>
        <w:tc>
          <w:tcPr>
            <w:tcW w:w="800" w:type="dxa"/>
            <w:tcBorders>
              <w:top w:val="single" w:sz="2" w:space="0" w:color="999999"/>
              <w:left w:val="single" w:sz="2" w:space="0" w:color="999999"/>
              <w:bottom w:val="single" w:sz="2" w:space="0" w:color="999999"/>
              <w:right w:val="single" w:sz="2" w:space="0" w:color="999999"/>
            </w:tcBorders>
          </w:tcPr>
          <w:p w14:paraId="110F0171" w14:textId="77777777" w:rsidR="007C37C8" w:rsidRDefault="00000000">
            <w:pPr>
              <w:jc w:val="center"/>
              <w:rPr>
                <w:sz w:val="20"/>
                <w:szCs w:val="20"/>
              </w:rPr>
            </w:pPr>
            <w:r>
              <w:rPr>
                <w:sz w:val="20"/>
                <w:szCs w:val="20"/>
              </w:rPr>
              <w:t>108</w:t>
            </w:r>
          </w:p>
        </w:tc>
        <w:tc>
          <w:tcPr>
            <w:tcW w:w="700" w:type="dxa"/>
            <w:tcBorders>
              <w:top w:val="single" w:sz="2" w:space="0" w:color="999999"/>
              <w:left w:val="single" w:sz="2" w:space="0" w:color="999999"/>
              <w:bottom w:val="single" w:sz="2" w:space="0" w:color="999999"/>
              <w:right w:val="single" w:sz="2" w:space="0" w:color="999999"/>
            </w:tcBorders>
          </w:tcPr>
          <w:p w14:paraId="07B6F591" w14:textId="77777777" w:rsidR="007C37C8" w:rsidRDefault="00000000">
            <w:pPr>
              <w:jc w:val="center"/>
              <w:rPr>
                <w:sz w:val="20"/>
                <w:szCs w:val="20"/>
              </w:rPr>
            </w:pPr>
            <w:r>
              <w:rPr>
                <w:sz w:val="20"/>
                <w:szCs w:val="20"/>
              </w:rPr>
              <w:t>40.2</w:t>
            </w:r>
          </w:p>
        </w:tc>
        <w:tc>
          <w:tcPr>
            <w:tcW w:w="700" w:type="dxa"/>
            <w:tcBorders>
              <w:top w:val="single" w:sz="2" w:space="0" w:color="999999"/>
              <w:left w:val="single" w:sz="2" w:space="0" w:color="999999"/>
              <w:bottom w:val="single" w:sz="2" w:space="0" w:color="999999"/>
              <w:right w:val="single" w:sz="2" w:space="0" w:color="999999"/>
            </w:tcBorders>
          </w:tcPr>
          <w:p w14:paraId="10F760EB" w14:textId="77777777" w:rsidR="007C37C8" w:rsidRDefault="00000000">
            <w:pPr>
              <w:jc w:val="center"/>
              <w:rPr>
                <w:sz w:val="20"/>
                <w:szCs w:val="20"/>
              </w:rPr>
            </w:pPr>
            <w:r>
              <w:rPr>
                <w:sz w:val="20"/>
                <w:szCs w:val="20"/>
              </w:rPr>
              <w:t>N</w:t>
            </w:r>
          </w:p>
        </w:tc>
      </w:tr>
      <w:tr w:rsidR="007C37C8" w14:paraId="43BD84AA" w14:textId="77777777">
        <w:tc>
          <w:tcPr>
            <w:tcW w:w="2000" w:type="dxa"/>
            <w:tcBorders>
              <w:top w:val="single" w:sz="2" w:space="0" w:color="999999"/>
              <w:left w:val="single" w:sz="2" w:space="0" w:color="999999"/>
              <w:bottom w:val="single" w:sz="2" w:space="0" w:color="999999"/>
              <w:right w:val="single" w:sz="2" w:space="0" w:color="999999"/>
            </w:tcBorders>
          </w:tcPr>
          <w:p w14:paraId="2E010645" w14:textId="77777777" w:rsidR="007C37C8" w:rsidRDefault="00000000">
            <w:pPr>
              <w:rPr>
                <w:sz w:val="20"/>
                <w:szCs w:val="20"/>
              </w:rPr>
            </w:pPr>
            <w:r>
              <w:rPr>
                <w:sz w:val="20"/>
                <w:szCs w:val="20"/>
              </w:rPr>
              <w:t>MVP</w:t>
            </w:r>
          </w:p>
        </w:tc>
        <w:tc>
          <w:tcPr>
            <w:tcW w:w="1600" w:type="dxa"/>
            <w:tcBorders>
              <w:top w:val="single" w:sz="2" w:space="0" w:color="999999"/>
              <w:left w:val="single" w:sz="2" w:space="0" w:color="999999"/>
              <w:bottom w:val="single" w:sz="2" w:space="0" w:color="999999"/>
              <w:right w:val="single" w:sz="2" w:space="0" w:color="999999"/>
            </w:tcBorders>
          </w:tcPr>
          <w:p w14:paraId="785A58E8" w14:textId="77777777" w:rsidR="007C37C8" w:rsidRDefault="00000000">
            <w:pPr>
              <w:rPr>
                <w:sz w:val="20"/>
                <w:szCs w:val="20"/>
              </w:rPr>
            </w:pPr>
            <w:r>
              <w:rPr>
                <w:sz w:val="20"/>
                <w:szCs w:val="20"/>
              </w:rPr>
              <w:t>United States</w:t>
            </w:r>
          </w:p>
        </w:tc>
        <w:tc>
          <w:tcPr>
            <w:tcW w:w="700" w:type="dxa"/>
            <w:tcBorders>
              <w:top w:val="single" w:sz="2" w:space="0" w:color="999999"/>
              <w:left w:val="single" w:sz="2" w:space="0" w:color="999999"/>
              <w:bottom w:val="single" w:sz="2" w:space="0" w:color="999999"/>
              <w:right w:val="single" w:sz="2" w:space="0" w:color="999999"/>
            </w:tcBorders>
          </w:tcPr>
          <w:p w14:paraId="3D11C64D" w14:textId="77777777" w:rsidR="007C37C8" w:rsidRDefault="00000000">
            <w:pPr>
              <w:jc w:val="center"/>
              <w:rPr>
                <w:sz w:val="20"/>
                <w:szCs w:val="20"/>
              </w:rPr>
            </w:pPr>
            <w:r>
              <w:rPr>
                <w:sz w:val="20"/>
                <w:szCs w:val="20"/>
              </w:rPr>
              <w:t>AMR</w:t>
            </w:r>
          </w:p>
        </w:tc>
        <w:tc>
          <w:tcPr>
            <w:tcW w:w="800" w:type="dxa"/>
            <w:tcBorders>
              <w:top w:val="single" w:sz="2" w:space="0" w:color="999999"/>
              <w:left w:val="single" w:sz="2" w:space="0" w:color="999999"/>
              <w:bottom w:val="single" w:sz="2" w:space="0" w:color="999999"/>
              <w:right w:val="single" w:sz="2" w:space="0" w:color="999999"/>
            </w:tcBorders>
          </w:tcPr>
          <w:p w14:paraId="6DF141C6" w14:textId="77777777" w:rsidR="007C37C8" w:rsidRDefault="00000000">
            <w:pPr>
              <w:jc w:val="center"/>
              <w:rPr>
                <w:sz w:val="20"/>
                <w:szCs w:val="20"/>
              </w:rPr>
            </w:pPr>
            <w:r>
              <w:rPr>
                <w:sz w:val="20"/>
                <w:szCs w:val="20"/>
              </w:rPr>
              <w:t>HIC</w:t>
            </w:r>
          </w:p>
        </w:tc>
        <w:tc>
          <w:tcPr>
            <w:tcW w:w="900" w:type="dxa"/>
            <w:tcBorders>
              <w:top w:val="single" w:sz="2" w:space="0" w:color="999999"/>
              <w:left w:val="single" w:sz="2" w:space="0" w:color="999999"/>
              <w:bottom w:val="single" w:sz="2" w:space="0" w:color="999999"/>
              <w:right w:val="single" w:sz="2" w:space="0" w:color="999999"/>
            </w:tcBorders>
          </w:tcPr>
          <w:p w14:paraId="5B7545E9" w14:textId="77777777" w:rsidR="007C37C8" w:rsidRDefault="00000000">
            <w:pPr>
              <w:jc w:val="center"/>
              <w:rPr>
                <w:sz w:val="20"/>
                <w:szCs w:val="20"/>
              </w:rPr>
            </w:pPr>
            <w:r>
              <w:rPr>
                <w:sz w:val="20"/>
                <w:szCs w:val="20"/>
              </w:rPr>
              <w:t>327</w:t>
            </w:r>
          </w:p>
        </w:tc>
        <w:tc>
          <w:tcPr>
            <w:tcW w:w="800" w:type="dxa"/>
            <w:tcBorders>
              <w:top w:val="single" w:sz="2" w:space="0" w:color="999999"/>
              <w:left w:val="single" w:sz="2" w:space="0" w:color="999999"/>
              <w:bottom w:val="single" w:sz="2" w:space="0" w:color="999999"/>
              <w:right w:val="single" w:sz="2" w:space="0" w:color="999999"/>
            </w:tcBorders>
          </w:tcPr>
          <w:p w14:paraId="3D07D496" w14:textId="77777777" w:rsidR="007C37C8" w:rsidRDefault="00000000">
            <w:pPr>
              <w:jc w:val="center"/>
              <w:rPr>
                <w:sz w:val="20"/>
                <w:szCs w:val="20"/>
              </w:rPr>
            </w:pPr>
            <w:r>
              <w:rPr>
                <w:sz w:val="20"/>
                <w:szCs w:val="20"/>
              </w:rPr>
              <w:t>99</w:t>
            </w:r>
          </w:p>
        </w:tc>
        <w:tc>
          <w:tcPr>
            <w:tcW w:w="700" w:type="dxa"/>
            <w:tcBorders>
              <w:top w:val="single" w:sz="2" w:space="0" w:color="999999"/>
              <w:left w:val="single" w:sz="2" w:space="0" w:color="999999"/>
              <w:bottom w:val="single" w:sz="2" w:space="0" w:color="999999"/>
              <w:right w:val="single" w:sz="2" w:space="0" w:color="999999"/>
            </w:tcBorders>
          </w:tcPr>
          <w:p w14:paraId="70734945" w14:textId="77777777" w:rsidR="007C37C8" w:rsidRDefault="00000000">
            <w:pPr>
              <w:jc w:val="center"/>
              <w:rPr>
                <w:sz w:val="20"/>
                <w:szCs w:val="20"/>
              </w:rPr>
            </w:pPr>
            <w:r>
              <w:rPr>
                <w:sz w:val="20"/>
                <w:szCs w:val="20"/>
              </w:rPr>
              <w:t>38.9</w:t>
            </w:r>
          </w:p>
        </w:tc>
        <w:tc>
          <w:tcPr>
            <w:tcW w:w="700" w:type="dxa"/>
            <w:tcBorders>
              <w:top w:val="single" w:sz="2" w:space="0" w:color="999999"/>
              <w:left w:val="single" w:sz="2" w:space="0" w:color="999999"/>
              <w:bottom w:val="single" w:sz="2" w:space="0" w:color="999999"/>
              <w:right w:val="single" w:sz="2" w:space="0" w:color="999999"/>
            </w:tcBorders>
          </w:tcPr>
          <w:p w14:paraId="11CEC08C" w14:textId="77777777" w:rsidR="007C37C8" w:rsidRDefault="00000000">
            <w:pPr>
              <w:jc w:val="center"/>
              <w:rPr>
                <w:sz w:val="20"/>
                <w:szCs w:val="20"/>
              </w:rPr>
            </w:pPr>
            <w:r>
              <w:rPr>
                <w:sz w:val="20"/>
                <w:szCs w:val="20"/>
              </w:rPr>
              <w:t>N</w:t>
            </w:r>
          </w:p>
        </w:tc>
      </w:tr>
      <w:tr w:rsidR="007C37C8" w14:paraId="23CF21B6" w14:textId="77777777">
        <w:tc>
          <w:tcPr>
            <w:tcW w:w="2000" w:type="dxa"/>
            <w:tcBorders>
              <w:top w:val="single" w:sz="2" w:space="0" w:color="999999"/>
              <w:left w:val="single" w:sz="2" w:space="0" w:color="999999"/>
              <w:bottom w:val="single" w:sz="2" w:space="0" w:color="999999"/>
              <w:right w:val="single" w:sz="2" w:space="0" w:color="999999"/>
            </w:tcBorders>
          </w:tcPr>
          <w:p w14:paraId="58974460" w14:textId="77777777" w:rsidR="007C37C8" w:rsidRDefault="00000000">
            <w:pPr>
              <w:rPr>
                <w:sz w:val="20"/>
                <w:szCs w:val="20"/>
              </w:rPr>
            </w:pPr>
            <w:r>
              <w:rPr>
                <w:sz w:val="20"/>
                <w:szCs w:val="20"/>
              </w:rPr>
              <w:t>China Kadoorie</w:t>
            </w:r>
          </w:p>
        </w:tc>
        <w:tc>
          <w:tcPr>
            <w:tcW w:w="1600" w:type="dxa"/>
            <w:tcBorders>
              <w:top w:val="single" w:sz="2" w:space="0" w:color="999999"/>
              <w:left w:val="single" w:sz="2" w:space="0" w:color="999999"/>
              <w:bottom w:val="single" w:sz="2" w:space="0" w:color="999999"/>
              <w:right w:val="single" w:sz="2" w:space="0" w:color="999999"/>
            </w:tcBorders>
          </w:tcPr>
          <w:p w14:paraId="3E26EFD1" w14:textId="77777777" w:rsidR="007C37C8" w:rsidRDefault="00000000">
            <w:pPr>
              <w:rPr>
                <w:sz w:val="20"/>
                <w:szCs w:val="20"/>
              </w:rPr>
            </w:pPr>
            <w:r>
              <w:rPr>
                <w:sz w:val="20"/>
                <w:szCs w:val="20"/>
              </w:rPr>
              <w:t>China</w:t>
            </w:r>
          </w:p>
        </w:tc>
        <w:tc>
          <w:tcPr>
            <w:tcW w:w="700" w:type="dxa"/>
            <w:tcBorders>
              <w:top w:val="single" w:sz="2" w:space="0" w:color="999999"/>
              <w:left w:val="single" w:sz="2" w:space="0" w:color="999999"/>
              <w:bottom w:val="single" w:sz="2" w:space="0" w:color="999999"/>
              <w:right w:val="single" w:sz="2" w:space="0" w:color="999999"/>
            </w:tcBorders>
          </w:tcPr>
          <w:p w14:paraId="76CAEFB4" w14:textId="77777777" w:rsidR="007C37C8" w:rsidRDefault="00000000">
            <w:pPr>
              <w:jc w:val="center"/>
              <w:rPr>
                <w:sz w:val="20"/>
                <w:szCs w:val="20"/>
              </w:rPr>
            </w:pPr>
            <w:r>
              <w:rPr>
                <w:sz w:val="20"/>
                <w:szCs w:val="20"/>
              </w:rPr>
              <w:t>WPR</w:t>
            </w:r>
          </w:p>
        </w:tc>
        <w:tc>
          <w:tcPr>
            <w:tcW w:w="800" w:type="dxa"/>
            <w:tcBorders>
              <w:top w:val="single" w:sz="2" w:space="0" w:color="999999"/>
              <w:left w:val="single" w:sz="2" w:space="0" w:color="999999"/>
              <w:bottom w:val="single" w:sz="2" w:space="0" w:color="999999"/>
              <w:right w:val="single" w:sz="2" w:space="0" w:color="999999"/>
            </w:tcBorders>
          </w:tcPr>
          <w:p w14:paraId="625AB0DE" w14:textId="77777777" w:rsidR="007C37C8" w:rsidRDefault="00000000">
            <w:pPr>
              <w:jc w:val="center"/>
              <w:rPr>
                <w:sz w:val="20"/>
                <w:szCs w:val="20"/>
              </w:rPr>
            </w:pPr>
            <w:r>
              <w:rPr>
                <w:sz w:val="20"/>
                <w:szCs w:val="20"/>
              </w:rPr>
              <w:t>LMIC</w:t>
            </w:r>
          </w:p>
        </w:tc>
        <w:tc>
          <w:tcPr>
            <w:tcW w:w="900" w:type="dxa"/>
            <w:tcBorders>
              <w:top w:val="single" w:sz="2" w:space="0" w:color="999999"/>
              <w:left w:val="single" w:sz="2" w:space="0" w:color="999999"/>
              <w:bottom w:val="single" w:sz="2" w:space="0" w:color="999999"/>
              <w:right w:val="single" w:sz="2" w:space="0" w:color="999999"/>
            </w:tcBorders>
          </w:tcPr>
          <w:p w14:paraId="4C4024D1" w14:textId="77777777" w:rsidR="007C37C8" w:rsidRDefault="00000000">
            <w:pPr>
              <w:jc w:val="center"/>
              <w:rPr>
                <w:sz w:val="20"/>
                <w:szCs w:val="20"/>
              </w:rPr>
            </w:pPr>
            <w:r>
              <w:rPr>
                <w:sz w:val="20"/>
                <w:szCs w:val="20"/>
              </w:rPr>
              <w:t>516</w:t>
            </w:r>
          </w:p>
        </w:tc>
        <w:tc>
          <w:tcPr>
            <w:tcW w:w="800" w:type="dxa"/>
            <w:tcBorders>
              <w:top w:val="single" w:sz="2" w:space="0" w:color="999999"/>
              <w:left w:val="single" w:sz="2" w:space="0" w:color="999999"/>
              <w:bottom w:val="single" w:sz="2" w:space="0" w:color="999999"/>
              <w:right w:val="single" w:sz="2" w:space="0" w:color="999999"/>
            </w:tcBorders>
          </w:tcPr>
          <w:p w14:paraId="53D13C8B" w14:textId="77777777" w:rsidR="007C37C8" w:rsidRDefault="00000000">
            <w:pPr>
              <w:jc w:val="center"/>
              <w:rPr>
                <w:sz w:val="20"/>
                <w:szCs w:val="20"/>
              </w:rPr>
            </w:pPr>
            <w:r>
              <w:rPr>
                <w:sz w:val="20"/>
                <w:szCs w:val="20"/>
              </w:rPr>
              <w:t>109</w:t>
            </w:r>
          </w:p>
        </w:tc>
        <w:tc>
          <w:tcPr>
            <w:tcW w:w="700" w:type="dxa"/>
            <w:tcBorders>
              <w:top w:val="single" w:sz="2" w:space="0" w:color="999999"/>
              <w:left w:val="single" w:sz="2" w:space="0" w:color="999999"/>
              <w:bottom w:val="single" w:sz="2" w:space="0" w:color="999999"/>
              <w:right w:val="single" w:sz="2" w:space="0" w:color="999999"/>
            </w:tcBorders>
          </w:tcPr>
          <w:p w14:paraId="1D0C7970" w14:textId="77777777" w:rsidR="007C37C8" w:rsidRDefault="00000000">
            <w:pPr>
              <w:jc w:val="center"/>
              <w:rPr>
                <w:sz w:val="20"/>
                <w:szCs w:val="20"/>
              </w:rPr>
            </w:pPr>
            <w:r>
              <w:rPr>
                <w:sz w:val="20"/>
                <w:szCs w:val="20"/>
              </w:rPr>
              <w:t>38.7</w:t>
            </w:r>
          </w:p>
        </w:tc>
        <w:tc>
          <w:tcPr>
            <w:tcW w:w="700" w:type="dxa"/>
            <w:tcBorders>
              <w:top w:val="single" w:sz="2" w:space="0" w:color="999999"/>
              <w:left w:val="single" w:sz="2" w:space="0" w:color="999999"/>
              <w:bottom w:val="single" w:sz="2" w:space="0" w:color="999999"/>
              <w:right w:val="single" w:sz="2" w:space="0" w:color="999999"/>
            </w:tcBorders>
          </w:tcPr>
          <w:p w14:paraId="029B8878" w14:textId="77777777" w:rsidR="007C37C8" w:rsidRDefault="00000000">
            <w:pPr>
              <w:jc w:val="center"/>
              <w:rPr>
                <w:sz w:val="20"/>
                <w:szCs w:val="20"/>
              </w:rPr>
            </w:pPr>
            <w:r>
              <w:rPr>
                <w:sz w:val="20"/>
                <w:szCs w:val="20"/>
              </w:rPr>
              <w:t>Y</w:t>
            </w:r>
          </w:p>
        </w:tc>
      </w:tr>
      <w:tr w:rsidR="007C37C8" w14:paraId="54EFF33C" w14:textId="77777777">
        <w:tc>
          <w:tcPr>
            <w:tcW w:w="2000" w:type="dxa"/>
            <w:tcBorders>
              <w:top w:val="single" w:sz="2" w:space="0" w:color="999999"/>
              <w:left w:val="single" w:sz="2" w:space="0" w:color="999999"/>
              <w:bottom w:val="single" w:sz="2" w:space="0" w:color="999999"/>
              <w:right w:val="single" w:sz="2" w:space="0" w:color="999999"/>
            </w:tcBorders>
          </w:tcPr>
          <w:p w14:paraId="5C4D0CD9" w14:textId="77777777" w:rsidR="007C37C8" w:rsidRDefault="00000000">
            <w:pPr>
              <w:rPr>
                <w:sz w:val="20"/>
                <w:szCs w:val="20"/>
              </w:rPr>
            </w:pPr>
            <w:r>
              <w:rPr>
                <w:sz w:val="20"/>
                <w:szCs w:val="20"/>
              </w:rPr>
              <w:t>H3Africa</w:t>
            </w:r>
          </w:p>
        </w:tc>
        <w:tc>
          <w:tcPr>
            <w:tcW w:w="1600" w:type="dxa"/>
            <w:tcBorders>
              <w:top w:val="single" w:sz="2" w:space="0" w:color="999999"/>
              <w:left w:val="single" w:sz="2" w:space="0" w:color="999999"/>
              <w:bottom w:val="single" w:sz="2" w:space="0" w:color="999999"/>
              <w:right w:val="single" w:sz="2" w:space="0" w:color="999999"/>
            </w:tcBorders>
          </w:tcPr>
          <w:p w14:paraId="12F2C77D" w14:textId="77777777" w:rsidR="007C37C8" w:rsidRDefault="00000000">
            <w:pPr>
              <w:rPr>
                <w:sz w:val="20"/>
                <w:szCs w:val="20"/>
              </w:rPr>
            </w:pPr>
            <w:r>
              <w:rPr>
                <w:sz w:val="20"/>
                <w:szCs w:val="20"/>
              </w:rPr>
              <w:t>Pan-African</w:t>
            </w:r>
          </w:p>
        </w:tc>
        <w:tc>
          <w:tcPr>
            <w:tcW w:w="700" w:type="dxa"/>
            <w:tcBorders>
              <w:top w:val="single" w:sz="2" w:space="0" w:color="999999"/>
              <w:left w:val="single" w:sz="2" w:space="0" w:color="999999"/>
              <w:bottom w:val="single" w:sz="2" w:space="0" w:color="999999"/>
              <w:right w:val="single" w:sz="2" w:space="0" w:color="999999"/>
            </w:tcBorders>
          </w:tcPr>
          <w:p w14:paraId="06DBB40C" w14:textId="77777777" w:rsidR="007C37C8" w:rsidRDefault="00000000">
            <w:pPr>
              <w:jc w:val="center"/>
              <w:rPr>
                <w:sz w:val="20"/>
                <w:szCs w:val="20"/>
              </w:rPr>
            </w:pPr>
            <w:r>
              <w:rPr>
                <w:sz w:val="20"/>
                <w:szCs w:val="20"/>
              </w:rPr>
              <w:t>AFR</w:t>
            </w:r>
          </w:p>
        </w:tc>
        <w:tc>
          <w:tcPr>
            <w:tcW w:w="800" w:type="dxa"/>
            <w:tcBorders>
              <w:top w:val="single" w:sz="2" w:space="0" w:color="999999"/>
              <w:left w:val="single" w:sz="2" w:space="0" w:color="999999"/>
              <w:bottom w:val="single" w:sz="2" w:space="0" w:color="999999"/>
              <w:right w:val="single" w:sz="2" w:space="0" w:color="999999"/>
            </w:tcBorders>
          </w:tcPr>
          <w:p w14:paraId="3596D53A" w14:textId="77777777" w:rsidR="007C37C8" w:rsidRDefault="00000000">
            <w:pPr>
              <w:jc w:val="center"/>
              <w:rPr>
                <w:sz w:val="20"/>
                <w:szCs w:val="20"/>
              </w:rPr>
            </w:pPr>
            <w:r>
              <w:rPr>
                <w:sz w:val="20"/>
                <w:szCs w:val="20"/>
              </w:rPr>
              <w:t>LMIC</w:t>
            </w:r>
          </w:p>
        </w:tc>
        <w:tc>
          <w:tcPr>
            <w:tcW w:w="900" w:type="dxa"/>
            <w:tcBorders>
              <w:top w:val="single" w:sz="2" w:space="0" w:color="999999"/>
              <w:left w:val="single" w:sz="2" w:space="0" w:color="999999"/>
              <w:bottom w:val="single" w:sz="2" w:space="0" w:color="999999"/>
              <w:right w:val="single" w:sz="2" w:space="0" w:color="999999"/>
            </w:tcBorders>
          </w:tcPr>
          <w:p w14:paraId="767ED3A1" w14:textId="77777777" w:rsidR="007C37C8" w:rsidRDefault="00000000">
            <w:pPr>
              <w:jc w:val="center"/>
              <w:rPr>
                <w:sz w:val="20"/>
                <w:szCs w:val="20"/>
              </w:rPr>
            </w:pPr>
            <w:r>
              <w:rPr>
                <w:sz w:val="20"/>
                <w:szCs w:val="20"/>
              </w:rPr>
              <w:t>139</w:t>
            </w:r>
          </w:p>
        </w:tc>
        <w:tc>
          <w:tcPr>
            <w:tcW w:w="800" w:type="dxa"/>
            <w:tcBorders>
              <w:top w:val="single" w:sz="2" w:space="0" w:color="999999"/>
              <w:left w:val="single" w:sz="2" w:space="0" w:color="999999"/>
              <w:bottom w:val="single" w:sz="2" w:space="0" w:color="999999"/>
              <w:right w:val="single" w:sz="2" w:space="0" w:color="999999"/>
            </w:tcBorders>
          </w:tcPr>
          <w:p w14:paraId="7A89C537" w14:textId="77777777" w:rsidR="007C37C8" w:rsidRDefault="00000000">
            <w:pPr>
              <w:jc w:val="center"/>
              <w:rPr>
                <w:sz w:val="20"/>
                <w:szCs w:val="20"/>
              </w:rPr>
            </w:pPr>
            <w:r>
              <w:rPr>
                <w:sz w:val="20"/>
                <w:szCs w:val="20"/>
              </w:rPr>
              <w:t>43</w:t>
            </w:r>
          </w:p>
        </w:tc>
        <w:tc>
          <w:tcPr>
            <w:tcW w:w="700" w:type="dxa"/>
            <w:tcBorders>
              <w:top w:val="single" w:sz="2" w:space="0" w:color="999999"/>
              <w:left w:val="single" w:sz="2" w:space="0" w:color="999999"/>
              <w:bottom w:val="single" w:sz="2" w:space="0" w:color="999999"/>
              <w:right w:val="single" w:sz="2" w:space="0" w:color="999999"/>
            </w:tcBorders>
          </w:tcPr>
          <w:p w14:paraId="125FC73E" w14:textId="77777777" w:rsidR="007C37C8" w:rsidRDefault="00000000">
            <w:pPr>
              <w:jc w:val="center"/>
              <w:rPr>
                <w:sz w:val="20"/>
                <w:szCs w:val="20"/>
              </w:rPr>
            </w:pPr>
            <w:r>
              <w:rPr>
                <w:sz w:val="20"/>
                <w:szCs w:val="20"/>
              </w:rPr>
              <w:t>16.8</w:t>
            </w:r>
          </w:p>
        </w:tc>
        <w:tc>
          <w:tcPr>
            <w:tcW w:w="700" w:type="dxa"/>
            <w:tcBorders>
              <w:top w:val="single" w:sz="2" w:space="0" w:color="999999"/>
              <w:left w:val="single" w:sz="2" w:space="0" w:color="999999"/>
              <w:bottom w:val="single" w:sz="2" w:space="0" w:color="999999"/>
              <w:right w:val="single" w:sz="2" w:space="0" w:color="999999"/>
            </w:tcBorders>
          </w:tcPr>
          <w:p w14:paraId="7F6B5D87" w14:textId="77777777" w:rsidR="007C37C8" w:rsidRDefault="00000000">
            <w:pPr>
              <w:jc w:val="center"/>
              <w:rPr>
                <w:sz w:val="20"/>
                <w:szCs w:val="20"/>
              </w:rPr>
            </w:pPr>
            <w:r>
              <w:rPr>
                <w:sz w:val="20"/>
                <w:szCs w:val="20"/>
              </w:rPr>
              <w:t>Y</w:t>
            </w:r>
          </w:p>
        </w:tc>
      </w:tr>
      <w:tr w:rsidR="007C37C8" w14:paraId="42E47F85" w14:textId="77777777">
        <w:tc>
          <w:tcPr>
            <w:tcW w:w="2000" w:type="dxa"/>
            <w:tcBorders>
              <w:top w:val="single" w:sz="2" w:space="0" w:color="999999"/>
              <w:left w:val="single" w:sz="2" w:space="0" w:color="999999"/>
              <w:bottom w:val="single" w:sz="2" w:space="0" w:color="999999"/>
              <w:right w:val="single" w:sz="2" w:space="0" w:color="999999"/>
            </w:tcBorders>
          </w:tcPr>
          <w:p w14:paraId="145333EB" w14:textId="77777777" w:rsidR="007C37C8" w:rsidRDefault="00000000">
            <w:pPr>
              <w:rPr>
                <w:sz w:val="20"/>
                <w:szCs w:val="20"/>
              </w:rPr>
            </w:pPr>
            <w:r>
              <w:rPr>
                <w:sz w:val="20"/>
                <w:szCs w:val="20"/>
              </w:rPr>
              <w:t>Qatar Biobank</w:t>
            </w:r>
          </w:p>
        </w:tc>
        <w:tc>
          <w:tcPr>
            <w:tcW w:w="1600" w:type="dxa"/>
            <w:tcBorders>
              <w:top w:val="single" w:sz="2" w:space="0" w:color="999999"/>
              <w:left w:val="single" w:sz="2" w:space="0" w:color="999999"/>
              <w:bottom w:val="single" w:sz="2" w:space="0" w:color="999999"/>
              <w:right w:val="single" w:sz="2" w:space="0" w:color="999999"/>
            </w:tcBorders>
          </w:tcPr>
          <w:p w14:paraId="56FB8028" w14:textId="77777777" w:rsidR="007C37C8" w:rsidRDefault="00000000">
            <w:pPr>
              <w:rPr>
                <w:sz w:val="20"/>
                <w:szCs w:val="20"/>
              </w:rPr>
            </w:pPr>
            <w:r>
              <w:rPr>
                <w:sz w:val="20"/>
                <w:szCs w:val="20"/>
              </w:rPr>
              <w:t>Qatar</w:t>
            </w:r>
          </w:p>
        </w:tc>
        <w:tc>
          <w:tcPr>
            <w:tcW w:w="700" w:type="dxa"/>
            <w:tcBorders>
              <w:top w:val="single" w:sz="2" w:space="0" w:color="999999"/>
              <w:left w:val="single" w:sz="2" w:space="0" w:color="999999"/>
              <w:bottom w:val="single" w:sz="2" w:space="0" w:color="999999"/>
              <w:right w:val="single" w:sz="2" w:space="0" w:color="999999"/>
            </w:tcBorders>
          </w:tcPr>
          <w:p w14:paraId="09706ACE" w14:textId="77777777" w:rsidR="007C37C8" w:rsidRDefault="00000000">
            <w:pPr>
              <w:jc w:val="center"/>
              <w:rPr>
                <w:sz w:val="20"/>
                <w:szCs w:val="20"/>
              </w:rPr>
            </w:pPr>
            <w:r>
              <w:rPr>
                <w:sz w:val="20"/>
                <w:szCs w:val="20"/>
              </w:rPr>
              <w:t>EMR</w:t>
            </w:r>
          </w:p>
        </w:tc>
        <w:tc>
          <w:tcPr>
            <w:tcW w:w="800" w:type="dxa"/>
            <w:tcBorders>
              <w:top w:val="single" w:sz="2" w:space="0" w:color="999999"/>
              <w:left w:val="single" w:sz="2" w:space="0" w:color="999999"/>
              <w:bottom w:val="single" w:sz="2" w:space="0" w:color="999999"/>
              <w:right w:val="single" w:sz="2" w:space="0" w:color="999999"/>
            </w:tcBorders>
          </w:tcPr>
          <w:p w14:paraId="38BE265F" w14:textId="77777777" w:rsidR="007C37C8" w:rsidRDefault="00000000">
            <w:pPr>
              <w:jc w:val="center"/>
              <w:rPr>
                <w:sz w:val="20"/>
                <w:szCs w:val="20"/>
              </w:rPr>
            </w:pPr>
            <w:r>
              <w:rPr>
                <w:sz w:val="20"/>
                <w:szCs w:val="20"/>
              </w:rPr>
              <w:t>LMIC</w:t>
            </w:r>
          </w:p>
        </w:tc>
        <w:tc>
          <w:tcPr>
            <w:tcW w:w="900" w:type="dxa"/>
            <w:tcBorders>
              <w:top w:val="single" w:sz="2" w:space="0" w:color="999999"/>
              <w:left w:val="single" w:sz="2" w:space="0" w:color="999999"/>
              <w:bottom w:val="single" w:sz="2" w:space="0" w:color="999999"/>
              <w:right w:val="single" w:sz="2" w:space="0" w:color="999999"/>
            </w:tcBorders>
          </w:tcPr>
          <w:p w14:paraId="71D2D390" w14:textId="77777777" w:rsidR="007C37C8" w:rsidRDefault="00000000">
            <w:pPr>
              <w:jc w:val="center"/>
              <w:rPr>
                <w:sz w:val="20"/>
                <w:szCs w:val="20"/>
              </w:rPr>
            </w:pPr>
            <w:r>
              <w:rPr>
                <w:sz w:val="20"/>
                <w:szCs w:val="20"/>
              </w:rPr>
              <w:t>174</w:t>
            </w:r>
          </w:p>
        </w:tc>
        <w:tc>
          <w:tcPr>
            <w:tcW w:w="800" w:type="dxa"/>
            <w:tcBorders>
              <w:top w:val="single" w:sz="2" w:space="0" w:color="999999"/>
              <w:left w:val="single" w:sz="2" w:space="0" w:color="999999"/>
              <w:bottom w:val="single" w:sz="2" w:space="0" w:color="999999"/>
              <w:right w:val="single" w:sz="2" w:space="0" w:color="999999"/>
            </w:tcBorders>
          </w:tcPr>
          <w:p w14:paraId="400B3F56" w14:textId="77777777" w:rsidR="007C37C8" w:rsidRDefault="00000000">
            <w:pPr>
              <w:jc w:val="center"/>
              <w:rPr>
                <w:sz w:val="20"/>
                <w:szCs w:val="20"/>
              </w:rPr>
            </w:pPr>
            <w:r>
              <w:rPr>
                <w:sz w:val="20"/>
                <w:szCs w:val="20"/>
              </w:rPr>
              <w:t>72</w:t>
            </w:r>
          </w:p>
        </w:tc>
        <w:tc>
          <w:tcPr>
            <w:tcW w:w="700" w:type="dxa"/>
            <w:tcBorders>
              <w:top w:val="single" w:sz="2" w:space="0" w:color="999999"/>
              <w:left w:val="single" w:sz="2" w:space="0" w:color="999999"/>
              <w:bottom w:val="single" w:sz="2" w:space="0" w:color="999999"/>
              <w:right w:val="single" w:sz="2" w:space="0" w:color="999999"/>
            </w:tcBorders>
          </w:tcPr>
          <w:p w14:paraId="0A89A208" w14:textId="77777777" w:rsidR="007C37C8" w:rsidRDefault="00000000">
            <w:pPr>
              <w:jc w:val="center"/>
              <w:rPr>
                <w:sz w:val="20"/>
                <w:szCs w:val="20"/>
              </w:rPr>
            </w:pPr>
            <w:r>
              <w:rPr>
                <w:sz w:val="20"/>
                <w:szCs w:val="20"/>
              </w:rPr>
              <w:t>17.4</w:t>
            </w:r>
          </w:p>
        </w:tc>
        <w:tc>
          <w:tcPr>
            <w:tcW w:w="700" w:type="dxa"/>
            <w:tcBorders>
              <w:top w:val="single" w:sz="2" w:space="0" w:color="999999"/>
              <w:left w:val="single" w:sz="2" w:space="0" w:color="999999"/>
              <w:bottom w:val="single" w:sz="2" w:space="0" w:color="999999"/>
              <w:right w:val="single" w:sz="2" w:space="0" w:color="999999"/>
            </w:tcBorders>
          </w:tcPr>
          <w:p w14:paraId="5D19D3F0" w14:textId="77777777" w:rsidR="007C37C8" w:rsidRDefault="00000000">
            <w:pPr>
              <w:jc w:val="center"/>
              <w:rPr>
                <w:sz w:val="20"/>
                <w:szCs w:val="20"/>
              </w:rPr>
            </w:pPr>
            <w:r>
              <w:rPr>
                <w:sz w:val="20"/>
                <w:szCs w:val="20"/>
              </w:rPr>
              <w:t>Y</w:t>
            </w:r>
          </w:p>
        </w:tc>
      </w:tr>
      <w:tr w:rsidR="007C37C8" w14:paraId="3D59F7A3" w14:textId="77777777">
        <w:tc>
          <w:tcPr>
            <w:tcW w:w="2000" w:type="dxa"/>
            <w:tcBorders>
              <w:top w:val="single" w:sz="2" w:space="0" w:color="999999"/>
              <w:left w:val="single" w:sz="2" w:space="0" w:color="999999"/>
              <w:bottom w:val="single" w:sz="2" w:space="0" w:color="999999"/>
              <w:right w:val="single" w:sz="2" w:space="0" w:color="999999"/>
            </w:tcBorders>
          </w:tcPr>
          <w:p w14:paraId="52FCE948" w14:textId="77777777" w:rsidR="007C37C8" w:rsidRDefault="00000000">
            <w:pPr>
              <w:rPr>
                <w:sz w:val="20"/>
                <w:szCs w:val="20"/>
              </w:rPr>
            </w:pPr>
            <w:r>
              <w:rPr>
                <w:sz w:val="20"/>
                <w:szCs w:val="20"/>
              </w:rPr>
              <w:t>Uganda Genome</w:t>
            </w:r>
          </w:p>
        </w:tc>
        <w:tc>
          <w:tcPr>
            <w:tcW w:w="1600" w:type="dxa"/>
            <w:tcBorders>
              <w:top w:val="single" w:sz="2" w:space="0" w:color="999999"/>
              <w:left w:val="single" w:sz="2" w:space="0" w:color="999999"/>
              <w:bottom w:val="single" w:sz="2" w:space="0" w:color="999999"/>
              <w:right w:val="single" w:sz="2" w:space="0" w:color="999999"/>
            </w:tcBorders>
          </w:tcPr>
          <w:p w14:paraId="4B8E5270" w14:textId="77777777" w:rsidR="007C37C8" w:rsidRDefault="00000000">
            <w:pPr>
              <w:rPr>
                <w:sz w:val="20"/>
                <w:szCs w:val="20"/>
              </w:rPr>
            </w:pPr>
            <w:r>
              <w:rPr>
                <w:sz w:val="20"/>
                <w:szCs w:val="20"/>
              </w:rPr>
              <w:t>Uganda</w:t>
            </w:r>
          </w:p>
        </w:tc>
        <w:tc>
          <w:tcPr>
            <w:tcW w:w="700" w:type="dxa"/>
            <w:tcBorders>
              <w:top w:val="single" w:sz="2" w:space="0" w:color="999999"/>
              <w:left w:val="single" w:sz="2" w:space="0" w:color="999999"/>
              <w:bottom w:val="single" w:sz="2" w:space="0" w:color="999999"/>
              <w:right w:val="single" w:sz="2" w:space="0" w:color="999999"/>
            </w:tcBorders>
          </w:tcPr>
          <w:p w14:paraId="2DFD6004" w14:textId="77777777" w:rsidR="007C37C8" w:rsidRDefault="00000000">
            <w:pPr>
              <w:jc w:val="center"/>
              <w:rPr>
                <w:sz w:val="20"/>
                <w:szCs w:val="20"/>
              </w:rPr>
            </w:pPr>
            <w:r>
              <w:rPr>
                <w:sz w:val="20"/>
                <w:szCs w:val="20"/>
              </w:rPr>
              <w:t>AFR</w:t>
            </w:r>
          </w:p>
        </w:tc>
        <w:tc>
          <w:tcPr>
            <w:tcW w:w="800" w:type="dxa"/>
            <w:tcBorders>
              <w:top w:val="single" w:sz="2" w:space="0" w:color="999999"/>
              <w:left w:val="single" w:sz="2" w:space="0" w:color="999999"/>
              <w:bottom w:val="single" w:sz="2" w:space="0" w:color="999999"/>
              <w:right w:val="single" w:sz="2" w:space="0" w:color="999999"/>
            </w:tcBorders>
          </w:tcPr>
          <w:p w14:paraId="6C593E4F" w14:textId="77777777" w:rsidR="007C37C8" w:rsidRDefault="00000000">
            <w:pPr>
              <w:jc w:val="center"/>
              <w:rPr>
                <w:sz w:val="20"/>
                <w:szCs w:val="20"/>
              </w:rPr>
            </w:pPr>
            <w:r>
              <w:rPr>
                <w:sz w:val="20"/>
                <w:szCs w:val="20"/>
              </w:rPr>
              <w:t>LMIC</w:t>
            </w:r>
          </w:p>
        </w:tc>
        <w:tc>
          <w:tcPr>
            <w:tcW w:w="900" w:type="dxa"/>
            <w:tcBorders>
              <w:top w:val="single" w:sz="2" w:space="0" w:color="999999"/>
              <w:left w:val="single" w:sz="2" w:space="0" w:color="999999"/>
              <w:bottom w:val="single" w:sz="2" w:space="0" w:color="999999"/>
              <w:right w:val="single" w:sz="2" w:space="0" w:color="999999"/>
            </w:tcBorders>
          </w:tcPr>
          <w:p w14:paraId="36B85A21" w14:textId="77777777" w:rsidR="007C37C8" w:rsidRDefault="00000000">
            <w:pPr>
              <w:jc w:val="center"/>
              <w:rPr>
                <w:sz w:val="20"/>
                <w:szCs w:val="20"/>
              </w:rPr>
            </w:pPr>
            <w:r>
              <w:rPr>
                <w:sz w:val="20"/>
                <w:szCs w:val="20"/>
              </w:rPr>
              <w:t>5</w:t>
            </w:r>
          </w:p>
        </w:tc>
        <w:tc>
          <w:tcPr>
            <w:tcW w:w="800" w:type="dxa"/>
            <w:tcBorders>
              <w:top w:val="single" w:sz="2" w:space="0" w:color="999999"/>
              <w:left w:val="single" w:sz="2" w:space="0" w:color="999999"/>
              <w:bottom w:val="single" w:sz="2" w:space="0" w:color="999999"/>
              <w:right w:val="single" w:sz="2" w:space="0" w:color="999999"/>
            </w:tcBorders>
          </w:tcPr>
          <w:p w14:paraId="59668060" w14:textId="77777777" w:rsidR="007C37C8" w:rsidRDefault="00000000">
            <w:pPr>
              <w:jc w:val="center"/>
              <w:rPr>
                <w:sz w:val="20"/>
                <w:szCs w:val="20"/>
              </w:rPr>
            </w:pPr>
            <w:r>
              <w:rPr>
                <w:sz w:val="20"/>
                <w:szCs w:val="20"/>
              </w:rPr>
              <w:t>13</w:t>
            </w:r>
          </w:p>
        </w:tc>
        <w:tc>
          <w:tcPr>
            <w:tcW w:w="700" w:type="dxa"/>
            <w:tcBorders>
              <w:top w:val="single" w:sz="2" w:space="0" w:color="999999"/>
              <w:left w:val="single" w:sz="2" w:space="0" w:color="999999"/>
              <w:bottom w:val="single" w:sz="2" w:space="0" w:color="999999"/>
              <w:right w:val="single" w:sz="2" w:space="0" w:color="999999"/>
            </w:tcBorders>
          </w:tcPr>
          <w:p w14:paraId="4C57BB4A" w14:textId="77777777" w:rsidR="007C37C8" w:rsidRDefault="00000000">
            <w:pPr>
              <w:jc w:val="center"/>
              <w:rPr>
                <w:sz w:val="20"/>
                <w:szCs w:val="20"/>
              </w:rPr>
            </w:pPr>
            <w:r>
              <w:rPr>
                <w:sz w:val="20"/>
                <w:szCs w:val="20"/>
              </w:rPr>
              <w:t>2.7</w:t>
            </w:r>
          </w:p>
        </w:tc>
        <w:tc>
          <w:tcPr>
            <w:tcW w:w="700" w:type="dxa"/>
            <w:tcBorders>
              <w:top w:val="single" w:sz="2" w:space="0" w:color="999999"/>
              <w:left w:val="single" w:sz="2" w:space="0" w:color="999999"/>
              <w:bottom w:val="single" w:sz="2" w:space="0" w:color="999999"/>
              <w:right w:val="single" w:sz="2" w:space="0" w:color="999999"/>
            </w:tcBorders>
          </w:tcPr>
          <w:p w14:paraId="5CB8EC9C" w14:textId="77777777" w:rsidR="007C37C8" w:rsidRDefault="00000000">
            <w:pPr>
              <w:jc w:val="center"/>
              <w:rPr>
                <w:sz w:val="20"/>
                <w:szCs w:val="20"/>
              </w:rPr>
            </w:pPr>
            <w:r>
              <w:rPr>
                <w:sz w:val="20"/>
                <w:szCs w:val="20"/>
              </w:rPr>
              <w:t>Y</w:t>
            </w:r>
          </w:p>
        </w:tc>
      </w:tr>
      <w:tr w:rsidR="007C37C8" w14:paraId="4C2E55A4" w14:textId="77777777">
        <w:tc>
          <w:tcPr>
            <w:tcW w:w="2000" w:type="dxa"/>
            <w:tcBorders>
              <w:top w:val="single" w:sz="2" w:space="0" w:color="999999"/>
              <w:left w:val="single" w:sz="2" w:space="0" w:color="999999"/>
              <w:bottom w:val="single" w:sz="2" w:space="0" w:color="999999"/>
              <w:right w:val="single" w:sz="2" w:space="0" w:color="999999"/>
            </w:tcBorders>
          </w:tcPr>
          <w:p w14:paraId="3F7DEF52" w14:textId="77777777" w:rsidR="007C37C8" w:rsidRDefault="00000000">
            <w:pPr>
              <w:rPr>
                <w:sz w:val="20"/>
                <w:szCs w:val="20"/>
              </w:rPr>
            </w:pPr>
            <w:r>
              <w:rPr>
                <w:sz w:val="20"/>
                <w:szCs w:val="20"/>
              </w:rPr>
              <w:t>EPIGEN-Brazil</w:t>
            </w:r>
          </w:p>
        </w:tc>
        <w:tc>
          <w:tcPr>
            <w:tcW w:w="1600" w:type="dxa"/>
            <w:tcBorders>
              <w:top w:val="single" w:sz="2" w:space="0" w:color="999999"/>
              <w:left w:val="single" w:sz="2" w:space="0" w:color="999999"/>
              <w:bottom w:val="single" w:sz="2" w:space="0" w:color="999999"/>
              <w:right w:val="single" w:sz="2" w:space="0" w:color="999999"/>
            </w:tcBorders>
          </w:tcPr>
          <w:p w14:paraId="5D530516" w14:textId="77777777" w:rsidR="007C37C8" w:rsidRDefault="00000000">
            <w:pPr>
              <w:rPr>
                <w:sz w:val="20"/>
                <w:szCs w:val="20"/>
              </w:rPr>
            </w:pPr>
            <w:r>
              <w:rPr>
                <w:sz w:val="20"/>
                <w:szCs w:val="20"/>
              </w:rPr>
              <w:t>Brazil</w:t>
            </w:r>
          </w:p>
        </w:tc>
        <w:tc>
          <w:tcPr>
            <w:tcW w:w="700" w:type="dxa"/>
            <w:tcBorders>
              <w:top w:val="single" w:sz="2" w:space="0" w:color="999999"/>
              <w:left w:val="single" w:sz="2" w:space="0" w:color="999999"/>
              <w:bottom w:val="single" w:sz="2" w:space="0" w:color="999999"/>
              <w:right w:val="single" w:sz="2" w:space="0" w:color="999999"/>
            </w:tcBorders>
          </w:tcPr>
          <w:p w14:paraId="54F71733" w14:textId="77777777" w:rsidR="007C37C8" w:rsidRDefault="00000000">
            <w:pPr>
              <w:jc w:val="center"/>
              <w:rPr>
                <w:sz w:val="20"/>
                <w:szCs w:val="20"/>
              </w:rPr>
            </w:pPr>
            <w:r>
              <w:rPr>
                <w:sz w:val="20"/>
                <w:szCs w:val="20"/>
              </w:rPr>
              <w:t>AMR</w:t>
            </w:r>
          </w:p>
        </w:tc>
        <w:tc>
          <w:tcPr>
            <w:tcW w:w="800" w:type="dxa"/>
            <w:tcBorders>
              <w:top w:val="single" w:sz="2" w:space="0" w:color="999999"/>
              <w:left w:val="single" w:sz="2" w:space="0" w:color="999999"/>
              <w:bottom w:val="single" w:sz="2" w:space="0" w:color="999999"/>
              <w:right w:val="single" w:sz="2" w:space="0" w:color="999999"/>
            </w:tcBorders>
          </w:tcPr>
          <w:p w14:paraId="2641E32F" w14:textId="77777777" w:rsidR="007C37C8" w:rsidRDefault="00000000">
            <w:pPr>
              <w:jc w:val="center"/>
              <w:rPr>
                <w:sz w:val="20"/>
                <w:szCs w:val="20"/>
              </w:rPr>
            </w:pPr>
            <w:r>
              <w:rPr>
                <w:sz w:val="20"/>
                <w:szCs w:val="20"/>
              </w:rPr>
              <w:t>LMIC</w:t>
            </w:r>
          </w:p>
        </w:tc>
        <w:tc>
          <w:tcPr>
            <w:tcW w:w="900" w:type="dxa"/>
            <w:tcBorders>
              <w:top w:val="single" w:sz="2" w:space="0" w:color="999999"/>
              <w:left w:val="single" w:sz="2" w:space="0" w:color="999999"/>
              <w:bottom w:val="single" w:sz="2" w:space="0" w:color="999999"/>
              <w:right w:val="single" w:sz="2" w:space="0" w:color="999999"/>
            </w:tcBorders>
          </w:tcPr>
          <w:p w14:paraId="48B54BE1" w14:textId="77777777" w:rsidR="007C37C8" w:rsidRDefault="00000000">
            <w:pPr>
              <w:jc w:val="center"/>
              <w:rPr>
                <w:sz w:val="20"/>
                <w:szCs w:val="20"/>
              </w:rPr>
            </w:pPr>
            <w:r>
              <w:rPr>
                <w:sz w:val="20"/>
                <w:szCs w:val="20"/>
              </w:rPr>
              <w:t>1</w:t>
            </w:r>
          </w:p>
        </w:tc>
        <w:tc>
          <w:tcPr>
            <w:tcW w:w="800" w:type="dxa"/>
            <w:tcBorders>
              <w:top w:val="single" w:sz="2" w:space="0" w:color="999999"/>
              <w:left w:val="single" w:sz="2" w:space="0" w:color="999999"/>
              <w:bottom w:val="single" w:sz="2" w:space="0" w:color="999999"/>
              <w:right w:val="single" w:sz="2" w:space="0" w:color="999999"/>
            </w:tcBorders>
          </w:tcPr>
          <w:p w14:paraId="6E2CCD5A" w14:textId="77777777" w:rsidR="007C37C8" w:rsidRDefault="00000000">
            <w:pPr>
              <w:jc w:val="center"/>
              <w:rPr>
                <w:sz w:val="20"/>
                <w:szCs w:val="20"/>
              </w:rPr>
            </w:pPr>
            <w:r>
              <w:rPr>
                <w:sz w:val="20"/>
                <w:szCs w:val="20"/>
              </w:rPr>
              <w:t>1</w:t>
            </w:r>
          </w:p>
        </w:tc>
        <w:tc>
          <w:tcPr>
            <w:tcW w:w="700" w:type="dxa"/>
            <w:tcBorders>
              <w:top w:val="single" w:sz="2" w:space="0" w:color="999999"/>
              <w:left w:val="single" w:sz="2" w:space="0" w:color="999999"/>
              <w:bottom w:val="single" w:sz="2" w:space="0" w:color="999999"/>
              <w:right w:val="single" w:sz="2" w:space="0" w:color="999999"/>
            </w:tcBorders>
          </w:tcPr>
          <w:p w14:paraId="47CEF500" w14:textId="77777777" w:rsidR="007C37C8" w:rsidRDefault="00000000">
            <w:pPr>
              <w:jc w:val="center"/>
              <w:rPr>
                <w:sz w:val="20"/>
                <w:szCs w:val="20"/>
              </w:rPr>
            </w:pPr>
            <w:r>
              <w:rPr>
                <w:sz w:val="20"/>
                <w:szCs w:val="20"/>
              </w:rPr>
              <w:t>0.2</w:t>
            </w:r>
          </w:p>
        </w:tc>
        <w:tc>
          <w:tcPr>
            <w:tcW w:w="700" w:type="dxa"/>
            <w:tcBorders>
              <w:top w:val="single" w:sz="2" w:space="0" w:color="999999"/>
              <w:left w:val="single" w:sz="2" w:space="0" w:color="999999"/>
              <w:bottom w:val="single" w:sz="2" w:space="0" w:color="999999"/>
              <w:right w:val="single" w:sz="2" w:space="0" w:color="999999"/>
            </w:tcBorders>
          </w:tcPr>
          <w:p w14:paraId="6999CBDA" w14:textId="77777777" w:rsidR="007C37C8" w:rsidRDefault="00000000">
            <w:pPr>
              <w:jc w:val="center"/>
              <w:rPr>
                <w:sz w:val="20"/>
                <w:szCs w:val="20"/>
              </w:rPr>
            </w:pPr>
            <w:r>
              <w:rPr>
                <w:sz w:val="20"/>
                <w:szCs w:val="20"/>
              </w:rPr>
              <w:t>Y</w:t>
            </w:r>
          </w:p>
        </w:tc>
      </w:tr>
    </w:tbl>
    <w:p w14:paraId="2898608D" w14:textId="24915A8F" w:rsidR="007C37C8" w:rsidRDefault="00000000">
      <w:pPr>
        <w:spacing w:before="120"/>
      </w:pPr>
      <w:r>
        <w:rPr>
          <w:i/>
          <w:iCs/>
        </w:rPr>
        <w:t xml:space="preserve">Note: </w:t>
      </w:r>
      <w:r w:rsidR="69F96221">
        <w:rPr>
          <w:i/>
          <w:iCs/>
          <w:sz w:val="18"/>
          <w:szCs w:val="18"/>
        </w:rPr>
        <w:t xml:space="preserve">Table shows selected biobanks; full data for all 27 biobanks available </w:t>
      </w:r>
      <w:r w:rsidR="69F96221">
        <w:rPr>
          <w:i/>
          <w:iCs/>
          <w:sz w:val="18"/>
          <w:szCs w:val="18"/>
        </w:rPr>
        <w:t>at the HEIM Equity Tool (https://manuelcorpas.github.io/17-EHR/)</w:t>
      </w:r>
      <w:r w:rsidR="69F96221">
        <w:rPr>
          <w:i/>
          <w:iCs/>
          <w:sz w:val="18"/>
          <w:szCs w:val="18"/>
        </w:rPr>
        <w:t>. Rgn = WHO Region; Pubs = Publications; Dis = Diseases covered; GS = Global South.</w:t>
      </w:r>
      <w:r>
        <w:br w:type="page"/>
      </w:r>
    </w:p>
    <w:p w14:paraId="78BCD13E" w14:textId="77777777" w:rsidR="007C37C8" w:rsidRDefault="007C37C8"/>
    <w:p w14:paraId="7EB4376C" w14:textId="77777777" w:rsidR="007C37C8" w:rsidRDefault="00000000">
      <w:pPr>
        <w:pStyle w:val="Heading2"/>
      </w:pPr>
      <w:r>
        <w:t>Table 2. Publication Distribution by WHO Region</w:t>
      </w:r>
    </w:p>
    <w:tbl>
      <w:tblPr>
        <w:tblW w:w="9024" w:type="dxa"/>
        <w:tblInd w:w="11" w:type="dxa"/>
        <w:tblLayout w:type="fixed"/>
        <w:tblCellMar>
          <w:left w:w="10" w:type="dxa"/>
          <w:right w:w="10" w:type="dxa"/>
        </w:tblCellMar>
        <w:tblLook w:val="04A0" w:firstRow="1" w:lastRow="0" w:firstColumn="1" w:lastColumn="0" w:noHBand="0" w:noVBand="1"/>
      </w:tblPr>
      <w:tblGrid>
        <w:gridCol w:w="2380"/>
        <w:gridCol w:w="1442"/>
        <w:gridCol w:w="1920"/>
        <w:gridCol w:w="1407"/>
        <w:gridCol w:w="1875"/>
      </w:tblGrid>
      <w:tr w:rsidR="007C37C8" w14:paraId="0709B312" w14:textId="77777777">
        <w:trPr>
          <w:tblHeader/>
        </w:trPr>
        <w:tc>
          <w:tcPr>
            <w:tcW w:w="2380" w:type="dxa"/>
            <w:tcBorders>
              <w:top w:val="single" w:sz="2" w:space="0" w:color="999999"/>
              <w:left w:val="single" w:sz="2" w:space="0" w:color="999999"/>
              <w:bottom w:val="single" w:sz="2" w:space="0" w:color="999999"/>
              <w:right w:val="single" w:sz="2" w:space="0" w:color="999999"/>
            </w:tcBorders>
            <w:shd w:val="clear" w:color="auto" w:fill="E8E8E8"/>
          </w:tcPr>
          <w:p w14:paraId="62BF2CD5" w14:textId="77777777" w:rsidR="007C37C8" w:rsidRDefault="00000000">
            <w:pPr>
              <w:rPr>
                <w:b/>
                <w:bCs/>
                <w:sz w:val="20"/>
                <w:szCs w:val="20"/>
              </w:rPr>
            </w:pPr>
            <w:r>
              <w:rPr>
                <w:b/>
                <w:bCs/>
                <w:sz w:val="20"/>
                <w:szCs w:val="20"/>
              </w:rPr>
              <w:t>Region</w:t>
            </w:r>
          </w:p>
        </w:tc>
        <w:tc>
          <w:tcPr>
            <w:tcW w:w="1442" w:type="dxa"/>
            <w:tcBorders>
              <w:top w:val="single" w:sz="2" w:space="0" w:color="999999"/>
              <w:left w:val="single" w:sz="2" w:space="0" w:color="999999"/>
              <w:bottom w:val="single" w:sz="2" w:space="0" w:color="999999"/>
              <w:right w:val="single" w:sz="2" w:space="0" w:color="999999"/>
            </w:tcBorders>
            <w:shd w:val="clear" w:color="auto" w:fill="E8E8E8"/>
          </w:tcPr>
          <w:p w14:paraId="5B27D84B" w14:textId="77777777" w:rsidR="007C37C8" w:rsidRDefault="00000000">
            <w:pPr>
              <w:jc w:val="center"/>
              <w:rPr>
                <w:b/>
                <w:bCs/>
                <w:sz w:val="20"/>
                <w:szCs w:val="20"/>
              </w:rPr>
            </w:pPr>
            <w:r>
              <w:rPr>
                <w:b/>
                <w:bCs/>
                <w:sz w:val="20"/>
                <w:szCs w:val="20"/>
              </w:rPr>
              <w:t>Biobanks</w:t>
            </w:r>
          </w:p>
        </w:tc>
        <w:tc>
          <w:tcPr>
            <w:tcW w:w="1920" w:type="dxa"/>
            <w:tcBorders>
              <w:top w:val="single" w:sz="2" w:space="0" w:color="999999"/>
              <w:left w:val="single" w:sz="2" w:space="0" w:color="999999"/>
              <w:bottom w:val="single" w:sz="2" w:space="0" w:color="999999"/>
              <w:right w:val="single" w:sz="2" w:space="0" w:color="999999"/>
            </w:tcBorders>
            <w:shd w:val="clear" w:color="auto" w:fill="E8E8E8"/>
          </w:tcPr>
          <w:p w14:paraId="22A1AB2F" w14:textId="77777777" w:rsidR="007C37C8" w:rsidRDefault="00000000">
            <w:pPr>
              <w:jc w:val="center"/>
              <w:rPr>
                <w:b/>
                <w:bCs/>
                <w:sz w:val="20"/>
                <w:szCs w:val="20"/>
              </w:rPr>
            </w:pPr>
            <w:r>
              <w:rPr>
                <w:b/>
                <w:bCs/>
                <w:sz w:val="20"/>
                <w:szCs w:val="20"/>
              </w:rPr>
              <w:t>Publications</w:t>
            </w:r>
          </w:p>
        </w:tc>
        <w:tc>
          <w:tcPr>
            <w:tcW w:w="1407" w:type="dxa"/>
            <w:tcBorders>
              <w:top w:val="single" w:sz="2" w:space="0" w:color="999999"/>
              <w:left w:val="single" w:sz="2" w:space="0" w:color="999999"/>
              <w:bottom w:val="single" w:sz="2" w:space="0" w:color="999999"/>
              <w:right w:val="single" w:sz="2" w:space="0" w:color="999999"/>
            </w:tcBorders>
            <w:shd w:val="clear" w:color="auto" w:fill="E8E8E8"/>
          </w:tcPr>
          <w:p w14:paraId="2F31002B" w14:textId="77777777" w:rsidR="007C37C8" w:rsidRDefault="00000000">
            <w:pPr>
              <w:jc w:val="center"/>
              <w:rPr>
                <w:b/>
                <w:bCs/>
                <w:sz w:val="20"/>
                <w:szCs w:val="20"/>
              </w:rPr>
            </w:pPr>
            <w:r>
              <w:rPr>
                <w:b/>
                <w:bCs/>
                <w:sz w:val="20"/>
                <w:szCs w:val="20"/>
              </w:rPr>
              <w:t>Share (%)</w:t>
            </w:r>
          </w:p>
        </w:tc>
        <w:tc>
          <w:tcPr>
            <w:tcW w:w="1875" w:type="dxa"/>
            <w:tcBorders>
              <w:top w:val="single" w:sz="2" w:space="0" w:color="999999"/>
              <w:left w:val="single" w:sz="2" w:space="0" w:color="999999"/>
              <w:bottom w:val="single" w:sz="2" w:space="0" w:color="999999"/>
              <w:right w:val="single" w:sz="2" w:space="0" w:color="999999"/>
            </w:tcBorders>
            <w:shd w:val="clear" w:color="auto" w:fill="E8E8E8"/>
          </w:tcPr>
          <w:p w14:paraId="05E04026" w14:textId="77777777" w:rsidR="007C37C8" w:rsidRDefault="00000000">
            <w:pPr>
              <w:jc w:val="center"/>
              <w:rPr>
                <w:b/>
                <w:bCs/>
                <w:sz w:val="20"/>
                <w:szCs w:val="20"/>
              </w:rPr>
            </w:pPr>
            <w:r>
              <w:rPr>
                <w:b/>
                <w:bCs/>
                <w:sz w:val="20"/>
                <w:szCs w:val="20"/>
              </w:rPr>
              <w:t>Primary Type</w:t>
            </w:r>
          </w:p>
        </w:tc>
      </w:tr>
      <w:tr w:rsidR="007C37C8" w14:paraId="6763A891" w14:textId="77777777">
        <w:tc>
          <w:tcPr>
            <w:tcW w:w="2380" w:type="dxa"/>
            <w:tcBorders>
              <w:top w:val="single" w:sz="2" w:space="0" w:color="999999"/>
              <w:left w:val="single" w:sz="2" w:space="0" w:color="999999"/>
              <w:bottom w:val="single" w:sz="2" w:space="0" w:color="999999"/>
              <w:right w:val="single" w:sz="2" w:space="0" w:color="999999"/>
            </w:tcBorders>
          </w:tcPr>
          <w:p w14:paraId="1A277509" w14:textId="77777777" w:rsidR="007C37C8" w:rsidRDefault="00000000">
            <w:pPr>
              <w:rPr>
                <w:sz w:val="20"/>
                <w:szCs w:val="20"/>
              </w:rPr>
            </w:pPr>
            <w:r>
              <w:rPr>
                <w:sz w:val="20"/>
                <w:szCs w:val="20"/>
              </w:rPr>
              <w:t>Americas</w:t>
            </w:r>
          </w:p>
        </w:tc>
        <w:tc>
          <w:tcPr>
            <w:tcW w:w="1442" w:type="dxa"/>
            <w:tcBorders>
              <w:top w:val="single" w:sz="2" w:space="0" w:color="999999"/>
              <w:left w:val="single" w:sz="2" w:space="0" w:color="999999"/>
              <w:bottom w:val="single" w:sz="2" w:space="0" w:color="999999"/>
              <w:right w:val="single" w:sz="2" w:space="0" w:color="999999"/>
            </w:tcBorders>
          </w:tcPr>
          <w:p w14:paraId="76C19649" w14:textId="77777777" w:rsidR="007C37C8" w:rsidRDefault="00000000">
            <w:pPr>
              <w:jc w:val="center"/>
              <w:rPr>
                <w:sz w:val="20"/>
                <w:szCs w:val="20"/>
              </w:rPr>
            </w:pPr>
            <w:r>
              <w:rPr>
                <w:sz w:val="20"/>
                <w:szCs w:val="20"/>
              </w:rPr>
              <w:t>9</w:t>
            </w:r>
          </w:p>
        </w:tc>
        <w:tc>
          <w:tcPr>
            <w:tcW w:w="1920" w:type="dxa"/>
            <w:tcBorders>
              <w:top w:val="single" w:sz="2" w:space="0" w:color="999999"/>
              <w:left w:val="single" w:sz="2" w:space="0" w:color="999999"/>
              <w:bottom w:val="single" w:sz="2" w:space="0" w:color="999999"/>
              <w:right w:val="single" w:sz="2" w:space="0" w:color="999999"/>
            </w:tcBorders>
          </w:tcPr>
          <w:p w14:paraId="7BAF5B50" w14:textId="77777777" w:rsidR="007C37C8" w:rsidRDefault="00000000">
            <w:pPr>
              <w:jc w:val="center"/>
              <w:rPr>
                <w:sz w:val="20"/>
                <w:szCs w:val="20"/>
              </w:rPr>
            </w:pPr>
            <w:r>
              <w:rPr>
                <w:sz w:val="20"/>
                <w:szCs w:val="20"/>
              </w:rPr>
              <w:t>49,264</w:t>
            </w:r>
          </w:p>
        </w:tc>
        <w:tc>
          <w:tcPr>
            <w:tcW w:w="1407" w:type="dxa"/>
            <w:tcBorders>
              <w:top w:val="single" w:sz="2" w:space="0" w:color="999999"/>
              <w:left w:val="single" w:sz="2" w:space="0" w:color="999999"/>
              <w:bottom w:val="single" w:sz="2" w:space="0" w:color="999999"/>
              <w:right w:val="single" w:sz="2" w:space="0" w:color="999999"/>
            </w:tcBorders>
          </w:tcPr>
          <w:p w14:paraId="114F0261" w14:textId="77777777" w:rsidR="007C37C8" w:rsidRDefault="00000000">
            <w:pPr>
              <w:jc w:val="center"/>
              <w:rPr>
                <w:sz w:val="20"/>
                <w:szCs w:val="20"/>
              </w:rPr>
            </w:pPr>
            <w:r>
              <w:rPr>
                <w:sz w:val="20"/>
                <w:szCs w:val="20"/>
              </w:rPr>
              <w:t>65.4</w:t>
            </w:r>
          </w:p>
        </w:tc>
        <w:tc>
          <w:tcPr>
            <w:tcW w:w="1875" w:type="dxa"/>
            <w:tcBorders>
              <w:top w:val="single" w:sz="2" w:space="0" w:color="999999"/>
              <w:left w:val="single" w:sz="2" w:space="0" w:color="999999"/>
              <w:bottom w:val="single" w:sz="2" w:space="0" w:color="999999"/>
              <w:right w:val="single" w:sz="2" w:space="0" w:color="999999"/>
            </w:tcBorders>
          </w:tcPr>
          <w:p w14:paraId="1F1AEF86" w14:textId="77777777" w:rsidR="007C37C8" w:rsidRDefault="00000000">
            <w:pPr>
              <w:jc w:val="center"/>
              <w:rPr>
                <w:sz w:val="20"/>
                <w:szCs w:val="20"/>
              </w:rPr>
            </w:pPr>
            <w:r>
              <w:rPr>
                <w:sz w:val="20"/>
                <w:szCs w:val="20"/>
              </w:rPr>
              <w:t>Mixed</w:t>
            </w:r>
          </w:p>
        </w:tc>
      </w:tr>
      <w:tr w:rsidR="007C37C8" w14:paraId="3DE80AE0" w14:textId="77777777">
        <w:tc>
          <w:tcPr>
            <w:tcW w:w="2380" w:type="dxa"/>
            <w:tcBorders>
              <w:top w:val="single" w:sz="2" w:space="0" w:color="999999"/>
              <w:left w:val="single" w:sz="2" w:space="0" w:color="999999"/>
              <w:bottom w:val="single" w:sz="2" w:space="0" w:color="999999"/>
              <w:right w:val="single" w:sz="2" w:space="0" w:color="999999"/>
            </w:tcBorders>
          </w:tcPr>
          <w:p w14:paraId="7546A80D" w14:textId="77777777" w:rsidR="007C37C8" w:rsidRDefault="00000000">
            <w:pPr>
              <w:rPr>
                <w:sz w:val="20"/>
                <w:szCs w:val="20"/>
              </w:rPr>
            </w:pPr>
            <w:r>
              <w:rPr>
                <w:sz w:val="20"/>
                <w:szCs w:val="20"/>
              </w:rPr>
              <w:t>Europe</w:t>
            </w:r>
          </w:p>
        </w:tc>
        <w:tc>
          <w:tcPr>
            <w:tcW w:w="1442" w:type="dxa"/>
            <w:tcBorders>
              <w:top w:val="single" w:sz="2" w:space="0" w:color="999999"/>
              <w:left w:val="single" w:sz="2" w:space="0" w:color="999999"/>
              <w:bottom w:val="single" w:sz="2" w:space="0" w:color="999999"/>
              <w:right w:val="single" w:sz="2" w:space="0" w:color="999999"/>
            </w:tcBorders>
          </w:tcPr>
          <w:p w14:paraId="32A9F1B6" w14:textId="77777777" w:rsidR="007C37C8" w:rsidRDefault="00000000">
            <w:pPr>
              <w:jc w:val="center"/>
              <w:rPr>
                <w:sz w:val="20"/>
                <w:szCs w:val="20"/>
              </w:rPr>
            </w:pPr>
            <w:r>
              <w:rPr>
                <w:sz w:val="20"/>
                <w:szCs w:val="20"/>
              </w:rPr>
              <w:t>11</w:t>
            </w:r>
          </w:p>
        </w:tc>
        <w:tc>
          <w:tcPr>
            <w:tcW w:w="1920" w:type="dxa"/>
            <w:tcBorders>
              <w:top w:val="single" w:sz="2" w:space="0" w:color="999999"/>
              <w:left w:val="single" w:sz="2" w:space="0" w:color="999999"/>
              <w:bottom w:val="single" w:sz="2" w:space="0" w:color="999999"/>
              <w:right w:val="single" w:sz="2" w:space="0" w:color="999999"/>
            </w:tcBorders>
          </w:tcPr>
          <w:p w14:paraId="3CAA97AD" w14:textId="77777777" w:rsidR="007C37C8" w:rsidRDefault="00000000">
            <w:pPr>
              <w:jc w:val="center"/>
              <w:rPr>
                <w:sz w:val="20"/>
                <w:szCs w:val="20"/>
              </w:rPr>
            </w:pPr>
            <w:r>
              <w:rPr>
                <w:sz w:val="20"/>
                <w:szCs w:val="20"/>
              </w:rPr>
              <w:t>24,445</w:t>
            </w:r>
          </w:p>
        </w:tc>
        <w:tc>
          <w:tcPr>
            <w:tcW w:w="1407" w:type="dxa"/>
            <w:tcBorders>
              <w:top w:val="single" w:sz="2" w:space="0" w:color="999999"/>
              <w:left w:val="single" w:sz="2" w:space="0" w:color="999999"/>
              <w:bottom w:val="single" w:sz="2" w:space="0" w:color="999999"/>
              <w:right w:val="single" w:sz="2" w:space="0" w:color="999999"/>
            </w:tcBorders>
          </w:tcPr>
          <w:p w14:paraId="7789A967" w14:textId="77777777" w:rsidR="007C37C8" w:rsidRDefault="00000000">
            <w:pPr>
              <w:jc w:val="center"/>
              <w:rPr>
                <w:sz w:val="20"/>
                <w:szCs w:val="20"/>
              </w:rPr>
            </w:pPr>
            <w:r>
              <w:rPr>
                <w:sz w:val="20"/>
                <w:szCs w:val="20"/>
              </w:rPr>
              <w:t>32.4</w:t>
            </w:r>
          </w:p>
        </w:tc>
        <w:tc>
          <w:tcPr>
            <w:tcW w:w="1875" w:type="dxa"/>
            <w:tcBorders>
              <w:top w:val="single" w:sz="2" w:space="0" w:color="999999"/>
              <w:left w:val="single" w:sz="2" w:space="0" w:color="999999"/>
              <w:bottom w:val="single" w:sz="2" w:space="0" w:color="999999"/>
              <w:right w:val="single" w:sz="2" w:space="0" w:color="999999"/>
            </w:tcBorders>
          </w:tcPr>
          <w:p w14:paraId="7734C149" w14:textId="77777777" w:rsidR="007C37C8" w:rsidRDefault="00000000">
            <w:pPr>
              <w:jc w:val="center"/>
              <w:rPr>
                <w:sz w:val="20"/>
                <w:szCs w:val="20"/>
              </w:rPr>
            </w:pPr>
            <w:r>
              <w:rPr>
                <w:sz w:val="20"/>
                <w:szCs w:val="20"/>
              </w:rPr>
              <w:t>HIC</w:t>
            </w:r>
          </w:p>
        </w:tc>
      </w:tr>
      <w:tr w:rsidR="007C37C8" w14:paraId="53116C6C" w14:textId="77777777">
        <w:tc>
          <w:tcPr>
            <w:tcW w:w="2380" w:type="dxa"/>
            <w:tcBorders>
              <w:top w:val="single" w:sz="2" w:space="0" w:color="999999"/>
              <w:left w:val="single" w:sz="2" w:space="0" w:color="999999"/>
              <w:bottom w:val="single" w:sz="2" w:space="0" w:color="999999"/>
              <w:right w:val="single" w:sz="2" w:space="0" w:color="999999"/>
            </w:tcBorders>
          </w:tcPr>
          <w:p w14:paraId="09F608DF" w14:textId="77777777" w:rsidR="007C37C8" w:rsidRDefault="00000000">
            <w:pPr>
              <w:rPr>
                <w:sz w:val="20"/>
                <w:szCs w:val="20"/>
              </w:rPr>
            </w:pPr>
            <w:r>
              <w:rPr>
                <w:sz w:val="20"/>
                <w:szCs w:val="20"/>
              </w:rPr>
              <w:t>Western Pacific</w:t>
            </w:r>
          </w:p>
        </w:tc>
        <w:tc>
          <w:tcPr>
            <w:tcW w:w="1442" w:type="dxa"/>
            <w:tcBorders>
              <w:top w:val="single" w:sz="2" w:space="0" w:color="999999"/>
              <w:left w:val="single" w:sz="2" w:space="0" w:color="999999"/>
              <w:bottom w:val="single" w:sz="2" w:space="0" w:color="999999"/>
              <w:right w:val="single" w:sz="2" w:space="0" w:color="999999"/>
            </w:tcBorders>
          </w:tcPr>
          <w:p w14:paraId="3EBF1027" w14:textId="77777777" w:rsidR="007C37C8" w:rsidRDefault="00000000">
            <w:pPr>
              <w:jc w:val="center"/>
              <w:rPr>
                <w:sz w:val="20"/>
                <w:szCs w:val="20"/>
              </w:rPr>
            </w:pPr>
            <w:r>
              <w:rPr>
                <w:sz w:val="20"/>
                <w:szCs w:val="20"/>
              </w:rPr>
              <w:t>3</w:t>
            </w:r>
          </w:p>
        </w:tc>
        <w:tc>
          <w:tcPr>
            <w:tcW w:w="1920" w:type="dxa"/>
            <w:tcBorders>
              <w:top w:val="single" w:sz="2" w:space="0" w:color="999999"/>
              <w:left w:val="single" w:sz="2" w:space="0" w:color="999999"/>
              <w:bottom w:val="single" w:sz="2" w:space="0" w:color="999999"/>
              <w:right w:val="single" w:sz="2" w:space="0" w:color="999999"/>
            </w:tcBorders>
          </w:tcPr>
          <w:p w14:paraId="42DB8A66" w14:textId="77777777" w:rsidR="007C37C8" w:rsidRDefault="00000000">
            <w:pPr>
              <w:jc w:val="center"/>
              <w:rPr>
                <w:sz w:val="20"/>
                <w:szCs w:val="20"/>
              </w:rPr>
            </w:pPr>
            <w:r>
              <w:rPr>
                <w:sz w:val="20"/>
                <w:szCs w:val="20"/>
              </w:rPr>
              <w:t>1,269</w:t>
            </w:r>
          </w:p>
        </w:tc>
        <w:tc>
          <w:tcPr>
            <w:tcW w:w="1407" w:type="dxa"/>
            <w:tcBorders>
              <w:top w:val="single" w:sz="2" w:space="0" w:color="999999"/>
              <w:left w:val="single" w:sz="2" w:space="0" w:color="999999"/>
              <w:bottom w:val="single" w:sz="2" w:space="0" w:color="999999"/>
              <w:right w:val="single" w:sz="2" w:space="0" w:color="999999"/>
            </w:tcBorders>
          </w:tcPr>
          <w:p w14:paraId="7B5949E9" w14:textId="77777777" w:rsidR="007C37C8" w:rsidRDefault="00000000">
            <w:pPr>
              <w:jc w:val="center"/>
              <w:rPr>
                <w:sz w:val="20"/>
                <w:szCs w:val="20"/>
              </w:rPr>
            </w:pPr>
            <w:r>
              <w:rPr>
                <w:sz w:val="20"/>
                <w:szCs w:val="20"/>
              </w:rPr>
              <w:t>1.7</w:t>
            </w:r>
          </w:p>
        </w:tc>
        <w:tc>
          <w:tcPr>
            <w:tcW w:w="1875" w:type="dxa"/>
            <w:tcBorders>
              <w:top w:val="single" w:sz="2" w:space="0" w:color="999999"/>
              <w:left w:val="single" w:sz="2" w:space="0" w:color="999999"/>
              <w:bottom w:val="single" w:sz="2" w:space="0" w:color="999999"/>
              <w:right w:val="single" w:sz="2" w:space="0" w:color="999999"/>
            </w:tcBorders>
          </w:tcPr>
          <w:p w14:paraId="2B756E33" w14:textId="77777777" w:rsidR="007C37C8" w:rsidRDefault="00000000">
            <w:pPr>
              <w:jc w:val="center"/>
              <w:rPr>
                <w:sz w:val="20"/>
                <w:szCs w:val="20"/>
              </w:rPr>
            </w:pPr>
            <w:r>
              <w:rPr>
                <w:sz w:val="20"/>
                <w:szCs w:val="20"/>
              </w:rPr>
              <w:t>HIC</w:t>
            </w:r>
          </w:p>
        </w:tc>
      </w:tr>
      <w:tr w:rsidR="007C37C8" w14:paraId="5D52350D" w14:textId="77777777">
        <w:tc>
          <w:tcPr>
            <w:tcW w:w="2380" w:type="dxa"/>
            <w:tcBorders>
              <w:top w:val="single" w:sz="2" w:space="0" w:color="999999"/>
              <w:left w:val="single" w:sz="2" w:space="0" w:color="999999"/>
              <w:bottom w:val="single" w:sz="2" w:space="0" w:color="999999"/>
              <w:right w:val="single" w:sz="2" w:space="0" w:color="999999"/>
            </w:tcBorders>
          </w:tcPr>
          <w:p w14:paraId="5E795987" w14:textId="77777777" w:rsidR="007C37C8" w:rsidRDefault="00000000">
            <w:pPr>
              <w:rPr>
                <w:sz w:val="20"/>
                <w:szCs w:val="20"/>
              </w:rPr>
            </w:pPr>
            <w:r>
              <w:rPr>
                <w:sz w:val="20"/>
                <w:szCs w:val="20"/>
              </w:rPr>
              <w:t>Africa</w:t>
            </w:r>
          </w:p>
        </w:tc>
        <w:tc>
          <w:tcPr>
            <w:tcW w:w="1442" w:type="dxa"/>
            <w:tcBorders>
              <w:top w:val="single" w:sz="2" w:space="0" w:color="999999"/>
              <w:left w:val="single" w:sz="2" w:space="0" w:color="999999"/>
              <w:bottom w:val="single" w:sz="2" w:space="0" w:color="999999"/>
              <w:right w:val="single" w:sz="2" w:space="0" w:color="999999"/>
            </w:tcBorders>
          </w:tcPr>
          <w:p w14:paraId="706C7844" w14:textId="77777777" w:rsidR="007C37C8" w:rsidRDefault="00000000">
            <w:pPr>
              <w:jc w:val="center"/>
              <w:rPr>
                <w:sz w:val="20"/>
                <w:szCs w:val="20"/>
              </w:rPr>
            </w:pPr>
            <w:r>
              <w:rPr>
                <w:sz w:val="20"/>
                <w:szCs w:val="20"/>
              </w:rPr>
              <w:t>3</w:t>
            </w:r>
          </w:p>
        </w:tc>
        <w:tc>
          <w:tcPr>
            <w:tcW w:w="1920" w:type="dxa"/>
            <w:tcBorders>
              <w:top w:val="single" w:sz="2" w:space="0" w:color="999999"/>
              <w:left w:val="single" w:sz="2" w:space="0" w:color="999999"/>
              <w:bottom w:val="single" w:sz="2" w:space="0" w:color="999999"/>
              <w:right w:val="single" w:sz="2" w:space="0" w:color="999999"/>
            </w:tcBorders>
          </w:tcPr>
          <w:p w14:paraId="0C4EBBF2" w14:textId="77777777" w:rsidR="007C37C8" w:rsidRDefault="00000000">
            <w:pPr>
              <w:jc w:val="center"/>
              <w:rPr>
                <w:sz w:val="20"/>
                <w:szCs w:val="20"/>
              </w:rPr>
            </w:pPr>
            <w:r>
              <w:rPr>
                <w:sz w:val="20"/>
                <w:szCs w:val="20"/>
              </w:rPr>
              <w:t>204</w:t>
            </w:r>
          </w:p>
        </w:tc>
        <w:tc>
          <w:tcPr>
            <w:tcW w:w="1407" w:type="dxa"/>
            <w:tcBorders>
              <w:top w:val="single" w:sz="2" w:space="0" w:color="999999"/>
              <w:left w:val="single" w:sz="2" w:space="0" w:color="999999"/>
              <w:bottom w:val="single" w:sz="2" w:space="0" w:color="999999"/>
              <w:right w:val="single" w:sz="2" w:space="0" w:color="999999"/>
            </w:tcBorders>
          </w:tcPr>
          <w:p w14:paraId="438CF454" w14:textId="77777777" w:rsidR="007C37C8" w:rsidRDefault="00000000">
            <w:pPr>
              <w:jc w:val="center"/>
              <w:rPr>
                <w:sz w:val="20"/>
                <w:szCs w:val="20"/>
              </w:rPr>
            </w:pPr>
            <w:r>
              <w:rPr>
                <w:sz w:val="20"/>
                <w:szCs w:val="20"/>
              </w:rPr>
              <w:t>0.3</w:t>
            </w:r>
          </w:p>
        </w:tc>
        <w:tc>
          <w:tcPr>
            <w:tcW w:w="1875" w:type="dxa"/>
            <w:tcBorders>
              <w:top w:val="single" w:sz="2" w:space="0" w:color="999999"/>
              <w:left w:val="single" w:sz="2" w:space="0" w:color="999999"/>
              <w:bottom w:val="single" w:sz="2" w:space="0" w:color="999999"/>
              <w:right w:val="single" w:sz="2" w:space="0" w:color="999999"/>
            </w:tcBorders>
          </w:tcPr>
          <w:p w14:paraId="118603F3" w14:textId="77777777" w:rsidR="007C37C8" w:rsidRDefault="00000000">
            <w:pPr>
              <w:jc w:val="center"/>
              <w:rPr>
                <w:sz w:val="20"/>
                <w:szCs w:val="20"/>
              </w:rPr>
            </w:pPr>
            <w:r>
              <w:rPr>
                <w:sz w:val="20"/>
                <w:szCs w:val="20"/>
              </w:rPr>
              <w:t>LMIC</w:t>
            </w:r>
          </w:p>
        </w:tc>
      </w:tr>
      <w:tr w:rsidR="007C37C8" w14:paraId="3451DF95" w14:textId="77777777">
        <w:tc>
          <w:tcPr>
            <w:tcW w:w="2380" w:type="dxa"/>
            <w:tcBorders>
              <w:top w:val="single" w:sz="2" w:space="0" w:color="999999"/>
              <w:left w:val="single" w:sz="2" w:space="0" w:color="999999"/>
              <w:bottom w:val="single" w:sz="2" w:space="0" w:color="999999"/>
              <w:right w:val="single" w:sz="2" w:space="0" w:color="999999"/>
            </w:tcBorders>
          </w:tcPr>
          <w:p w14:paraId="35CA2145" w14:textId="77777777" w:rsidR="007C37C8" w:rsidRDefault="00000000">
            <w:pPr>
              <w:rPr>
                <w:sz w:val="20"/>
                <w:szCs w:val="20"/>
              </w:rPr>
            </w:pPr>
            <w:r>
              <w:rPr>
                <w:sz w:val="20"/>
                <w:szCs w:val="20"/>
              </w:rPr>
              <w:t>Eastern Mediterranean</w:t>
            </w:r>
          </w:p>
        </w:tc>
        <w:tc>
          <w:tcPr>
            <w:tcW w:w="1442" w:type="dxa"/>
            <w:tcBorders>
              <w:top w:val="single" w:sz="2" w:space="0" w:color="999999"/>
              <w:left w:val="single" w:sz="2" w:space="0" w:color="999999"/>
              <w:bottom w:val="single" w:sz="2" w:space="0" w:color="999999"/>
              <w:right w:val="single" w:sz="2" w:space="0" w:color="999999"/>
            </w:tcBorders>
          </w:tcPr>
          <w:p w14:paraId="266B1CF9" w14:textId="77777777" w:rsidR="007C37C8" w:rsidRDefault="00000000">
            <w:pPr>
              <w:jc w:val="center"/>
              <w:rPr>
                <w:sz w:val="20"/>
                <w:szCs w:val="20"/>
              </w:rPr>
            </w:pPr>
            <w:r>
              <w:rPr>
                <w:sz w:val="20"/>
                <w:szCs w:val="20"/>
              </w:rPr>
              <w:t>1</w:t>
            </w:r>
          </w:p>
        </w:tc>
        <w:tc>
          <w:tcPr>
            <w:tcW w:w="1920" w:type="dxa"/>
            <w:tcBorders>
              <w:top w:val="single" w:sz="2" w:space="0" w:color="999999"/>
              <w:left w:val="single" w:sz="2" w:space="0" w:color="999999"/>
              <w:bottom w:val="single" w:sz="2" w:space="0" w:color="999999"/>
              <w:right w:val="single" w:sz="2" w:space="0" w:color="999999"/>
            </w:tcBorders>
          </w:tcPr>
          <w:p w14:paraId="76434C2E" w14:textId="77777777" w:rsidR="007C37C8" w:rsidRDefault="00000000">
            <w:pPr>
              <w:jc w:val="center"/>
              <w:rPr>
                <w:sz w:val="20"/>
                <w:szCs w:val="20"/>
              </w:rPr>
            </w:pPr>
            <w:r>
              <w:rPr>
                <w:sz w:val="20"/>
                <w:szCs w:val="20"/>
              </w:rPr>
              <w:t>174</w:t>
            </w:r>
          </w:p>
        </w:tc>
        <w:tc>
          <w:tcPr>
            <w:tcW w:w="1407" w:type="dxa"/>
            <w:tcBorders>
              <w:top w:val="single" w:sz="2" w:space="0" w:color="999999"/>
              <w:left w:val="single" w:sz="2" w:space="0" w:color="999999"/>
              <w:bottom w:val="single" w:sz="2" w:space="0" w:color="999999"/>
              <w:right w:val="single" w:sz="2" w:space="0" w:color="999999"/>
            </w:tcBorders>
          </w:tcPr>
          <w:p w14:paraId="0ECE64BE" w14:textId="77777777" w:rsidR="007C37C8" w:rsidRDefault="00000000">
            <w:pPr>
              <w:jc w:val="center"/>
              <w:rPr>
                <w:sz w:val="20"/>
                <w:szCs w:val="20"/>
              </w:rPr>
            </w:pPr>
            <w:r>
              <w:rPr>
                <w:sz w:val="20"/>
                <w:szCs w:val="20"/>
              </w:rPr>
              <w:t>0.2</w:t>
            </w:r>
          </w:p>
        </w:tc>
        <w:tc>
          <w:tcPr>
            <w:tcW w:w="1875" w:type="dxa"/>
            <w:tcBorders>
              <w:top w:val="single" w:sz="2" w:space="0" w:color="999999"/>
              <w:left w:val="single" w:sz="2" w:space="0" w:color="999999"/>
              <w:bottom w:val="single" w:sz="2" w:space="0" w:color="999999"/>
              <w:right w:val="single" w:sz="2" w:space="0" w:color="999999"/>
            </w:tcBorders>
          </w:tcPr>
          <w:p w14:paraId="1EFB9362" w14:textId="77777777" w:rsidR="007C37C8" w:rsidRDefault="00000000">
            <w:pPr>
              <w:jc w:val="center"/>
              <w:rPr>
                <w:sz w:val="20"/>
                <w:szCs w:val="20"/>
              </w:rPr>
            </w:pPr>
            <w:r>
              <w:rPr>
                <w:sz w:val="20"/>
                <w:szCs w:val="20"/>
              </w:rPr>
              <w:t>LMIC</w:t>
            </w:r>
          </w:p>
        </w:tc>
      </w:tr>
      <w:tr w:rsidR="007C37C8" w14:paraId="24A77088" w14:textId="77777777">
        <w:tc>
          <w:tcPr>
            <w:tcW w:w="2380" w:type="dxa"/>
            <w:tcBorders>
              <w:top w:val="single" w:sz="2" w:space="0" w:color="999999"/>
              <w:left w:val="single" w:sz="2" w:space="0" w:color="999999"/>
              <w:bottom w:val="single" w:sz="2" w:space="0" w:color="999999"/>
              <w:right w:val="single" w:sz="2" w:space="0" w:color="999999"/>
            </w:tcBorders>
            <w:shd w:val="clear" w:color="auto" w:fill="E8E8E8"/>
          </w:tcPr>
          <w:p w14:paraId="43FB2DD2" w14:textId="77777777" w:rsidR="007C37C8" w:rsidRDefault="00000000">
            <w:pPr>
              <w:rPr>
                <w:b/>
                <w:bCs/>
                <w:sz w:val="20"/>
                <w:szCs w:val="20"/>
              </w:rPr>
            </w:pPr>
            <w:r>
              <w:rPr>
                <w:b/>
                <w:bCs/>
                <w:sz w:val="20"/>
                <w:szCs w:val="20"/>
              </w:rPr>
              <w:t>Total</w:t>
            </w:r>
          </w:p>
        </w:tc>
        <w:tc>
          <w:tcPr>
            <w:tcW w:w="1442" w:type="dxa"/>
            <w:tcBorders>
              <w:top w:val="single" w:sz="2" w:space="0" w:color="999999"/>
              <w:left w:val="single" w:sz="2" w:space="0" w:color="999999"/>
              <w:bottom w:val="single" w:sz="2" w:space="0" w:color="999999"/>
              <w:right w:val="single" w:sz="2" w:space="0" w:color="999999"/>
            </w:tcBorders>
            <w:shd w:val="clear" w:color="auto" w:fill="E8E8E8"/>
          </w:tcPr>
          <w:p w14:paraId="1619B133" w14:textId="77777777" w:rsidR="007C37C8" w:rsidRDefault="00000000">
            <w:pPr>
              <w:jc w:val="center"/>
              <w:rPr>
                <w:b/>
                <w:bCs/>
                <w:sz w:val="20"/>
                <w:szCs w:val="20"/>
              </w:rPr>
            </w:pPr>
            <w:r>
              <w:rPr>
                <w:b/>
                <w:bCs/>
                <w:sz w:val="20"/>
                <w:szCs w:val="20"/>
              </w:rPr>
              <w:t>27</w:t>
            </w:r>
          </w:p>
        </w:tc>
        <w:tc>
          <w:tcPr>
            <w:tcW w:w="1920" w:type="dxa"/>
            <w:tcBorders>
              <w:top w:val="single" w:sz="2" w:space="0" w:color="999999"/>
              <w:left w:val="single" w:sz="2" w:space="0" w:color="999999"/>
              <w:bottom w:val="single" w:sz="2" w:space="0" w:color="999999"/>
              <w:right w:val="single" w:sz="2" w:space="0" w:color="999999"/>
            </w:tcBorders>
            <w:shd w:val="clear" w:color="auto" w:fill="E8E8E8"/>
          </w:tcPr>
          <w:p w14:paraId="72AFB82F" w14:textId="77777777" w:rsidR="007C37C8" w:rsidRDefault="00000000">
            <w:pPr>
              <w:jc w:val="center"/>
              <w:rPr>
                <w:b/>
                <w:bCs/>
                <w:sz w:val="20"/>
                <w:szCs w:val="20"/>
              </w:rPr>
            </w:pPr>
            <w:r>
              <w:rPr>
                <w:b/>
                <w:bCs/>
                <w:sz w:val="20"/>
                <w:szCs w:val="20"/>
              </w:rPr>
              <w:t>75,356</w:t>
            </w:r>
          </w:p>
        </w:tc>
        <w:tc>
          <w:tcPr>
            <w:tcW w:w="1407" w:type="dxa"/>
            <w:tcBorders>
              <w:top w:val="single" w:sz="2" w:space="0" w:color="999999"/>
              <w:left w:val="single" w:sz="2" w:space="0" w:color="999999"/>
              <w:bottom w:val="single" w:sz="2" w:space="0" w:color="999999"/>
              <w:right w:val="single" w:sz="2" w:space="0" w:color="999999"/>
            </w:tcBorders>
            <w:shd w:val="clear" w:color="auto" w:fill="E8E8E8"/>
          </w:tcPr>
          <w:p w14:paraId="5A39C7ED" w14:textId="77777777" w:rsidR="007C37C8" w:rsidRDefault="00000000">
            <w:pPr>
              <w:jc w:val="center"/>
              <w:rPr>
                <w:b/>
                <w:bCs/>
                <w:sz w:val="20"/>
                <w:szCs w:val="20"/>
              </w:rPr>
            </w:pPr>
            <w:r>
              <w:rPr>
                <w:b/>
                <w:bCs/>
                <w:sz w:val="20"/>
                <w:szCs w:val="20"/>
              </w:rPr>
              <w:t>100.0</w:t>
            </w:r>
          </w:p>
        </w:tc>
        <w:tc>
          <w:tcPr>
            <w:tcW w:w="1875" w:type="dxa"/>
            <w:tcBorders>
              <w:top w:val="single" w:sz="2" w:space="0" w:color="999999"/>
              <w:left w:val="single" w:sz="2" w:space="0" w:color="999999"/>
              <w:bottom w:val="single" w:sz="2" w:space="0" w:color="999999"/>
              <w:right w:val="single" w:sz="2" w:space="0" w:color="999999"/>
            </w:tcBorders>
            <w:shd w:val="clear" w:color="auto" w:fill="E8E8E8"/>
          </w:tcPr>
          <w:p w14:paraId="75B7BBAA" w14:textId="77777777" w:rsidR="007C37C8" w:rsidRDefault="00000000">
            <w:pPr>
              <w:jc w:val="center"/>
              <w:rPr>
                <w:b/>
                <w:bCs/>
                <w:sz w:val="20"/>
                <w:szCs w:val="20"/>
              </w:rPr>
            </w:pPr>
            <w:r>
              <w:rPr>
                <w:b/>
                <w:bCs/>
                <w:sz w:val="20"/>
                <w:szCs w:val="20"/>
              </w:rPr>
              <w:t>-</w:t>
            </w:r>
          </w:p>
        </w:tc>
      </w:tr>
    </w:tbl>
    <w:p w14:paraId="4694C9FA" w14:textId="77777777" w:rsidR="007C37C8" w:rsidRDefault="007C37C8">
      <w:pPr>
        <w:spacing w:after="300"/>
      </w:pPr>
    </w:p>
    <w:p w14:paraId="55155AFA" w14:textId="77777777" w:rsidR="007C37C8" w:rsidRDefault="00000000">
      <w:pPr>
        <w:pStyle w:val="Heading2"/>
      </w:pPr>
      <w:r>
        <w:t>Table 3. Critical Research Gaps (Gap Score &gt;70)</w:t>
      </w:r>
    </w:p>
    <w:tbl>
      <w:tblPr>
        <w:tblW w:w="9024" w:type="dxa"/>
        <w:tblInd w:w="11" w:type="dxa"/>
        <w:tblLayout w:type="fixed"/>
        <w:tblCellMar>
          <w:left w:w="10" w:type="dxa"/>
          <w:right w:w="10" w:type="dxa"/>
        </w:tblCellMar>
        <w:tblLook w:val="04A0" w:firstRow="1" w:lastRow="0" w:firstColumn="1" w:lastColumn="0" w:noHBand="0" w:noVBand="1"/>
      </w:tblPr>
      <w:tblGrid>
        <w:gridCol w:w="2829"/>
        <w:gridCol w:w="1712"/>
        <w:gridCol w:w="1742"/>
        <w:gridCol w:w="1318"/>
        <w:gridCol w:w="1423"/>
      </w:tblGrid>
      <w:tr w:rsidR="007C37C8" w14:paraId="201000B8" w14:textId="77777777">
        <w:trPr>
          <w:tblHeader/>
        </w:trPr>
        <w:tc>
          <w:tcPr>
            <w:tcW w:w="2829" w:type="dxa"/>
            <w:tcBorders>
              <w:top w:val="single" w:sz="2" w:space="0" w:color="999999"/>
              <w:left w:val="single" w:sz="2" w:space="0" w:color="999999"/>
              <w:bottom w:val="single" w:sz="2" w:space="0" w:color="999999"/>
              <w:right w:val="single" w:sz="2" w:space="0" w:color="999999"/>
            </w:tcBorders>
            <w:shd w:val="clear" w:color="auto" w:fill="E8E8E8"/>
          </w:tcPr>
          <w:p w14:paraId="2F501CE3" w14:textId="77777777" w:rsidR="007C37C8" w:rsidRDefault="00000000">
            <w:pPr>
              <w:rPr>
                <w:b/>
                <w:bCs/>
                <w:sz w:val="20"/>
                <w:szCs w:val="20"/>
              </w:rPr>
            </w:pPr>
            <w:r>
              <w:rPr>
                <w:b/>
                <w:bCs/>
                <w:sz w:val="20"/>
                <w:szCs w:val="20"/>
              </w:rPr>
              <w:t>Disease Category</w:t>
            </w:r>
          </w:p>
        </w:tc>
        <w:tc>
          <w:tcPr>
            <w:tcW w:w="1712" w:type="dxa"/>
            <w:tcBorders>
              <w:top w:val="single" w:sz="2" w:space="0" w:color="999999"/>
              <w:left w:val="single" w:sz="2" w:space="0" w:color="999999"/>
              <w:bottom w:val="single" w:sz="2" w:space="0" w:color="999999"/>
              <w:right w:val="single" w:sz="2" w:space="0" w:color="999999"/>
            </w:tcBorders>
            <w:shd w:val="clear" w:color="auto" w:fill="E8E8E8"/>
          </w:tcPr>
          <w:p w14:paraId="2F70F1CE" w14:textId="77777777" w:rsidR="007C37C8" w:rsidRDefault="00000000">
            <w:pPr>
              <w:jc w:val="center"/>
              <w:rPr>
                <w:b/>
                <w:bCs/>
                <w:sz w:val="20"/>
                <w:szCs w:val="20"/>
              </w:rPr>
            </w:pPr>
            <w:r>
              <w:rPr>
                <w:b/>
                <w:bCs/>
                <w:sz w:val="20"/>
                <w:szCs w:val="20"/>
              </w:rPr>
              <w:t>DALYs (millions)</w:t>
            </w:r>
          </w:p>
        </w:tc>
        <w:tc>
          <w:tcPr>
            <w:tcW w:w="1742" w:type="dxa"/>
            <w:tcBorders>
              <w:top w:val="single" w:sz="2" w:space="0" w:color="999999"/>
              <w:left w:val="single" w:sz="2" w:space="0" w:color="999999"/>
              <w:bottom w:val="single" w:sz="2" w:space="0" w:color="999999"/>
              <w:right w:val="single" w:sz="2" w:space="0" w:color="999999"/>
            </w:tcBorders>
            <w:shd w:val="clear" w:color="auto" w:fill="E8E8E8"/>
          </w:tcPr>
          <w:p w14:paraId="1AF92E4D" w14:textId="77777777" w:rsidR="007C37C8" w:rsidRDefault="00000000">
            <w:pPr>
              <w:jc w:val="center"/>
              <w:rPr>
                <w:b/>
                <w:bCs/>
                <w:sz w:val="20"/>
                <w:szCs w:val="20"/>
              </w:rPr>
            </w:pPr>
            <w:r>
              <w:rPr>
                <w:b/>
                <w:bCs/>
                <w:sz w:val="20"/>
                <w:szCs w:val="20"/>
              </w:rPr>
              <w:t>Publications</w:t>
            </w:r>
          </w:p>
        </w:tc>
        <w:tc>
          <w:tcPr>
            <w:tcW w:w="1318" w:type="dxa"/>
            <w:tcBorders>
              <w:top w:val="single" w:sz="2" w:space="0" w:color="999999"/>
              <w:left w:val="single" w:sz="2" w:space="0" w:color="999999"/>
              <w:bottom w:val="single" w:sz="2" w:space="0" w:color="999999"/>
              <w:right w:val="single" w:sz="2" w:space="0" w:color="999999"/>
            </w:tcBorders>
            <w:shd w:val="clear" w:color="auto" w:fill="E8E8E8"/>
          </w:tcPr>
          <w:p w14:paraId="6471F7DE" w14:textId="77777777" w:rsidR="007C37C8" w:rsidRDefault="00000000">
            <w:pPr>
              <w:jc w:val="center"/>
              <w:rPr>
                <w:b/>
                <w:bCs/>
                <w:sz w:val="20"/>
                <w:szCs w:val="20"/>
              </w:rPr>
            </w:pPr>
            <w:r>
              <w:rPr>
                <w:b/>
                <w:bCs/>
                <w:sz w:val="20"/>
                <w:szCs w:val="20"/>
              </w:rPr>
              <w:t>Gap Score</w:t>
            </w:r>
          </w:p>
        </w:tc>
        <w:tc>
          <w:tcPr>
            <w:tcW w:w="1423" w:type="dxa"/>
            <w:tcBorders>
              <w:top w:val="single" w:sz="2" w:space="0" w:color="999999"/>
              <w:left w:val="single" w:sz="2" w:space="0" w:color="999999"/>
              <w:bottom w:val="single" w:sz="2" w:space="0" w:color="999999"/>
              <w:right w:val="single" w:sz="2" w:space="0" w:color="999999"/>
            </w:tcBorders>
            <w:shd w:val="clear" w:color="auto" w:fill="E8E8E8"/>
          </w:tcPr>
          <w:p w14:paraId="033EECD3" w14:textId="77777777" w:rsidR="007C37C8" w:rsidRDefault="00000000">
            <w:pPr>
              <w:jc w:val="center"/>
              <w:rPr>
                <w:b/>
                <w:bCs/>
                <w:sz w:val="20"/>
                <w:szCs w:val="20"/>
              </w:rPr>
            </w:pPr>
            <w:r>
              <w:rPr>
                <w:b/>
                <w:bCs/>
                <w:sz w:val="20"/>
                <w:szCs w:val="20"/>
              </w:rPr>
              <w:t>GS Priority</w:t>
            </w:r>
          </w:p>
        </w:tc>
      </w:tr>
      <w:tr w:rsidR="007C37C8" w14:paraId="5F64241A" w14:textId="77777777">
        <w:tc>
          <w:tcPr>
            <w:tcW w:w="2829" w:type="dxa"/>
            <w:tcBorders>
              <w:top w:val="single" w:sz="2" w:space="0" w:color="999999"/>
              <w:left w:val="single" w:sz="2" w:space="0" w:color="999999"/>
              <w:bottom w:val="single" w:sz="2" w:space="0" w:color="999999"/>
              <w:right w:val="single" w:sz="2" w:space="0" w:color="999999"/>
            </w:tcBorders>
          </w:tcPr>
          <w:p w14:paraId="20F850D0" w14:textId="77777777" w:rsidR="007C37C8" w:rsidRDefault="00000000">
            <w:pPr>
              <w:rPr>
                <w:sz w:val="20"/>
                <w:szCs w:val="20"/>
              </w:rPr>
            </w:pPr>
            <w:r>
              <w:rPr>
                <w:sz w:val="20"/>
                <w:szCs w:val="20"/>
              </w:rPr>
              <w:t>Drowning</w:t>
            </w:r>
          </w:p>
        </w:tc>
        <w:tc>
          <w:tcPr>
            <w:tcW w:w="1712" w:type="dxa"/>
            <w:tcBorders>
              <w:top w:val="single" w:sz="2" w:space="0" w:color="999999"/>
              <w:left w:val="single" w:sz="2" w:space="0" w:color="999999"/>
              <w:bottom w:val="single" w:sz="2" w:space="0" w:color="999999"/>
              <w:right w:val="single" w:sz="2" w:space="0" w:color="999999"/>
            </w:tcBorders>
          </w:tcPr>
          <w:p w14:paraId="71410E5B" w14:textId="77777777" w:rsidR="007C37C8" w:rsidRDefault="00000000">
            <w:pPr>
              <w:jc w:val="center"/>
              <w:rPr>
                <w:sz w:val="20"/>
                <w:szCs w:val="20"/>
              </w:rPr>
            </w:pPr>
            <w:r>
              <w:rPr>
                <w:sz w:val="20"/>
                <w:szCs w:val="20"/>
              </w:rPr>
              <w:t>15.7</w:t>
            </w:r>
          </w:p>
        </w:tc>
        <w:tc>
          <w:tcPr>
            <w:tcW w:w="1742" w:type="dxa"/>
            <w:tcBorders>
              <w:top w:val="single" w:sz="2" w:space="0" w:color="999999"/>
              <w:left w:val="single" w:sz="2" w:space="0" w:color="999999"/>
              <w:bottom w:val="single" w:sz="2" w:space="0" w:color="999999"/>
              <w:right w:val="single" w:sz="2" w:space="0" w:color="999999"/>
            </w:tcBorders>
          </w:tcPr>
          <w:p w14:paraId="67D0AE3F" w14:textId="77777777" w:rsidR="007C37C8" w:rsidRDefault="00000000">
            <w:pPr>
              <w:jc w:val="center"/>
              <w:rPr>
                <w:sz w:val="20"/>
                <w:szCs w:val="20"/>
              </w:rPr>
            </w:pPr>
            <w:r>
              <w:rPr>
                <w:sz w:val="20"/>
                <w:szCs w:val="20"/>
              </w:rPr>
              <w:t>0</w:t>
            </w:r>
          </w:p>
        </w:tc>
        <w:tc>
          <w:tcPr>
            <w:tcW w:w="1318" w:type="dxa"/>
            <w:tcBorders>
              <w:top w:val="single" w:sz="2" w:space="0" w:color="999999"/>
              <w:left w:val="single" w:sz="2" w:space="0" w:color="999999"/>
              <w:bottom w:val="single" w:sz="2" w:space="0" w:color="999999"/>
              <w:right w:val="single" w:sz="2" w:space="0" w:color="999999"/>
            </w:tcBorders>
          </w:tcPr>
          <w:p w14:paraId="4BB98406" w14:textId="77777777" w:rsidR="007C37C8" w:rsidRDefault="00000000">
            <w:pPr>
              <w:jc w:val="center"/>
              <w:rPr>
                <w:sz w:val="20"/>
                <w:szCs w:val="20"/>
              </w:rPr>
            </w:pPr>
            <w:r>
              <w:rPr>
                <w:sz w:val="20"/>
                <w:szCs w:val="20"/>
              </w:rPr>
              <w:t>95</w:t>
            </w:r>
          </w:p>
        </w:tc>
        <w:tc>
          <w:tcPr>
            <w:tcW w:w="1423" w:type="dxa"/>
            <w:tcBorders>
              <w:top w:val="single" w:sz="2" w:space="0" w:color="999999"/>
              <w:left w:val="single" w:sz="2" w:space="0" w:color="999999"/>
              <w:bottom w:val="single" w:sz="2" w:space="0" w:color="999999"/>
              <w:right w:val="single" w:sz="2" w:space="0" w:color="999999"/>
            </w:tcBorders>
          </w:tcPr>
          <w:p w14:paraId="270AAB8E" w14:textId="77777777" w:rsidR="007C37C8" w:rsidRDefault="00000000">
            <w:pPr>
              <w:jc w:val="center"/>
              <w:rPr>
                <w:sz w:val="20"/>
                <w:szCs w:val="20"/>
              </w:rPr>
            </w:pPr>
            <w:r>
              <w:rPr>
                <w:sz w:val="20"/>
                <w:szCs w:val="20"/>
              </w:rPr>
              <w:t>Yes</w:t>
            </w:r>
          </w:p>
        </w:tc>
      </w:tr>
      <w:tr w:rsidR="007C37C8" w14:paraId="08F32882" w14:textId="77777777">
        <w:tc>
          <w:tcPr>
            <w:tcW w:w="2829" w:type="dxa"/>
            <w:tcBorders>
              <w:top w:val="single" w:sz="2" w:space="0" w:color="999999"/>
              <w:left w:val="single" w:sz="2" w:space="0" w:color="999999"/>
              <w:bottom w:val="single" w:sz="2" w:space="0" w:color="999999"/>
              <w:right w:val="single" w:sz="2" w:space="0" w:color="999999"/>
            </w:tcBorders>
          </w:tcPr>
          <w:p w14:paraId="1FC9D828" w14:textId="77777777" w:rsidR="007C37C8" w:rsidRDefault="00000000">
            <w:pPr>
              <w:rPr>
                <w:sz w:val="20"/>
                <w:szCs w:val="20"/>
              </w:rPr>
            </w:pPr>
            <w:r>
              <w:rPr>
                <w:sz w:val="20"/>
                <w:szCs w:val="20"/>
              </w:rPr>
              <w:t>Iodine deficiency</w:t>
            </w:r>
          </w:p>
        </w:tc>
        <w:tc>
          <w:tcPr>
            <w:tcW w:w="1712" w:type="dxa"/>
            <w:tcBorders>
              <w:top w:val="single" w:sz="2" w:space="0" w:color="999999"/>
              <w:left w:val="single" w:sz="2" w:space="0" w:color="999999"/>
              <w:bottom w:val="single" w:sz="2" w:space="0" w:color="999999"/>
              <w:right w:val="single" w:sz="2" w:space="0" w:color="999999"/>
            </w:tcBorders>
          </w:tcPr>
          <w:p w14:paraId="1D7640CA" w14:textId="77777777" w:rsidR="007C37C8" w:rsidRDefault="00000000">
            <w:pPr>
              <w:jc w:val="center"/>
              <w:rPr>
                <w:sz w:val="20"/>
                <w:szCs w:val="20"/>
              </w:rPr>
            </w:pPr>
            <w:r>
              <w:rPr>
                <w:sz w:val="20"/>
                <w:szCs w:val="20"/>
              </w:rPr>
              <w:t>2.3</w:t>
            </w:r>
          </w:p>
        </w:tc>
        <w:tc>
          <w:tcPr>
            <w:tcW w:w="1742" w:type="dxa"/>
            <w:tcBorders>
              <w:top w:val="single" w:sz="2" w:space="0" w:color="999999"/>
              <w:left w:val="single" w:sz="2" w:space="0" w:color="999999"/>
              <w:bottom w:val="single" w:sz="2" w:space="0" w:color="999999"/>
              <w:right w:val="single" w:sz="2" w:space="0" w:color="999999"/>
            </w:tcBorders>
          </w:tcPr>
          <w:p w14:paraId="5CA03915" w14:textId="77777777" w:rsidR="007C37C8" w:rsidRDefault="00000000">
            <w:pPr>
              <w:jc w:val="center"/>
              <w:rPr>
                <w:sz w:val="20"/>
                <w:szCs w:val="20"/>
              </w:rPr>
            </w:pPr>
            <w:r>
              <w:rPr>
                <w:sz w:val="20"/>
                <w:szCs w:val="20"/>
              </w:rPr>
              <w:t>10</w:t>
            </w:r>
          </w:p>
        </w:tc>
        <w:tc>
          <w:tcPr>
            <w:tcW w:w="1318" w:type="dxa"/>
            <w:tcBorders>
              <w:top w:val="single" w:sz="2" w:space="0" w:color="999999"/>
              <w:left w:val="single" w:sz="2" w:space="0" w:color="999999"/>
              <w:bottom w:val="single" w:sz="2" w:space="0" w:color="999999"/>
              <w:right w:val="single" w:sz="2" w:space="0" w:color="999999"/>
            </w:tcBorders>
          </w:tcPr>
          <w:p w14:paraId="09BAC136" w14:textId="77777777" w:rsidR="007C37C8" w:rsidRDefault="00000000">
            <w:pPr>
              <w:jc w:val="center"/>
              <w:rPr>
                <w:sz w:val="20"/>
                <w:szCs w:val="20"/>
              </w:rPr>
            </w:pPr>
            <w:r>
              <w:rPr>
                <w:sz w:val="20"/>
                <w:szCs w:val="20"/>
              </w:rPr>
              <w:t>92</w:t>
            </w:r>
          </w:p>
        </w:tc>
        <w:tc>
          <w:tcPr>
            <w:tcW w:w="1423" w:type="dxa"/>
            <w:tcBorders>
              <w:top w:val="single" w:sz="2" w:space="0" w:color="999999"/>
              <w:left w:val="single" w:sz="2" w:space="0" w:color="999999"/>
              <w:bottom w:val="single" w:sz="2" w:space="0" w:color="999999"/>
              <w:right w:val="single" w:sz="2" w:space="0" w:color="999999"/>
            </w:tcBorders>
          </w:tcPr>
          <w:p w14:paraId="5C92DB47" w14:textId="77777777" w:rsidR="007C37C8" w:rsidRDefault="00000000">
            <w:pPr>
              <w:jc w:val="center"/>
              <w:rPr>
                <w:sz w:val="20"/>
                <w:szCs w:val="20"/>
              </w:rPr>
            </w:pPr>
            <w:r>
              <w:rPr>
                <w:sz w:val="20"/>
                <w:szCs w:val="20"/>
              </w:rPr>
              <w:t>Yes</w:t>
            </w:r>
          </w:p>
        </w:tc>
      </w:tr>
      <w:tr w:rsidR="007C37C8" w14:paraId="0B706DCE" w14:textId="77777777">
        <w:tc>
          <w:tcPr>
            <w:tcW w:w="2829" w:type="dxa"/>
            <w:tcBorders>
              <w:top w:val="single" w:sz="2" w:space="0" w:color="999999"/>
              <w:left w:val="single" w:sz="2" w:space="0" w:color="999999"/>
              <w:bottom w:val="single" w:sz="2" w:space="0" w:color="999999"/>
              <w:right w:val="single" w:sz="2" w:space="0" w:color="999999"/>
            </w:tcBorders>
          </w:tcPr>
          <w:p w14:paraId="7365C469" w14:textId="77777777" w:rsidR="007C37C8" w:rsidRDefault="00000000">
            <w:pPr>
              <w:rPr>
                <w:sz w:val="20"/>
                <w:szCs w:val="20"/>
              </w:rPr>
            </w:pPr>
            <w:r>
              <w:rPr>
                <w:sz w:val="20"/>
                <w:szCs w:val="20"/>
              </w:rPr>
              <w:t>Viral skin diseases</w:t>
            </w:r>
          </w:p>
        </w:tc>
        <w:tc>
          <w:tcPr>
            <w:tcW w:w="1712" w:type="dxa"/>
            <w:tcBorders>
              <w:top w:val="single" w:sz="2" w:space="0" w:color="999999"/>
              <w:left w:val="single" w:sz="2" w:space="0" w:color="999999"/>
              <w:bottom w:val="single" w:sz="2" w:space="0" w:color="999999"/>
              <w:right w:val="single" w:sz="2" w:space="0" w:color="999999"/>
            </w:tcBorders>
          </w:tcPr>
          <w:p w14:paraId="222CF166" w14:textId="77777777" w:rsidR="007C37C8" w:rsidRDefault="00000000">
            <w:pPr>
              <w:jc w:val="center"/>
              <w:rPr>
                <w:sz w:val="20"/>
                <w:szCs w:val="20"/>
              </w:rPr>
            </w:pPr>
            <w:r>
              <w:rPr>
                <w:sz w:val="20"/>
                <w:szCs w:val="20"/>
              </w:rPr>
              <w:t>4.2</w:t>
            </w:r>
          </w:p>
        </w:tc>
        <w:tc>
          <w:tcPr>
            <w:tcW w:w="1742" w:type="dxa"/>
            <w:tcBorders>
              <w:top w:val="single" w:sz="2" w:space="0" w:color="999999"/>
              <w:left w:val="single" w:sz="2" w:space="0" w:color="999999"/>
              <w:bottom w:val="single" w:sz="2" w:space="0" w:color="999999"/>
              <w:right w:val="single" w:sz="2" w:space="0" w:color="999999"/>
            </w:tcBorders>
          </w:tcPr>
          <w:p w14:paraId="31359645" w14:textId="77777777" w:rsidR="007C37C8" w:rsidRDefault="00000000">
            <w:pPr>
              <w:jc w:val="center"/>
              <w:rPr>
                <w:sz w:val="20"/>
                <w:szCs w:val="20"/>
              </w:rPr>
            </w:pPr>
            <w:r>
              <w:rPr>
                <w:sz w:val="20"/>
                <w:szCs w:val="20"/>
              </w:rPr>
              <w:t>1</w:t>
            </w:r>
          </w:p>
        </w:tc>
        <w:tc>
          <w:tcPr>
            <w:tcW w:w="1318" w:type="dxa"/>
            <w:tcBorders>
              <w:top w:val="single" w:sz="2" w:space="0" w:color="999999"/>
              <w:left w:val="single" w:sz="2" w:space="0" w:color="999999"/>
              <w:bottom w:val="single" w:sz="2" w:space="0" w:color="999999"/>
              <w:right w:val="single" w:sz="2" w:space="0" w:color="999999"/>
            </w:tcBorders>
          </w:tcPr>
          <w:p w14:paraId="6FD2A217" w14:textId="77777777" w:rsidR="007C37C8" w:rsidRDefault="00000000">
            <w:pPr>
              <w:jc w:val="center"/>
              <w:rPr>
                <w:sz w:val="20"/>
                <w:szCs w:val="20"/>
              </w:rPr>
            </w:pPr>
            <w:r>
              <w:rPr>
                <w:sz w:val="20"/>
                <w:szCs w:val="20"/>
              </w:rPr>
              <w:t>85</w:t>
            </w:r>
          </w:p>
        </w:tc>
        <w:tc>
          <w:tcPr>
            <w:tcW w:w="1423" w:type="dxa"/>
            <w:tcBorders>
              <w:top w:val="single" w:sz="2" w:space="0" w:color="999999"/>
              <w:left w:val="single" w:sz="2" w:space="0" w:color="999999"/>
              <w:bottom w:val="single" w:sz="2" w:space="0" w:color="999999"/>
              <w:right w:val="single" w:sz="2" w:space="0" w:color="999999"/>
            </w:tcBorders>
          </w:tcPr>
          <w:p w14:paraId="7EA14210" w14:textId="77777777" w:rsidR="007C37C8" w:rsidRDefault="00000000">
            <w:pPr>
              <w:jc w:val="center"/>
              <w:rPr>
                <w:sz w:val="20"/>
                <w:szCs w:val="20"/>
              </w:rPr>
            </w:pPr>
            <w:r>
              <w:rPr>
                <w:sz w:val="20"/>
                <w:szCs w:val="20"/>
              </w:rPr>
              <w:t>No</w:t>
            </w:r>
          </w:p>
        </w:tc>
      </w:tr>
      <w:tr w:rsidR="007C37C8" w14:paraId="693407F6" w14:textId="77777777">
        <w:tc>
          <w:tcPr>
            <w:tcW w:w="2829" w:type="dxa"/>
            <w:tcBorders>
              <w:top w:val="single" w:sz="2" w:space="0" w:color="999999"/>
              <w:left w:val="single" w:sz="2" w:space="0" w:color="999999"/>
              <w:bottom w:val="single" w:sz="2" w:space="0" w:color="999999"/>
              <w:right w:val="single" w:sz="2" w:space="0" w:color="999999"/>
            </w:tcBorders>
          </w:tcPr>
          <w:p w14:paraId="73313367" w14:textId="77777777" w:rsidR="007C37C8" w:rsidRDefault="00000000">
            <w:pPr>
              <w:rPr>
                <w:sz w:val="20"/>
                <w:szCs w:val="20"/>
              </w:rPr>
            </w:pPr>
            <w:r>
              <w:rPr>
                <w:sz w:val="20"/>
                <w:szCs w:val="20"/>
              </w:rPr>
              <w:t>Cysticercosis</w:t>
            </w:r>
          </w:p>
        </w:tc>
        <w:tc>
          <w:tcPr>
            <w:tcW w:w="1712" w:type="dxa"/>
            <w:tcBorders>
              <w:top w:val="single" w:sz="2" w:space="0" w:color="999999"/>
              <w:left w:val="single" w:sz="2" w:space="0" w:color="999999"/>
              <w:bottom w:val="single" w:sz="2" w:space="0" w:color="999999"/>
              <w:right w:val="single" w:sz="2" w:space="0" w:color="999999"/>
            </w:tcBorders>
          </w:tcPr>
          <w:p w14:paraId="418DDFC4" w14:textId="77777777" w:rsidR="007C37C8" w:rsidRDefault="00000000">
            <w:pPr>
              <w:jc w:val="center"/>
              <w:rPr>
                <w:sz w:val="20"/>
                <w:szCs w:val="20"/>
              </w:rPr>
            </w:pPr>
            <w:r>
              <w:rPr>
                <w:sz w:val="20"/>
                <w:szCs w:val="20"/>
              </w:rPr>
              <w:t>1.2</w:t>
            </w:r>
          </w:p>
        </w:tc>
        <w:tc>
          <w:tcPr>
            <w:tcW w:w="1742" w:type="dxa"/>
            <w:tcBorders>
              <w:top w:val="single" w:sz="2" w:space="0" w:color="999999"/>
              <w:left w:val="single" w:sz="2" w:space="0" w:color="999999"/>
              <w:bottom w:val="single" w:sz="2" w:space="0" w:color="999999"/>
              <w:right w:val="single" w:sz="2" w:space="0" w:color="999999"/>
            </w:tcBorders>
          </w:tcPr>
          <w:p w14:paraId="7ACE4AE0" w14:textId="77777777" w:rsidR="007C37C8" w:rsidRDefault="00000000">
            <w:pPr>
              <w:jc w:val="center"/>
              <w:rPr>
                <w:sz w:val="20"/>
                <w:szCs w:val="20"/>
              </w:rPr>
            </w:pPr>
            <w:r>
              <w:rPr>
                <w:sz w:val="20"/>
                <w:szCs w:val="20"/>
              </w:rPr>
              <w:t>2</w:t>
            </w:r>
          </w:p>
        </w:tc>
        <w:tc>
          <w:tcPr>
            <w:tcW w:w="1318" w:type="dxa"/>
            <w:tcBorders>
              <w:top w:val="single" w:sz="2" w:space="0" w:color="999999"/>
              <w:left w:val="single" w:sz="2" w:space="0" w:color="999999"/>
              <w:bottom w:val="single" w:sz="2" w:space="0" w:color="999999"/>
              <w:right w:val="single" w:sz="2" w:space="0" w:color="999999"/>
            </w:tcBorders>
          </w:tcPr>
          <w:p w14:paraId="571B6A0F" w14:textId="77777777" w:rsidR="007C37C8" w:rsidRDefault="00000000">
            <w:pPr>
              <w:jc w:val="center"/>
              <w:rPr>
                <w:sz w:val="20"/>
                <w:szCs w:val="20"/>
              </w:rPr>
            </w:pPr>
            <w:r>
              <w:rPr>
                <w:sz w:val="20"/>
                <w:szCs w:val="20"/>
              </w:rPr>
              <w:t>80</w:t>
            </w:r>
          </w:p>
        </w:tc>
        <w:tc>
          <w:tcPr>
            <w:tcW w:w="1423" w:type="dxa"/>
            <w:tcBorders>
              <w:top w:val="single" w:sz="2" w:space="0" w:color="999999"/>
              <w:left w:val="single" w:sz="2" w:space="0" w:color="999999"/>
              <w:bottom w:val="single" w:sz="2" w:space="0" w:color="999999"/>
              <w:right w:val="single" w:sz="2" w:space="0" w:color="999999"/>
            </w:tcBorders>
          </w:tcPr>
          <w:p w14:paraId="51C0B6DC" w14:textId="77777777" w:rsidR="007C37C8" w:rsidRDefault="00000000">
            <w:pPr>
              <w:jc w:val="center"/>
              <w:rPr>
                <w:sz w:val="20"/>
                <w:szCs w:val="20"/>
              </w:rPr>
            </w:pPr>
            <w:r>
              <w:rPr>
                <w:sz w:val="20"/>
                <w:szCs w:val="20"/>
              </w:rPr>
              <w:t>Yes</w:t>
            </w:r>
          </w:p>
        </w:tc>
      </w:tr>
      <w:tr w:rsidR="007C37C8" w14:paraId="6431542D" w14:textId="77777777">
        <w:tc>
          <w:tcPr>
            <w:tcW w:w="2829" w:type="dxa"/>
            <w:tcBorders>
              <w:top w:val="single" w:sz="2" w:space="0" w:color="999999"/>
              <w:left w:val="single" w:sz="2" w:space="0" w:color="999999"/>
              <w:bottom w:val="single" w:sz="2" w:space="0" w:color="999999"/>
              <w:right w:val="single" w:sz="2" w:space="0" w:color="999999"/>
            </w:tcBorders>
          </w:tcPr>
          <w:p w14:paraId="0C2253BE" w14:textId="77777777" w:rsidR="007C37C8" w:rsidRDefault="00000000">
            <w:pPr>
              <w:rPr>
                <w:sz w:val="20"/>
                <w:szCs w:val="20"/>
              </w:rPr>
            </w:pPr>
            <w:r>
              <w:rPr>
                <w:sz w:val="20"/>
                <w:szCs w:val="20"/>
              </w:rPr>
              <w:t>Paralytic ileus/intestinal obstruction</w:t>
            </w:r>
          </w:p>
        </w:tc>
        <w:tc>
          <w:tcPr>
            <w:tcW w:w="1712" w:type="dxa"/>
            <w:tcBorders>
              <w:top w:val="single" w:sz="2" w:space="0" w:color="999999"/>
              <w:left w:val="single" w:sz="2" w:space="0" w:color="999999"/>
              <w:bottom w:val="single" w:sz="2" w:space="0" w:color="999999"/>
              <w:right w:val="single" w:sz="2" w:space="0" w:color="999999"/>
            </w:tcBorders>
          </w:tcPr>
          <w:p w14:paraId="1BF35EAB" w14:textId="77777777" w:rsidR="007C37C8" w:rsidRDefault="00000000">
            <w:pPr>
              <w:jc w:val="center"/>
              <w:rPr>
                <w:sz w:val="20"/>
                <w:szCs w:val="20"/>
              </w:rPr>
            </w:pPr>
            <w:r>
              <w:rPr>
                <w:sz w:val="20"/>
                <w:szCs w:val="20"/>
              </w:rPr>
              <w:t>6.7</w:t>
            </w:r>
          </w:p>
        </w:tc>
        <w:tc>
          <w:tcPr>
            <w:tcW w:w="1742" w:type="dxa"/>
            <w:tcBorders>
              <w:top w:val="single" w:sz="2" w:space="0" w:color="999999"/>
              <w:left w:val="single" w:sz="2" w:space="0" w:color="999999"/>
              <w:bottom w:val="single" w:sz="2" w:space="0" w:color="999999"/>
              <w:right w:val="single" w:sz="2" w:space="0" w:color="999999"/>
            </w:tcBorders>
          </w:tcPr>
          <w:p w14:paraId="628373E7" w14:textId="77777777" w:rsidR="007C37C8" w:rsidRDefault="00000000">
            <w:pPr>
              <w:jc w:val="center"/>
              <w:rPr>
                <w:sz w:val="20"/>
                <w:szCs w:val="20"/>
              </w:rPr>
            </w:pPr>
            <w:r>
              <w:rPr>
                <w:sz w:val="20"/>
                <w:szCs w:val="20"/>
              </w:rPr>
              <w:t>5</w:t>
            </w:r>
          </w:p>
        </w:tc>
        <w:tc>
          <w:tcPr>
            <w:tcW w:w="1318" w:type="dxa"/>
            <w:tcBorders>
              <w:top w:val="single" w:sz="2" w:space="0" w:color="999999"/>
              <w:left w:val="single" w:sz="2" w:space="0" w:color="999999"/>
              <w:bottom w:val="single" w:sz="2" w:space="0" w:color="999999"/>
              <w:right w:val="single" w:sz="2" w:space="0" w:color="999999"/>
            </w:tcBorders>
          </w:tcPr>
          <w:p w14:paraId="68023E15" w14:textId="77777777" w:rsidR="007C37C8" w:rsidRDefault="00000000">
            <w:pPr>
              <w:jc w:val="center"/>
              <w:rPr>
                <w:sz w:val="20"/>
                <w:szCs w:val="20"/>
              </w:rPr>
            </w:pPr>
            <w:r>
              <w:rPr>
                <w:sz w:val="20"/>
                <w:szCs w:val="20"/>
              </w:rPr>
              <w:t>80</w:t>
            </w:r>
          </w:p>
        </w:tc>
        <w:tc>
          <w:tcPr>
            <w:tcW w:w="1423" w:type="dxa"/>
            <w:tcBorders>
              <w:top w:val="single" w:sz="2" w:space="0" w:color="999999"/>
              <w:left w:val="single" w:sz="2" w:space="0" w:color="999999"/>
              <w:bottom w:val="single" w:sz="2" w:space="0" w:color="999999"/>
              <w:right w:val="single" w:sz="2" w:space="0" w:color="999999"/>
            </w:tcBorders>
          </w:tcPr>
          <w:p w14:paraId="39148B50" w14:textId="77777777" w:rsidR="007C37C8" w:rsidRDefault="00000000">
            <w:pPr>
              <w:jc w:val="center"/>
              <w:rPr>
                <w:sz w:val="20"/>
                <w:szCs w:val="20"/>
              </w:rPr>
            </w:pPr>
            <w:r>
              <w:rPr>
                <w:sz w:val="20"/>
                <w:szCs w:val="20"/>
              </w:rPr>
              <w:t>No</w:t>
            </w:r>
          </w:p>
        </w:tc>
      </w:tr>
      <w:tr w:rsidR="007C37C8" w14:paraId="3095D841" w14:textId="77777777">
        <w:tc>
          <w:tcPr>
            <w:tcW w:w="2829" w:type="dxa"/>
            <w:tcBorders>
              <w:top w:val="single" w:sz="2" w:space="0" w:color="999999"/>
              <w:left w:val="single" w:sz="2" w:space="0" w:color="999999"/>
              <w:bottom w:val="single" w:sz="2" w:space="0" w:color="999999"/>
              <w:right w:val="single" w:sz="2" w:space="0" w:color="999999"/>
            </w:tcBorders>
          </w:tcPr>
          <w:p w14:paraId="53773390" w14:textId="77777777" w:rsidR="007C37C8" w:rsidRDefault="00000000">
            <w:pPr>
              <w:rPr>
                <w:sz w:val="20"/>
                <w:szCs w:val="20"/>
              </w:rPr>
            </w:pPr>
            <w:r>
              <w:rPr>
                <w:sz w:val="20"/>
                <w:szCs w:val="20"/>
              </w:rPr>
              <w:t>Scabies</w:t>
            </w:r>
          </w:p>
        </w:tc>
        <w:tc>
          <w:tcPr>
            <w:tcW w:w="1712" w:type="dxa"/>
            <w:tcBorders>
              <w:top w:val="single" w:sz="2" w:space="0" w:color="999999"/>
              <w:left w:val="single" w:sz="2" w:space="0" w:color="999999"/>
              <w:bottom w:val="single" w:sz="2" w:space="0" w:color="999999"/>
              <w:right w:val="single" w:sz="2" w:space="0" w:color="999999"/>
            </w:tcBorders>
          </w:tcPr>
          <w:p w14:paraId="1F0206C3" w14:textId="77777777" w:rsidR="007C37C8" w:rsidRDefault="00000000">
            <w:pPr>
              <w:jc w:val="center"/>
              <w:rPr>
                <w:sz w:val="20"/>
                <w:szCs w:val="20"/>
              </w:rPr>
            </w:pPr>
            <w:r>
              <w:rPr>
                <w:sz w:val="20"/>
                <w:szCs w:val="20"/>
              </w:rPr>
              <w:t>5.3</w:t>
            </w:r>
          </w:p>
        </w:tc>
        <w:tc>
          <w:tcPr>
            <w:tcW w:w="1742" w:type="dxa"/>
            <w:tcBorders>
              <w:top w:val="single" w:sz="2" w:space="0" w:color="999999"/>
              <w:left w:val="single" w:sz="2" w:space="0" w:color="999999"/>
              <w:bottom w:val="single" w:sz="2" w:space="0" w:color="999999"/>
              <w:right w:val="single" w:sz="2" w:space="0" w:color="999999"/>
            </w:tcBorders>
          </w:tcPr>
          <w:p w14:paraId="2BCA2C73" w14:textId="77777777" w:rsidR="007C37C8" w:rsidRDefault="00000000">
            <w:pPr>
              <w:jc w:val="center"/>
              <w:rPr>
                <w:sz w:val="20"/>
                <w:szCs w:val="20"/>
              </w:rPr>
            </w:pPr>
            <w:r>
              <w:rPr>
                <w:sz w:val="20"/>
                <w:szCs w:val="20"/>
              </w:rPr>
              <w:t>6</w:t>
            </w:r>
          </w:p>
        </w:tc>
        <w:tc>
          <w:tcPr>
            <w:tcW w:w="1318" w:type="dxa"/>
            <w:tcBorders>
              <w:top w:val="single" w:sz="2" w:space="0" w:color="999999"/>
              <w:left w:val="single" w:sz="2" w:space="0" w:color="999999"/>
              <w:bottom w:val="single" w:sz="2" w:space="0" w:color="999999"/>
              <w:right w:val="single" w:sz="2" w:space="0" w:color="999999"/>
            </w:tcBorders>
          </w:tcPr>
          <w:p w14:paraId="061807CE" w14:textId="77777777" w:rsidR="007C37C8" w:rsidRDefault="00000000">
            <w:pPr>
              <w:jc w:val="center"/>
              <w:rPr>
                <w:sz w:val="20"/>
                <w:szCs w:val="20"/>
              </w:rPr>
            </w:pPr>
            <w:r>
              <w:rPr>
                <w:sz w:val="20"/>
                <w:szCs w:val="20"/>
              </w:rPr>
              <w:t>80</w:t>
            </w:r>
          </w:p>
        </w:tc>
        <w:tc>
          <w:tcPr>
            <w:tcW w:w="1423" w:type="dxa"/>
            <w:tcBorders>
              <w:top w:val="single" w:sz="2" w:space="0" w:color="999999"/>
              <w:left w:val="single" w:sz="2" w:space="0" w:color="999999"/>
              <w:bottom w:val="single" w:sz="2" w:space="0" w:color="999999"/>
              <w:right w:val="single" w:sz="2" w:space="0" w:color="999999"/>
            </w:tcBorders>
          </w:tcPr>
          <w:p w14:paraId="62F01D03" w14:textId="77777777" w:rsidR="007C37C8" w:rsidRDefault="00000000">
            <w:pPr>
              <w:jc w:val="center"/>
              <w:rPr>
                <w:sz w:val="20"/>
                <w:szCs w:val="20"/>
              </w:rPr>
            </w:pPr>
            <w:r>
              <w:rPr>
                <w:sz w:val="20"/>
                <w:szCs w:val="20"/>
              </w:rPr>
              <w:t>Yes</w:t>
            </w:r>
          </w:p>
        </w:tc>
      </w:tr>
    </w:tbl>
    <w:p w14:paraId="7F95F91F" w14:textId="77777777" w:rsidR="007C37C8" w:rsidRDefault="00000000">
      <w:pPr>
        <w:spacing w:before="120"/>
      </w:pPr>
      <w:r>
        <w:rPr>
          <w:i/>
          <w:iCs/>
          <w:sz w:val="18"/>
          <w:szCs w:val="18"/>
        </w:rPr>
        <w:t>GS = Global South; Priority indicates conditions disproportionately affecting low- and middle-income countries.</w:t>
      </w:r>
      <w:r>
        <w:br w:type="page"/>
      </w:r>
    </w:p>
    <w:p w14:paraId="37830D5A" w14:textId="77777777" w:rsidR="007C37C8" w:rsidRDefault="007C37C8"/>
    <w:p w14:paraId="39A40F89" w14:textId="77777777" w:rsidR="007C37C8" w:rsidRDefault="00000000">
      <w:pPr>
        <w:pStyle w:val="Heading2"/>
      </w:pPr>
      <w:r>
        <w:t>Table 4. Equity Alignment Score Distribution</w:t>
      </w:r>
    </w:p>
    <w:tbl>
      <w:tblPr>
        <w:tblW w:w="8500" w:type="dxa"/>
        <w:tblInd w:w="11" w:type="dxa"/>
        <w:tblLayout w:type="fixed"/>
        <w:tblCellMar>
          <w:left w:w="10" w:type="dxa"/>
          <w:right w:w="10" w:type="dxa"/>
        </w:tblCellMar>
        <w:tblLook w:val="04A0" w:firstRow="1" w:lastRow="0" w:firstColumn="1" w:lastColumn="0" w:noHBand="0" w:noVBand="1"/>
      </w:tblPr>
      <w:tblGrid>
        <w:gridCol w:w="2000"/>
        <w:gridCol w:w="2000"/>
        <w:gridCol w:w="2500"/>
        <w:gridCol w:w="2000"/>
      </w:tblGrid>
      <w:tr w:rsidR="007C37C8" w14:paraId="0DC4F2D7" w14:textId="77777777">
        <w:trPr>
          <w:tblHeader/>
        </w:trPr>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65F4CC70" w14:textId="77777777" w:rsidR="007C37C8" w:rsidRDefault="00000000">
            <w:pPr>
              <w:rPr>
                <w:b/>
                <w:bCs/>
                <w:sz w:val="20"/>
                <w:szCs w:val="20"/>
              </w:rPr>
            </w:pPr>
            <w:r>
              <w:rPr>
                <w:b/>
                <w:bCs/>
                <w:sz w:val="20"/>
                <w:szCs w:val="20"/>
              </w:rPr>
              <w:t>Category</w:t>
            </w:r>
          </w:p>
        </w:tc>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7B53E470" w14:textId="77777777" w:rsidR="007C37C8" w:rsidRDefault="00000000">
            <w:pPr>
              <w:jc w:val="center"/>
              <w:rPr>
                <w:b/>
                <w:bCs/>
                <w:sz w:val="20"/>
                <w:szCs w:val="20"/>
              </w:rPr>
            </w:pPr>
            <w:r>
              <w:rPr>
                <w:b/>
                <w:bCs/>
                <w:sz w:val="20"/>
                <w:szCs w:val="20"/>
              </w:rPr>
              <w:t>Score Range</w:t>
            </w:r>
          </w:p>
        </w:tc>
        <w:tc>
          <w:tcPr>
            <w:tcW w:w="2500" w:type="dxa"/>
            <w:tcBorders>
              <w:top w:val="single" w:sz="2" w:space="0" w:color="999999"/>
              <w:left w:val="single" w:sz="2" w:space="0" w:color="999999"/>
              <w:bottom w:val="single" w:sz="2" w:space="0" w:color="999999"/>
              <w:right w:val="single" w:sz="2" w:space="0" w:color="999999"/>
            </w:tcBorders>
            <w:shd w:val="clear" w:color="auto" w:fill="E8E8E8"/>
          </w:tcPr>
          <w:p w14:paraId="5C6F9146" w14:textId="77777777" w:rsidR="007C37C8" w:rsidRDefault="00000000">
            <w:pPr>
              <w:jc w:val="center"/>
              <w:rPr>
                <w:b/>
                <w:bCs/>
                <w:sz w:val="20"/>
                <w:szCs w:val="20"/>
              </w:rPr>
            </w:pPr>
            <w:r>
              <w:rPr>
                <w:b/>
                <w:bCs/>
                <w:sz w:val="20"/>
                <w:szCs w:val="20"/>
              </w:rPr>
              <w:t>Number of Biobanks</w:t>
            </w:r>
          </w:p>
        </w:tc>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3F251C8C" w14:textId="77777777" w:rsidR="007C37C8" w:rsidRDefault="00000000">
            <w:pPr>
              <w:jc w:val="center"/>
              <w:rPr>
                <w:b/>
                <w:bCs/>
                <w:sz w:val="20"/>
                <w:szCs w:val="20"/>
              </w:rPr>
            </w:pPr>
            <w:r>
              <w:rPr>
                <w:b/>
                <w:bCs/>
                <w:sz w:val="20"/>
                <w:szCs w:val="20"/>
              </w:rPr>
              <w:t>Percentage</w:t>
            </w:r>
          </w:p>
        </w:tc>
      </w:tr>
      <w:tr w:rsidR="007C37C8" w14:paraId="6404B507" w14:textId="77777777">
        <w:tc>
          <w:tcPr>
            <w:tcW w:w="2000" w:type="dxa"/>
            <w:tcBorders>
              <w:top w:val="single" w:sz="2" w:space="0" w:color="999999"/>
              <w:left w:val="single" w:sz="2" w:space="0" w:color="999999"/>
              <w:bottom w:val="single" w:sz="2" w:space="0" w:color="999999"/>
              <w:right w:val="single" w:sz="2" w:space="0" w:color="999999"/>
            </w:tcBorders>
          </w:tcPr>
          <w:p w14:paraId="57A4DCA0" w14:textId="77777777" w:rsidR="007C37C8" w:rsidRDefault="00000000">
            <w:pPr>
              <w:rPr>
                <w:sz w:val="20"/>
                <w:szCs w:val="20"/>
              </w:rPr>
            </w:pPr>
            <w:r>
              <w:rPr>
                <w:sz w:val="20"/>
                <w:szCs w:val="20"/>
              </w:rPr>
              <w:t>Strong</w:t>
            </w:r>
          </w:p>
        </w:tc>
        <w:tc>
          <w:tcPr>
            <w:tcW w:w="2000" w:type="dxa"/>
            <w:tcBorders>
              <w:top w:val="single" w:sz="2" w:space="0" w:color="999999"/>
              <w:left w:val="single" w:sz="2" w:space="0" w:color="999999"/>
              <w:bottom w:val="single" w:sz="2" w:space="0" w:color="999999"/>
              <w:right w:val="single" w:sz="2" w:space="0" w:color="999999"/>
            </w:tcBorders>
          </w:tcPr>
          <w:p w14:paraId="6AB0BAA4" w14:textId="77777777" w:rsidR="007C37C8" w:rsidRDefault="00000000">
            <w:pPr>
              <w:jc w:val="center"/>
              <w:rPr>
                <w:sz w:val="20"/>
                <w:szCs w:val="20"/>
              </w:rPr>
            </w:pPr>
            <w:r>
              <w:rPr>
                <w:sz w:val="20"/>
                <w:szCs w:val="20"/>
              </w:rPr>
              <w:t>≥80</w:t>
            </w:r>
          </w:p>
        </w:tc>
        <w:tc>
          <w:tcPr>
            <w:tcW w:w="2500" w:type="dxa"/>
            <w:tcBorders>
              <w:top w:val="single" w:sz="2" w:space="0" w:color="999999"/>
              <w:left w:val="single" w:sz="2" w:space="0" w:color="999999"/>
              <w:bottom w:val="single" w:sz="2" w:space="0" w:color="999999"/>
              <w:right w:val="single" w:sz="2" w:space="0" w:color="999999"/>
            </w:tcBorders>
          </w:tcPr>
          <w:p w14:paraId="18F52196" w14:textId="77777777" w:rsidR="007C37C8" w:rsidRDefault="00000000">
            <w:pPr>
              <w:jc w:val="center"/>
              <w:rPr>
                <w:sz w:val="20"/>
                <w:szCs w:val="20"/>
              </w:rPr>
            </w:pPr>
            <w:r>
              <w:rPr>
                <w:sz w:val="20"/>
                <w:szCs w:val="20"/>
              </w:rPr>
              <w:t>2</w:t>
            </w:r>
          </w:p>
        </w:tc>
        <w:tc>
          <w:tcPr>
            <w:tcW w:w="2000" w:type="dxa"/>
            <w:tcBorders>
              <w:top w:val="single" w:sz="2" w:space="0" w:color="999999"/>
              <w:left w:val="single" w:sz="2" w:space="0" w:color="999999"/>
              <w:bottom w:val="single" w:sz="2" w:space="0" w:color="999999"/>
              <w:right w:val="single" w:sz="2" w:space="0" w:color="999999"/>
            </w:tcBorders>
          </w:tcPr>
          <w:p w14:paraId="0F164293" w14:textId="77777777" w:rsidR="007C37C8" w:rsidRDefault="00000000">
            <w:pPr>
              <w:jc w:val="center"/>
              <w:rPr>
                <w:sz w:val="20"/>
                <w:szCs w:val="20"/>
              </w:rPr>
            </w:pPr>
            <w:r>
              <w:rPr>
                <w:sz w:val="20"/>
                <w:szCs w:val="20"/>
              </w:rPr>
              <w:t>7.4%</w:t>
            </w:r>
          </w:p>
        </w:tc>
      </w:tr>
      <w:tr w:rsidR="007C37C8" w14:paraId="0D472B1F" w14:textId="77777777">
        <w:tc>
          <w:tcPr>
            <w:tcW w:w="2000" w:type="dxa"/>
            <w:tcBorders>
              <w:top w:val="single" w:sz="2" w:space="0" w:color="999999"/>
              <w:left w:val="single" w:sz="2" w:space="0" w:color="999999"/>
              <w:bottom w:val="single" w:sz="2" w:space="0" w:color="999999"/>
              <w:right w:val="single" w:sz="2" w:space="0" w:color="999999"/>
            </w:tcBorders>
          </w:tcPr>
          <w:p w14:paraId="23A1AD27" w14:textId="77777777" w:rsidR="007C37C8" w:rsidRDefault="00000000">
            <w:pPr>
              <w:rPr>
                <w:sz w:val="20"/>
                <w:szCs w:val="20"/>
              </w:rPr>
            </w:pPr>
            <w:r>
              <w:rPr>
                <w:sz w:val="20"/>
                <w:szCs w:val="20"/>
              </w:rPr>
              <w:t>Moderate</w:t>
            </w:r>
          </w:p>
        </w:tc>
        <w:tc>
          <w:tcPr>
            <w:tcW w:w="2000" w:type="dxa"/>
            <w:tcBorders>
              <w:top w:val="single" w:sz="2" w:space="0" w:color="999999"/>
              <w:left w:val="single" w:sz="2" w:space="0" w:color="999999"/>
              <w:bottom w:val="single" w:sz="2" w:space="0" w:color="999999"/>
              <w:right w:val="single" w:sz="2" w:space="0" w:color="999999"/>
            </w:tcBorders>
          </w:tcPr>
          <w:p w14:paraId="0C7C8252" w14:textId="77777777" w:rsidR="007C37C8" w:rsidRDefault="00000000">
            <w:pPr>
              <w:jc w:val="center"/>
              <w:rPr>
                <w:sz w:val="20"/>
                <w:szCs w:val="20"/>
              </w:rPr>
            </w:pPr>
            <w:r>
              <w:rPr>
                <w:sz w:val="20"/>
                <w:szCs w:val="20"/>
              </w:rPr>
              <w:t>60-79</w:t>
            </w:r>
          </w:p>
        </w:tc>
        <w:tc>
          <w:tcPr>
            <w:tcW w:w="2500" w:type="dxa"/>
            <w:tcBorders>
              <w:top w:val="single" w:sz="2" w:space="0" w:color="999999"/>
              <w:left w:val="single" w:sz="2" w:space="0" w:color="999999"/>
              <w:bottom w:val="single" w:sz="2" w:space="0" w:color="999999"/>
              <w:right w:val="single" w:sz="2" w:space="0" w:color="999999"/>
            </w:tcBorders>
          </w:tcPr>
          <w:p w14:paraId="1FA02C67" w14:textId="77777777" w:rsidR="007C37C8" w:rsidRDefault="00000000">
            <w:pPr>
              <w:jc w:val="center"/>
              <w:rPr>
                <w:sz w:val="20"/>
                <w:szCs w:val="20"/>
              </w:rPr>
            </w:pPr>
            <w:r>
              <w:rPr>
                <w:sz w:val="20"/>
                <w:szCs w:val="20"/>
              </w:rPr>
              <w:t>2</w:t>
            </w:r>
          </w:p>
        </w:tc>
        <w:tc>
          <w:tcPr>
            <w:tcW w:w="2000" w:type="dxa"/>
            <w:tcBorders>
              <w:top w:val="single" w:sz="2" w:space="0" w:color="999999"/>
              <w:left w:val="single" w:sz="2" w:space="0" w:color="999999"/>
              <w:bottom w:val="single" w:sz="2" w:space="0" w:color="999999"/>
              <w:right w:val="single" w:sz="2" w:space="0" w:color="999999"/>
            </w:tcBorders>
          </w:tcPr>
          <w:p w14:paraId="5ED43020" w14:textId="77777777" w:rsidR="007C37C8" w:rsidRDefault="00000000">
            <w:pPr>
              <w:jc w:val="center"/>
              <w:rPr>
                <w:sz w:val="20"/>
                <w:szCs w:val="20"/>
              </w:rPr>
            </w:pPr>
            <w:r>
              <w:rPr>
                <w:sz w:val="20"/>
                <w:szCs w:val="20"/>
              </w:rPr>
              <w:t>7.4%</w:t>
            </w:r>
          </w:p>
        </w:tc>
      </w:tr>
      <w:tr w:rsidR="007C37C8" w14:paraId="6541C022" w14:textId="77777777">
        <w:tc>
          <w:tcPr>
            <w:tcW w:w="2000" w:type="dxa"/>
            <w:tcBorders>
              <w:top w:val="single" w:sz="2" w:space="0" w:color="999999"/>
              <w:left w:val="single" w:sz="2" w:space="0" w:color="999999"/>
              <w:bottom w:val="single" w:sz="2" w:space="0" w:color="999999"/>
              <w:right w:val="single" w:sz="2" w:space="0" w:color="999999"/>
            </w:tcBorders>
          </w:tcPr>
          <w:p w14:paraId="7E4E0286" w14:textId="77777777" w:rsidR="007C37C8" w:rsidRDefault="00000000">
            <w:pPr>
              <w:rPr>
                <w:sz w:val="20"/>
                <w:szCs w:val="20"/>
              </w:rPr>
            </w:pPr>
            <w:r>
              <w:rPr>
                <w:sz w:val="20"/>
                <w:szCs w:val="20"/>
              </w:rPr>
              <w:t>Weak</w:t>
            </w:r>
          </w:p>
        </w:tc>
        <w:tc>
          <w:tcPr>
            <w:tcW w:w="2000" w:type="dxa"/>
            <w:tcBorders>
              <w:top w:val="single" w:sz="2" w:space="0" w:color="999999"/>
              <w:left w:val="single" w:sz="2" w:space="0" w:color="999999"/>
              <w:bottom w:val="single" w:sz="2" w:space="0" w:color="999999"/>
              <w:right w:val="single" w:sz="2" w:space="0" w:color="999999"/>
            </w:tcBorders>
          </w:tcPr>
          <w:p w14:paraId="11C3CCB6" w14:textId="77777777" w:rsidR="007C37C8" w:rsidRDefault="00000000">
            <w:pPr>
              <w:jc w:val="center"/>
              <w:rPr>
                <w:sz w:val="20"/>
                <w:szCs w:val="20"/>
              </w:rPr>
            </w:pPr>
            <w:r>
              <w:rPr>
                <w:sz w:val="20"/>
                <w:szCs w:val="20"/>
              </w:rPr>
              <w:t>40-59</w:t>
            </w:r>
          </w:p>
        </w:tc>
        <w:tc>
          <w:tcPr>
            <w:tcW w:w="2500" w:type="dxa"/>
            <w:tcBorders>
              <w:top w:val="single" w:sz="2" w:space="0" w:color="999999"/>
              <w:left w:val="single" w:sz="2" w:space="0" w:color="999999"/>
              <w:bottom w:val="single" w:sz="2" w:space="0" w:color="999999"/>
              <w:right w:val="single" w:sz="2" w:space="0" w:color="999999"/>
            </w:tcBorders>
          </w:tcPr>
          <w:p w14:paraId="1F912987" w14:textId="77777777" w:rsidR="007C37C8" w:rsidRDefault="00000000">
            <w:pPr>
              <w:jc w:val="center"/>
              <w:rPr>
                <w:sz w:val="20"/>
                <w:szCs w:val="20"/>
              </w:rPr>
            </w:pPr>
            <w:r>
              <w:rPr>
                <w:sz w:val="20"/>
                <w:szCs w:val="20"/>
              </w:rPr>
              <w:t>4</w:t>
            </w:r>
          </w:p>
        </w:tc>
        <w:tc>
          <w:tcPr>
            <w:tcW w:w="2000" w:type="dxa"/>
            <w:tcBorders>
              <w:top w:val="single" w:sz="2" w:space="0" w:color="999999"/>
              <w:left w:val="single" w:sz="2" w:space="0" w:color="999999"/>
              <w:bottom w:val="single" w:sz="2" w:space="0" w:color="999999"/>
              <w:right w:val="single" w:sz="2" w:space="0" w:color="999999"/>
            </w:tcBorders>
          </w:tcPr>
          <w:p w14:paraId="1EF2D77E" w14:textId="77777777" w:rsidR="007C37C8" w:rsidRDefault="00000000">
            <w:pPr>
              <w:jc w:val="center"/>
              <w:rPr>
                <w:sz w:val="20"/>
                <w:szCs w:val="20"/>
              </w:rPr>
            </w:pPr>
            <w:r>
              <w:rPr>
                <w:sz w:val="20"/>
                <w:szCs w:val="20"/>
              </w:rPr>
              <w:t>14.8%</w:t>
            </w:r>
          </w:p>
        </w:tc>
      </w:tr>
      <w:tr w:rsidR="007C37C8" w14:paraId="58CA886B" w14:textId="77777777">
        <w:tc>
          <w:tcPr>
            <w:tcW w:w="2000" w:type="dxa"/>
            <w:tcBorders>
              <w:top w:val="single" w:sz="2" w:space="0" w:color="999999"/>
              <w:left w:val="single" w:sz="2" w:space="0" w:color="999999"/>
              <w:bottom w:val="single" w:sz="2" w:space="0" w:color="999999"/>
              <w:right w:val="single" w:sz="2" w:space="0" w:color="999999"/>
            </w:tcBorders>
          </w:tcPr>
          <w:p w14:paraId="2674BD82" w14:textId="77777777" w:rsidR="007C37C8" w:rsidRDefault="00000000">
            <w:pPr>
              <w:rPr>
                <w:sz w:val="20"/>
                <w:szCs w:val="20"/>
              </w:rPr>
            </w:pPr>
            <w:r>
              <w:rPr>
                <w:sz w:val="20"/>
                <w:szCs w:val="20"/>
              </w:rPr>
              <w:t>Poor</w:t>
            </w:r>
          </w:p>
        </w:tc>
        <w:tc>
          <w:tcPr>
            <w:tcW w:w="2000" w:type="dxa"/>
            <w:tcBorders>
              <w:top w:val="single" w:sz="2" w:space="0" w:color="999999"/>
              <w:left w:val="single" w:sz="2" w:space="0" w:color="999999"/>
              <w:bottom w:val="single" w:sz="2" w:space="0" w:color="999999"/>
              <w:right w:val="single" w:sz="2" w:space="0" w:color="999999"/>
            </w:tcBorders>
          </w:tcPr>
          <w:p w14:paraId="6796DFF1" w14:textId="77777777" w:rsidR="007C37C8" w:rsidRDefault="00000000">
            <w:pPr>
              <w:jc w:val="center"/>
              <w:rPr>
                <w:sz w:val="20"/>
                <w:szCs w:val="20"/>
              </w:rPr>
            </w:pPr>
            <w:r>
              <w:rPr>
                <w:sz w:val="20"/>
                <w:szCs w:val="20"/>
              </w:rPr>
              <w:t>&lt;40</w:t>
            </w:r>
          </w:p>
        </w:tc>
        <w:tc>
          <w:tcPr>
            <w:tcW w:w="2500" w:type="dxa"/>
            <w:tcBorders>
              <w:top w:val="single" w:sz="2" w:space="0" w:color="999999"/>
              <w:left w:val="single" w:sz="2" w:space="0" w:color="999999"/>
              <w:bottom w:val="single" w:sz="2" w:space="0" w:color="999999"/>
              <w:right w:val="single" w:sz="2" w:space="0" w:color="999999"/>
            </w:tcBorders>
          </w:tcPr>
          <w:p w14:paraId="221A17D7" w14:textId="77777777" w:rsidR="007C37C8" w:rsidRDefault="00000000">
            <w:pPr>
              <w:jc w:val="center"/>
              <w:rPr>
                <w:sz w:val="20"/>
                <w:szCs w:val="20"/>
              </w:rPr>
            </w:pPr>
            <w:r>
              <w:rPr>
                <w:sz w:val="20"/>
                <w:szCs w:val="20"/>
              </w:rPr>
              <w:t>19</w:t>
            </w:r>
          </w:p>
        </w:tc>
        <w:tc>
          <w:tcPr>
            <w:tcW w:w="2000" w:type="dxa"/>
            <w:tcBorders>
              <w:top w:val="single" w:sz="2" w:space="0" w:color="999999"/>
              <w:left w:val="single" w:sz="2" w:space="0" w:color="999999"/>
              <w:bottom w:val="single" w:sz="2" w:space="0" w:color="999999"/>
              <w:right w:val="single" w:sz="2" w:space="0" w:color="999999"/>
            </w:tcBorders>
          </w:tcPr>
          <w:p w14:paraId="5E114D2C" w14:textId="77777777" w:rsidR="007C37C8" w:rsidRDefault="00000000">
            <w:pPr>
              <w:jc w:val="center"/>
              <w:rPr>
                <w:sz w:val="20"/>
                <w:szCs w:val="20"/>
              </w:rPr>
            </w:pPr>
            <w:r>
              <w:rPr>
                <w:sz w:val="20"/>
                <w:szCs w:val="20"/>
              </w:rPr>
              <w:t>70.4%</w:t>
            </w:r>
          </w:p>
        </w:tc>
      </w:tr>
      <w:tr w:rsidR="007C37C8" w14:paraId="1B69EA43" w14:textId="77777777">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6CE05F3D" w14:textId="77777777" w:rsidR="007C37C8" w:rsidRDefault="00000000">
            <w:pPr>
              <w:rPr>
                <w:b/>
                <w:bCs/>
                <w:sz w:val="20"/>
                <w:szCs w:val="20"/>
              </w:rPr>
            </w:pPr>
            <w:r>
              <w:rPr>
                <w:b/>
                <w:bCs/>
                <w:sz w:val="20"/>
                <w:szCs w:val="20"/>
              </w:rPr>
              <w:t>Total</w:t>
            </w:r>
          </w:p>
        </w:tc>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76B2965A" w14:textId="77777777" w:rsidR="007C37C8" w:rsidRDefault="00000000">
            <w:pPr>
              <w:jc w:val="center"/>
              <w:rPr>
                <w:b/>
                <w:bCs/>
                <w:sz w:val="20"/>
                <w:szCs w:val="20"/>
              </w:rPr>
            </w:pPr>
            <w:r>
              <w:rPr>
                <w:b/>
                <w:bCs/>
                <w:sz w:val="20"/>
                <w:szCs w:val="20"/>
              </w:rPr>
              <w:t>-</w:t>
            </w:r>
          </w:p>
        </w:tc>
        <w:tc>
          <w:tcPr>
            <w:tcW w:w="2500" w:type="dxa"/>
            <w:tcBorders>
              <w:top w:val="single" w:sz="2" w:space="0" w:color="999999"/>
              <w:left w:val="single" w:sz="2" w:space="0" w:color="999999"/>
              <w:bottom w:val="single" w:sz="2" w:space="0" w:color="999999"/>
              <w:right w:val="single" w:sz="2" w:space="0" w:color="999999"/>
            </w:tcBorders>
            <w:shd w:val="clear" w:color="auto" w:fill="E8E8E8"/>
          </w:tcPr>
          <w:p w14:paraId="3C3EE9D1" w14:textId="77777777" w:rsidR="007C37C8" w:rsidRDefault="00000000">
            <w:pPr>
              <w:jc w:val="center"/>
              <w:rPr>
                <w:b/>
                <w:bCs/>
                <w:sz w:val="20"/>
                <w:szCs w:val="20"/>
              </w:rPr>
            </w:pPr>
            <w:r>
              <w:rPr>
                <w:b/>
                <w:bCs/>
                <w:sz w:val="20"/>
                <w:szCs w:val="20"/>
              </w:rPr>
              <w:t>27</w:t>
            </w:r>
          </w:p>
        </w:tc>
        <w:tc>
          <w:tcPr>
            <w:tcW w:w="2000" w:type="dxa"/>
            <w:tcBorders>
              <w:top w:val="single" w:sz="2" w:space="0" w:color="999999"/>
              <w:left w:val="single" w:sz="2" w:space="0" w:color="999999"/>
              <w:bottom w:val="single" w:sz="2" w:space="0" w:color="999999"/>
              <w:right w:val="single" w:sz="2" w:space="0" w:color="999999"/>
            </w:tcBorders>
            <w:shd w:val="clear" w:color="auto" w:fill="E8E8E8"/>
          </w:tcPr>
          <w:p w14:paraId="549CB8C9" w14:textId="77777777" w:rsidR="007C37C8" w:rsidRDefault="00000000">
            <w:pPr>
              <w:jc w:val="center"/>
              <w:rPr>
                <w:b/>
                <w:bCs/>
                <w:sz w:val="20"/>
                <w:szCs w:val="20"/>
              </w:rPr>
            </w:pPr>
            <w:r>
              <w:rPr>
                <w:b/>
                <w:bCs/>
                <w:sz w:val="20"/>
                <w:szCs w:val="20"/>
              </w:rPr>
              <w:t>100%</w:t>
            </w:r>
          </w:p>
        </w:tc>
      </w:tr>
    </w:tbl>
    <w:p w14:paraId="494CCDC1" w14:textId="77777777" w:rsidR="007C37C8" w:rsidRDefault="007C37C8"/>
    <w:sectPr w:rsidR="007C37C8">
      <w:headerReference w:type="default" r:id="rId9"/>
      <w:footerReference w:type="default" r:id="rId10"/>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9BFA" w14:textId="77777777" w:rsidR="00BB4FB2" w:rsidRDefault="00BB4FB2">
      <w:r>
        <w:separator/>
      </w:r>
    </w:p>
  </w:endnote>
  <w:endnote w:type="continuationSeparator" w:id="0">
    <w:p w14:paraId="30A6E5F1" w14:textId="77777777" w:rsidR="00BB4FB2" w:rsidRDefault="00BB4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FreeSans">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0120" w14:textId="77777777" w:rsidR="007C37C8" w:rsidRDefault="00000000">
    <w:pPr>
      <w:jc w:val="cente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16</w:t>
    </w:r>
    <w:r>
      <w:rPr>
        <w:sz w:val="18"/>
        <w:szCs w:val="18"/>
      </w:rPr>
      <w:fldChar w:fldCharType="end"/>
    </w:r>
    <w:r>
      <w:rPr>
        <w:sz w:val="18"/>
        <w:szCs w:val="18"/>
      </w:rPr>
      <w:t xml:space="preserve"> of </w:t>
    </w:r>
    <w:r>
      <w:rPr>
        <w:sz w:val="18"/>
        <w:szCs w:val="18"/>
      </w:rPr>
      <w:fldChar w:fldCharType="begin"/>
    </w:r>
    <w:r>
      <w:rPr>
        <w:sz w:val="18"/>
        <w:szCs w:val="18"/>
      </w:rPr>
      <w:instrText xml:space="preserve"> NUMPAGES \* ARABIC </w:instrText>
    </w:r>
    <w:r>
      <w:rPr>
        <w:sz w:val="18"/>
        <w:szCs w:val="18"/>
      </w:rPr>
      <w:fldChar w:fldCharType="separate"/>
    </w:r>
    <w:r>
      <w:rPr>
        <w:sz w:val="18"/>
        <w:szCs w:val="18"/>
      </w:rPr>
      <w:t>16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F54C" w14:textId="77777777" w:rsidR="00BB4FB2" w:rsidRDefault="00BB4FB2">
      <w:r>
        <w:separator/>
      </w:r>
    </w:p>
  </w:footnote>
  <w:footnote w:type="continuationSeparator" w:id="0">
    <w:p w14:paraId="5F8E1C2F" w14:textId="77777777" w:rsidR="00BB4FB2" w:rsidRDefault="00BB4F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28A6" w14:textId="77777777" w:rsidR="007C37C8" w:rsidRDefault="00000000">
    <w:pPr>
      <w:jc w:val="right"/>
    </w:pPr>
    <w:r>
      <w:rPr>
        <w:i/>
        <w:iCs/>
        <w:sz w:val="18"/>
        <w:szCs w:val="18"/>
      </w:rPr>
      <w:t>HEIM Equity Index 2026 | MedRxiv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9D0"/>
    <w:multiLevelType w:val="multilevel"/>
    <w:tmpl w:val="E954FD5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E147D9"/>
    <w:multiLevelType w:val="multilevel"/>
    <w:tmpl w:val="3872E4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42796195">
    <w:abstractNumId w:val="1"/>
  </w:num>
  <w:num w:numId="2" w16cid:durableId="500584503">
    <w:abstractNumId w:val="0"/>
  </w:num>
  <w:num w:numId="3" w16cid:durableId="412362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9F96221"/>
    <w:rsid w:val="005C790A"/>
    <w:rsid w:val="006D110D"/>
    <w:rsid w:val="007C37C8"/>
    <w:rsid w:val="00BB4FB2"/>
    <w:rsid w:val="00C305E8"/>
    <w:rsid w:val="69F96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E2CB6E"/>
  <w15:docId w15:val="{3990EE51-59D0-7E46-9D0C-50143F33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Arial" w:hAnsi="Arial" w:cs="Arial"/>
      <w:sz w:val="22"/>
      <w:szCs w:val="22"/>
      <w:lang w:eastAsia="zh-CN"/>
    </w:rPr>
  </w:style>
  <w:style w:type="paragraph" w:styleId="Heading1">
    <w:name w:val="heading 1"/>
    <w:next w:val="BodyText"/>
    <w:uiPriority w:val="9"/>
    <w:qFormat/>
    <w:pPr>
      <w:numPr>
        <w:numId w:val="1"/>
      </w:numPr>
      <w:suppressAutoHyphens/>
      <w:spacing w:before="360" w:after="120"/>
      <w:outlineLvl w:val="0"/>
    </w:pPr>
    <w:rPr>
      <w:rFonts w:ascii="Arial" w:eastAsia="Arial" w:hAnsi="Arial" w:cs="Arial"/>
      <w:b/>
      <w:bCs/>
      <w:color w:val="000000"/>
      <w:sz w:val="28"/>
      <w:szCs w:val="28"/>
      <w:lang w:eastAsia="zh-CN"/>
    </w:rPr>
  </w:style>
  <w:style w:type="paragraph" w:styleId="Heading2">
    <w:name w:val="heading 2"/>
    <w:next w:val="BodyText"/>
    <w:uiPriority w:val="9"/>
    <w:unhideWhenUsed/>
    <w:qFormat/>
    <w:pPr>
      <w:numPr>
        <w:ilvl w:val="1"/>
        <w:numId w:val="1"/>
      </w:numPr>
      <w:suppressAutoHyphens/>
      <w:spacing w:before="240" w:after="100"/>
      <w:outlineLvl w:val="1"/>
    </w:pPr>
    <w:rPr>
      <w:rFonts w:ascii="Arial" w:eastAsia="Arial" w:hAnsi="Arial" w:cs="Arial"/>
      <w:b/>
      <w:bCs/>
      <w:color w:val="000000"/>
      <w:sz w:val="24"/>
      <w:szCs w:val="24"/>
      <w:lang w:eastAsia="zh-CN"/>
    </w:rPr>
  </w:style>
  <w:style w:type="paragraph" w:styleId="Heading3">
    <w:name w:val="heading 3"/>
    <w:next w:val="BodyText"/>
    <w:uiPriority w:val="9"/>
    <w:unhideWhenUsed/>
    <w:qFormat/>
    <w:pPr>
      <w:numPr>
        <w:ilvl w:val="2"/>
        <w:numId w:val="1"/>
      </w:numPr>
      <w:suppressAutoHyphens/>
      <w:spacing w:before="200" w:after="80"/>
      <w:outlineLvl w:val="2"/>
    </w:pPr>
    <w:rPr>
      <w:rFonts w:ascii="Arial" w:eastAsia="Arial" w:hAnsi="Arial" w:cs="Arial"/>
      <w:b/>
      <w:bCs/>
      <w:color w:val="000000"/>
      <w:sz w:val="22"/>
      <w:szCs w:val="22"/>
      <w:lang w:eastAsia="zh-CN"/>
    </w:rPr>
  </w:style>
  <w:style w:type="paragraph" w:styleId="Heading4">
    <w:name w:val="heading 4"/>
    <w:next w:val="BodyText"/>
    <w:uiPriority w:val="9"/>
    <w:semiHidden/>
    <w:unhideWhenUsed/>
    <w:qFormat/>
    <w:pPr>
      <w:numPr>
        <w:ilvl w:val="3"/>
        <w:numId w:val="1"/>
      </w:numPr>
      <w:suppressAutoHyphens/>
      <w:outlineLvl w:val="3"/>
    </w:pPr>
    <w:rPr>
      <w:rFonts w:ascii="Arial" w:eastAsia="Arial" w:hAnsi="Arial" w:cs="Arial"/>
      <w:i/>
      <w:iCs/>
      <w:color w:val="2E74B5"/>
      <w:sz w:val="22"/>
      <w:szCs w:val="22"/>
      <w:lang w:eastAsia="zh-CN"/>
    </w:rPr>
  </w:style>
  <w:style w:type="paragraph" w:styleId="Heading5">
    <w:name w:val="heading 5"/>
    <w:next w:val="BodyText"/>
    <w:uiPriority w:val="9"/>
    <w:semiHidden/>
    <w:unhideWhenUsed/>
    <w:qFormat/>
    <w:pPr>
      <w:numPr>
        <w:ilvl w:val="4"/>
        <w:numId w:val="1"/>
      </w:numPr>
      <w:suppressAutoHyphens/>
      <w:outlineLvl w:val="4"/>
    </w:pPr>
    <w:rPr>
      <w:rFonts w:ascii="Arial" w:eastAsia="Arial" w:hAnsi="Arial" w:cs="Arial"/>
      <w:color w:val="2E74B5"/>
      <w:sz w:val="22"/>
      <w:szCs w:val="22"/>
      <w:lang w:eastAsia="zh-CN"/>
    </w:rPr>
  </w:style>
  <w:style w:type="paragraph" w:styleId="Heading6">
    <w:name w:val="heading 6"/>
    <w:next w:val="BodyText"/>
    <w:uiPriority w:val="9"/>
    <w:semiHidden/>
    <w:unhideWhenUsed/>
    <w:qFormat/>
    <w:pPr>
      <w:numPr>
        <w:ilvl w:val="5"/>
        <w:numId w:val="1"/>
      </w:numPr>
      <w:suppressAutoHyphens/>
      <w:outlineLvl w:val="5"/>
    </w:pPr>
    <w:rPr>
      <w:rFonts w:ascii="Arial" w:eastAsia="Arial" w:hAnsi="Arial" w:cs="Arial"/>
      <w:color w:val="1F4D78"/>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customStyle="1" w:styleId="FootnoteTextChar">
    <w:name w:val="Footnote Text Char"/>
    <w:qFormat/>
    <w:rPr>
      <w:sz w:val="20"/>
      <w:szCs w:val="20"/>
    </w:rPr>
  </w:style>
  <w:style w:type="paragraph" w:customStyle="1" w:styleId="Heading">
    <w:name w:val="Heading"/>
    <w:next w:val="BodyText"/>
    <w:qFormat/>
    <w:pPr>
      <w:suppressAutoHyphens/>
      <w:spacing w:after="200"/>
      <w:jc w:val="center"/>
    </w:pPr>
    <w:rPr>
      <w:rFonts w:ascii="Arial" w:eastAsia="Arial" w:hAnsi="Arial" w:cs="Arial"/>
      <w:b/>
      <w:bCs/>
      <w:color w:val="000000"/>
      <w:sz w:val="36"/>
      <w:szCs w:val="36"/>
      <w:lang w:eastAsia="zh-CN"/>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Strong1">
    <w:name w:val="Strong1"/>
    <w:qFormat/>
    <w:pPr>
      <w:suppressAutoHyphens/>
    </w:pPr>
    <w:rPr>
      <w:rFonts w:ascii="Arial" w:eastAsia="Arial" w:hAnsi="Arial" w:cs="Arial"/>
      <w:b/>
      <w:bCs/>
      <w:sz w:val="22"/>
      <w:szCs w:val="22"/>
      <w:lang w:eastAsia="zh-CN"/>
    </w:rPr>
  </w:style>
  <w:style w:type="paragraph" w:styleId="ListParagraph">
    <w:name w:val="List Paragraph"/>
    <w:qFormat/>
    <w:pPr>
      <w:suppressAutoHyphens/>
    </w:pPr>
    <w:rPr>
      <w:rFonts w:ascii="Arial" w:eastAsia="Arial" w:hAnsi="Arial" w:cs="Arial"/>
      <w:sz w:val="22"/>
      <w:szCs w:val="22"/>
      <w:lang w:eastAsia="zh-CN"/>
    </w:rPr>
  </w:style>
  <w:style w:type="paragraph" w:styleId="FootnoteText">
    <w:name w:val="footnote text"/>
    <w:pPr>
      <w:suppressAutoHyphens/>
    </w:pPr>
    <w:rPr>
      <w:rFonts w:ascii="Arial" w:eastAsia="Arial" w:hAnsi="Arial" w:cs="Arial"/>
      <w:lang w:eastAsia="zh-CN"/>
    </w:rPr>
  </w:style>
  <w:style w:type="paragraph" w:customStyle="1" w:styleId="FigureLegend">
    <w:name w:val="Figure Legend"/>
    <w:qFormat/>
    <w:pPr>
      <w:suppressAutoHyphens/>
      <w:spacing w:before="80" w:after="200"/>
    </w:pPr>
    <w:rPr>
      <w:rFonts w:ascii="Arial" w:eastAsia="Arial" w:hAnsi="Arial" w:cs="Arial"/>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4693</Words>
  <Characters>26752</Characters>
  <Application>Microsoft Office Word</Application>
  <DocSecurity>0</DocSecurity>
  <Lines>222</Lines>
  <Paragraphs>62</Paragraphs>
  <ScaleCrop>false</ScaleCrop>
  <Company/>
  <LinksUpToDate>false</LinksUpToDate>
  <CharactersWithSpaces>31383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Corpas</cp:lastModifiedBy>
  <cp:revision>3</cp:revision>
  <cp:lastPrinted>2026-01-05T07:11:00Z</cp:lastPrinted>
  <dcterms:created xsi:type="dcterms:W3CDTF">2026-01-05T07:11:00Z</dcterms:created>
  <dcterms:modified xsi:type="dcterms:W3CDTF">2026-01-05T07:11:00Z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2026-01-05T06:49:00Z</dcterms:created>
  <dc:creator>Un-named</dc:creator>
  <dc:description/>
  <dc:language>en-US</dc:language>
  <cp:lastModifiedBy>Manuel Corpas</cp:lastModifiedBy>
  <dcterms:modified xsi:type="dcterms:W3CDTF">2026-01-05T06:49:00Z</dcterms:modified>
  <cp:revision>2</cp:revision>
  <dc:subject/>
  <dc:title/>
</cp:coreProperties>
</file>