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HEIM Equity Index 2026</w:t>
      </w:r>
    </w:p>
    <w:p>
      <w:pPr>
        <w:pStyle w:val="Subtitle"/>
      </w:pPr>
      <w:r>
        <w:t xml:space="preserve">Health Equity Informative Metrics</w:t>
      </w:r>
    </w:p>
    <w:p>
      <w:pPr>
        <w:spacing w:before="400" w:after="400"/>
        <w:jc w:val="center"/>
      </w:pPr>
      <w:r>
        <w:rPr>
          <w:i/>
          <w:iCs/>
          <w:color w:val="566573"/>
          <w:sz w:val="24"/>
          <w:szCs w:val="24"/>
        </w:rPr>
        <w:t xml:space="preserve">Measuring What Matters: Global Biobank Research Equity</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il"/>
              <w:left w:val="nil"/>
              <w:bottom w:val="nil"/>
              <w:right w:val="nil"/>
            </w:tcBorders>
          </w:tcPr>
          <w:p>
            <w:pPr>
              <w:jc w:val="right"/>
            </w:pPr>
            <w:r>
              <w:rPr>
                <w:b/>
                <w:bCs/>
                <w:color w:val="1B4F72"/>
                <w:sz w:val="48"/>
                <w:szCs w:val="48"/>
              </w:rPr>
              <w:t xml:space="preserve">27</w:t>
            </w:r>
          </w:p>
        </w:tc>
        <w:tc>
          <w:tcPr>
            <w:tcW w:type="dxa" w:w="6360"/>
            <w:tcBorders>
              <w:top w:val="nil"/>
              <w:left w:val="nil"/>
              <w:bottom w:val="nil"/>
              <w:right w:val="nil"/>
            </w:tcBorders>
          </w:tcPr>
          <w:p>
            <w:r>
              <w:rPr>
                <w:color w:val="566573"/>
                <w:sz w:val="24"/>
                <w:szCs w:val="24"/>
              </w:rPr>
              <w:t xml:space="preserve">Biobanks Analysed</w:t>
            </w:r>
          </w:p>
        </w:tc>
      </w:tr>
      <w:tr>
        <w:tc>
          <w:tcPr>
            <w:tcW w:type="dxa" w:w="3000"/>
            <w:tcBorders>
              <w:top w:val="nil"/>
              <w:left w:val="nil"/>
              <w:bottom w:val="nil"/>
              <w:right w:val="nil"/>
            </w:tcBorders>
          </w:tcPr>
          <w:p>
            <w:pPr>
              <w:jc w:val="right"/>
            </w:pPr>
            <w:r>
              <w:rPr>
                <w:b/>
                <w:bCs/>
                <w:color w:val="1B4F72"/>
                <w:sz w:val="48"/>
                <w:szCs w:val="48"/>
              </w:rPr>
              <w:t xml:space="preserve">179</w:t>
            </w:r>
          </w:p>
        </w:tc>
        <w:tc>
          <w:tcPr>
            <w:tcW w:type="dxa" w:w="6360"/>
            <w:tcBorders>
              <w:top w:val="nil"/>
              <w:left w:val="nil"/>
              <w:bottom w:val="nil"/>
              <w:right w:val="nil"/>
            </w:tcBorders>
          </w:tcPr>
          <w:p>
            <w:r>
              <w:rPr>
                <w:color w:val="566573"/>
                <w:sz w:val="24"/>
                <w:szCs w:val="24"/>
              </w:rPr>
              <w:t xml:space="preserve">Disease Categories</w:t>
            </w:r>
          </w:p>
        </w:tc>
      </w:tr>
      <w:tr>
        <w:tc>
          <w:tcPr>
            <w:tcW w:type="dxa" w:w="3000"/>
            <w:tcBorders>
              <w:top w:val="nil"/>
              <w:left w:val="nil"/>
              <w:bottom w:val="nil"/>
              <w:right w:val="nil"/>
            </w:tcBorders>
          </w:tcPr>
          <w:p>
            <w:pPr>
              <w:jc w:val="right"/>
            </w:pPr>
            <w:r>
              <w:rPr>
                <w:b/>
                <w:bCs/>
                <w:color w:val="1B4F72"/>
                <w:sz w:val="48"/>
                <w:szCs w:val="48"/>
              </w:rPr>
              <w:t xml:space="preserve">75,356</w:t>
            </w:r>
          </w:p>
        </w:tc>
        <w:tc>
          <w:tcPr>
            <w:tcW w:type="dxa" w:w="6360"/>
            <w:tcBorders>
              <w:top w:val="nil"/>
              <w:left w:val="nil"/>
              <w:bottom w:val="nil"/>
              <w:right w:val="nil"/>
            </w:tcBorders>
          </w:tcPr>
          <w:p>
            <w:r>
              <w:rPr>
                <w:color w:val="566573"/>
                <w:sz w:val="24"/>
                <w:szCs w:val="24"/>
              </w:rPr>
              <w:t xml:space="preserve">Publications Mapped</w:t>
            </w:r>
          </w:p>
        </w:tc>
      </w:tr>
      <w:tr>
        <w:tc>
          <w:tcPr>
            <w:tcW w:type="dxa" w:w="3000"/>
            <w:tcBorders>
              <w:top w:val="nil"/>
              <w:left w:val="nil"/>
              <w:bottom w:val="nil"/>
              <w:right w:val="nil"/>
            </w:tcBorders>
          </w:tcPr>
          <w:p>
            <w:pPr>
              <w:jc w:val="right"/>
            </w:pPr>
            <w:r>
              <w:rPr>
                <w:b/>
                <w:bCs/>
                <w:color w:val="1B4F72"/>
                <w:sz w:val="48"/>
                <w:szCs w:val="48"/>
              </w:rPr>
              <w:t xml:space="preserve">322x</w:t>
            </w:r>
          </w:p>
        </w:tc>
        <w:tc>
          <w:tcPr>
            <w:tcW w:type="dxa" w:w="6360"/>
            <w:tcBorders>
              <w:top w:val="nil"/>
              <w:left w:val="nil"/>
              <w:bottom w:val="nil"/>
              <w:right w:val="nil"/>
            </w:tcBorders>
          </w:tcPr>
          <w:p>
            <w:r>
              <w:rPr>
                <w:color w:val="566573"/>
                <w:sz w:val="24"/>
                <w:szCs w:val="24"/>
              </w:rPr>
              <w:t xml:space="preserve">Equity Ratio (HIC:LMIC)</w:t>
            </w:r>
          </w:p>
        </w:tc>
      </w:tr>
    </w:tbl>
    <w:p>
      <w:pPr>
        <w:spacing w:before="800"/>
        <w:jc w:val="center"/>
      </w:pPr>
      <w:r>
        <w:rPr>
          <w:b/>
          <w:bCs/>
          <w:sz w:val="22"/>
          <w:szCs w:val="22"/>
        </w:rPr>
        <w:t xml:space="preserve">Author: Manuel Corpas, PhD</w:t>
      </w:r>
    </w:p>
    <w:p>
      <w:pPr>
        <w:spacing w:after="100"/>
        <w:jc w:val="center"/>
      </w:pPr>
      <w:r>
        <w:rPr>
          <w:color w:val="566573"/>
          <w:sz w:val="20"/>
          <w:szCs w:val="20"/>
        </w:rPr>
        <w:t xml:space="preserve">Fellow, The Alan Turing Institute</w:t>
      </w:r>
    </w:p>
    <w:p>
      <w:pPr>
        <w:spacing w:after="100"/>
        <w:jc w:val="center"/>
      </w:pPr>
      <w:r>
        <w:rPr>
          <w:color w:val="566573"/>
          <w:sz w:val="20"/>
          <w:szCs w:val="20"/>
        </w:rPr>
        <w:t xml:space="preserve">Theme Lead for Data Diversity, Cancer Research UK</w:t>
      </w:r>
    </w:p>
    <w:p>
      <w:pPr>
        <w:spacing w:after="200"/>
        <w:jc w:val="center"/>
      </w:pPr>
      <w:r>
        <w:rPr>
          <w:color w:val="566573"/>
          <w:sz w:val="20"/>
          <w:szCs w:val="20"/>
        </w:rPr>
        <w:t xml:space="preserve">Senior Lecturer in Genomics, University of Westminster</w:t>
      </w:r>
    </w:p>
    <w:p>
      <w:pPr>
        <w:spacing w:before="400"/>
        <w:jc w:val="center"/>
      </w:pPr>
      <w:r>
        <w:rPr>
          <w:color w:val="566573"/>
          <w:sz w:val="20"/>
          <w:szCs w:val="20"/>
        </w:rPr>
        <w:t xml:space="preserve">Version 1.0  |  January 2026</w:t>
      </w:r>
    </w:p>
    <w:p>
      <w:pPr>
        <w:spacing w:before="100"/>
        <w:jc w:val="center"/>
      </w:pPr>
      <w:r>
        <w:rPr>
          <w:color w:val="1B4F72"/>
          <w:sz w:val="20"/>
          <w:szCs w:val="20"/>
        </w:rPr>
        <w:t xml:space="preserve">DOI: 10.5281/zenodo.XXXXXXX (pending)</w:t>
      </w:r>
    </w:p>
    <w:p>
      <w:r>
        <w:br w:type="page"/>
      </w:r>
    </w:p>
    <w:p>
      <w:pPr>
        <w:pStyle w:val="Heading1"/>
      </w:pPr>
      <w:r>
        <w:t xml:space="preserve">1. Introduction</w:t>
      </w:r>
    </w:p>
    <w:p>
      <w:pPr>
        <w:pStyle w:val="Heading2"/>
      </w:pPr>
      <w:r>
        <w:t xml:space="preserve">1.1 The Global Genomics Equity Challenge</w:t>
      </w:r>
    </w:p>
    <w:p>
      <w:pPr>
        <w:spacing w:after="200"/>
      </w:pPr>
      <w:r>
        <w:rPr>
          <w:sz w:val="22"/>
          <w:szCs w:val="22"/>
        </w:rPr>
        <w:t xml:space="preserve">The global genomics research enterprise faces a fundamental equity challenge. Despite representing 85% of the world's population, low- and middle-income countries (LMICs) contribute less than 10% of participants across GWAS, pharmacogenomics, direct-to-consumer genomics, and clinical trials, as quantified in our previous diversity gap analyses. This disparity has profound implications for precision medicine, drug development, and clinical care worldwide.</w:t>
      </w:r>
    </w:p>
    <w:p>
      <w:pPr>
        <w:spacing w:after="200"/>
      </w:pPr>
      <w:r>
        <w:rPr>
          <w:sz w:val="22"/>
          <w:szCs w:val="22"/>
        </w:rPr>
        <w:t xml:space="preserve">The consequences of this imbalance are not abstract. For many traits, European-trained polygenic risk scores lose around half or more of their predictive accuracy in African-ancestry cohorts, with smaller but still substantial reductions in other underrepresented populations. Variant pathogenicity assessments in ClinVar are systematically biased toward populations with extensive research coverage, with recent audits showing that variants common in African and Asian populations are disproportionately classified as 'variants of uncertain significance' (Manrai et al., 2016; Popejoy &amp; Fullerton, 2016). Clinical decision support tools trained on homogeneous datasets fail when deployed in diverse healthcare settings.</w:t>
      </w:r>
    </w:p>
    <w:p>
      <w:pPr>
        <w:spacing w:after="200"/>
      </w:pPr>
      <w:r>
        <w:rPr>
          <w:sz w:val="22"/>
          <w:szCs w:val="22"/>
        </w:rPr>
        <w:t xml:space="preserve">These are not merely scientific inconveniences; they represent a systematic failure to deliver the promise of genomic medicine to most of the world's population.</w:t>
      </w:r>
    </w:p>
    <w:p>
      <w:pPr>
        <w:pStyle w:val="Heading2"/>
      </w:pPr>
      <w:r>
        <w:t xml:space="preserve">1.2 The Call for Measurable Frameworks</w:t>
      </w:r>
    </w:p>
    <w:p>
      <w:pPr>
        <w:spacing w:after="200"/>
      </w:pPr>
      <w:r>
        <w:rPr>
          <w:sz w:val="22"/>
          <w:szCs w:val="22"/>
        </w:rPr>
        <w:t xml:space="preserve">Global health bodies, including the World Health Organization, have increasingly called for measurable frameworks to track progress toward equitable genomic research. Recent WHO guidance on genomic medicine implementation emphasises the need for systematic approaches to monitoring representation and addressing gaps in underserved populations. These calls identify several critical challenges in the current genomics landscape:</w:t>
      </w:r>
    </w:p>
    <w:p>
      <w:pPr>
        <w:pStyle w:val="ListParagraph"/>
        <w:numPr>
          <w:ilvl w:val="0"/>
          <w:numId w:val="2"/>
        </w:numPr>
        <w:spacing w:after="100"/>
      </w:pPr>
      <w:r>
        <w:rPr>
          <w:b/>
          <w:bCs/>
          <w:sz w:val="22"/>
          <w:szCs w:val="22"/>
        </w:rPr>
        <w:t xml:space="preserve">Data gaps: </w:t>
      </w:r>
      <w:r>
        <w:rPr>
          <w:sz w:val="22"/>
          <w:szCs w:val="22"/>
        </w:rPr>
        <w:t xml:space="preserve">Insufficient genomic data from diverse populations limits the generalisability of research findings.</w:t>
      </w:r>
    </w:p>
    <w:p>
      <w:pPr>
        <w:pStyle w:val="ListParagraph"/>
        <w:numPr>
          <w:ilvl w:val="0"/>
          <w:numId w:val="2"/>
        </w:numPr>
        <w:spacing w:after="100"/>
      </w:pPr>
      <w:r>
        <w:rPr>
          <w:b/>
          <w:bCs/>
          <w:sz w:val="22"/>
          <w:szCs w:val="22"/>
        </w:rPr>
        <w:t xml:space="preserve">Capacity gaps: </w:t>
      </w:r>
      <w:r>
        <w:rPr>
          <w:sz w:val="22"/>
          <w:szCs w:val="22"/>
        </w:rPr>
        <w:t xml:space="preserve">Research infrastructure in LMICs remains underdeveloped relative to high-income countries.</w:t>
      </w:r>
    </w:p>
    <w:p>
      <w:pPr>
        <w:pStyle w:val="ListParagraph"/>
        <w:numPr>
          <w:ilvl w:val="0"/>
          <w:numId w:val="2"/>
        </w:numPr>
        <w:spacing w:after="100"/>
      </w:pPr>
      <w:r>
        <w:rPr>
          <w:b/>
          <w:bCs/>
          <w:sz w:val="22"/>
          <w:szCs w:val="22"/>
        </w:rPr>
        <w:t xml:space="preserve">Translation gaps: </w:t>
      </w:r>
      <w:r>
        <w:rPr>
          <w:sz w:val="22"/>
          <w:szCs w:val="22"/>
        </w:rPr>
        <w:t xml:space="preserve">Even where research exists, translation to clinical practice is slower in underserved regions.</w:t>
      </w:r>
    </w:p>
    <w:p>
      <w:pPr>
        <w:pStyle w:val="ListParagraph"/>
        <w:numPr>
          <w:ilvl w:val="0"/>
          <w:numId w:val="2"/>
        </w:numPr>
        <w:spacing w:after="100"/>
      </w:pPr>
      <w:r>
        <w:rPr>
          <w:b/>
          <w:bCs/>
          <w:sz w:val="22"/>
          <w:szCs w:val="22"/>
        </w:rPr>
        <w:t xml:space="preserve">Measurement gaps: </w:t>
      </w:r>
      <w:r>
        <w:rPr>
          <w:sz w:val="22"/>
          <w:szCs w:val="22"/>
        </w:rPr>
        <w:t xml:space="preserve">No standardised framework exists to quantify progress toward equity goals.</w:t>
      </w:r>
    </w:p>
    <w:p>
      <w:pPr>
        <w:spacing w:after="200"/>
      </w:pPr>
      <w:r>
        <w:rPr>
          <w:sz w:val="22"/>
          <w:szCs w:val="22"/>
        </w:rPr>
        <w:t xml:space="preserve">The HEIM framework directly addresses this final gap. By providing standardised, reproducible metrics for assessing biobank research equity, HEIM enables stakeholders to move from aspirational commitments to measurable progress.</w:t>
      </w:r>
    </w:p>
    <w:p>
      <w:pPr>
        <w:pStyle w:val="Heading2"/>
      </w:pPr>
      <w:r>
        <w:t xml:space="preserve">1.3 Introducing the HEIM Equity Index</w:t>
      </w:r>
    </w:p>
    <w:p>
      <w:pPr>
        <w:spacing w:after="200"/>
      </w:pPr>
      <w:r>
        <w:rPr>
          <w:sz w:val="22"/>
          <w:szCs w:val="22"/>
        </w:rPr>
        <w:t xml:space="preserve">The Health Equity Informative Metrics (HEIM) framework operationalises equity measurement for biobank research. Rather than treating equity as a moral aspiration, HEIM treats it as an engineering problem: something that can be measured, tracked, and improved through systematic intervention.</w:t>
      </w:r>
    </w:p>
    <w:p>
      <w:pPr>
        <w:spacing w:after="200"/>
      </w:pPr>
      <w:r>
        <w:rPr>
          <w:sz w:val="22"/>
          <w:szCs w:val="22"/>
        </w:rPr>
        <w:t xml:space="preserve">The HEIM framework is implemented in an interactive web dashboard (HEIM Equity Tool; https://manuelcorpas.github.io/17-EHR/) that allows users to explore disease- and biobank-specific metrics in real time. This tool enables stakeholders to filter by biobank, disease category, WHO region, and gap severity, providing immediate access to the equity metrics underlying this report.</w:t>
      </w:r>
    </w:p>
    <w:p>
      <w:pPr>
        <w:spacing w:after="200"/>
      </w:pPr>
      <w:r>
        <w:rPr>
          <w:sz w:val="22"/>
          <w:szCs w:val="22"/>
        </w:rPr>
        <w:t xml:space="preserve">This report presents the first HEIM Equity Index, establishing baseline measurements for 27 biobanks across 19 countries. The Index quantifies the alignment between research output and global disease burden, identifies critical gaps where high-burden diseases receive minimal research attention, and provides actionable metrics for funders, biobanks, and policymakers.</w:t>
      </w:r>
    </w:p>
    <w:p>
      <w:pPr>
        <w:spacing w:after="200"/>
      </w:pPr>
      <w:r>
        <w:rPr>
          <w:sz w:val="22"/>
          <w:szCs w:val="22"/>
        </w:rPr>
        <w:t xml:space="preserve">The HEIM Equity Index is designed to be:</w:t>
      </w:r>
    </w:p>
    <w:p>
      <w:pPr>
        <w:pStyle w:val="ListParagraph"/>
        <w:numPr>
          <w:ilvl w:val="0"/>
          <w:numId w:val="2"/>
        </w:numPr>
        <w:spacing w:after="100"/>
      </w:pPr>
      <w:r>
        <w:rPr>
          <w:b/>
          <w:bCs/>
          <w:sz w:val="22"/>
          <w:szCs w:val="22"/>
        </w:rPr>
        <w:t xml:space="preserve">Reproducible: </w:t>
      </w:r>
      <w:r>
        <w:rPr>
          <w:sz w:val="22"/>
          <w:szCs w:val="22"/>
        </w:rPr>
        <w:t xml:space="preserve">All metrics are calculated from publicly available data using documented methodologies.</w:t>
      </w:r>
    </w:p>
    <w:p>
      <w:pPr>
        <w:pStyle w:val="ListParagraph"/>
        <w:numPr>
          <w:ilvl w:val="0"/>
          <w:numId w:val="2"/>
        </w:numPr>
        <w:spacing w:after="100"/>
      </w:pPr>
      <w:r>
        <w:rPr>
          <w:b/>
          <w:bCs/>
          <w:sz w:val="22"/>
          <w:szCs w:val="22"/>
        </w:rPr>
        <w:t xml:space="preserve">Comparable: </w:t>
      </w:r>
      <w:r>
        <w:rPr>
          <w:sz w:val="22"/>
          <w:szCs w:val="22"/>
        </w:rPr>
        <w:t xml:space="preserve">Standardised scores enable meaningful comparisons across biobanks, regions, and time periods.</w:t>
      </w:r>
    </w:p>
    <w:p>
      <w:pPr>
        <w:pStyle w:val="ListParagraph"/>
        <w:numPr>
          <w:ilvl w:val="0"/>
          <w:numId w:val="2"/>
        </w:numPr>
        <w:spacing w:after="100"/>
      </w:pPr>
      <w:r>
        <w:rPr>
          <w:b/>
          <w:bCs/>
          <w:sz w:val="22"/>
          <w:szCs w:val="22"/>
        </w:rPr>
        <w:t xml:space="preserve">Actionable: </w:t>
      </w:r>
      <w:r>
        <w:rPr>
          <w:sz w:val="22"/>
          <w:szCs w:val="22"/>
        </w:rPr>
        <w:t xml:space="preserve">Metrics are designed to inform resource allocation and strategic planning decisions.</w:t>
      </w:r>
    </w:p>
    <w:p>
      <w:pPr>
        <w:pStyle w:val="ListParagraph"/>
        <w:numPr>
          <w:ilvl w:val="0"/>
          <w:numId w:val="2"/>
        </w:numPr>
        <w:spacing w:after="100"/>
      </w:pPr>
      <w:r>
        <w:rPr>
          <w:b/>
          <w:bCs/>
          <w:sz w:val="22"/>
          <w:szCs w:val="22"/>
        </w:rPr>
        <w:t xml:space="preserve">Updatable: </w:t>
      </w:r>
      <w:r>
        <w:rPr>
          <w:sz w:val="22"/>
          <w:szCs w:val="22"/>
        </w:rPr>
        <w:t xml:space="preserve">The Index will be refreshed annually to track progress and identify emerging gaps.</w:t>
      </w:r>
    </w:p>
    <w:p>
      <w:r>
        <w:br w:type="page"/>
      </w:r>
    </w:p>
    <w:p>
      <w:pPr>
        <w:pStyle w:val="Heading1"/>
      </w:pPr>
      <w:r>
        <w:t xml:space="preserve">2. Background: The Equity Problem in Genomics</w:t>
      </w:r>
    </w:p>
    <w:p>
      <w:pPr>
        <w:pStyle w:val="Heading2"/>
      </w:pPr>
      <w:r>
        <w:t xml:space="preserve">2.1 Prior Work and Conceptual Background</w:t>
      </w:r>
    </w:p>
    <w:p>
      <w:pPr>
        <w:spacing w:after="200"/>
      </w:pPr>
      <w:r>
        <w:rPr>
          <w:sz w:val="22"/>
          <w:szCs w:val="22"/>
        </w:rPr>
        <w:t xml:space="preserve">The HEIM framework builds upon a substantial body of prior work examining diversity gaps across genomic research modalities. Our analyses of the diversity gap across genome-wide association studies, pharmacogenomics, direct-to-consumer genomics, and clinical trials consistently show that well over 80-90% of participants come from high-income, predominantly European-ancestry populations, with only a small fraction from LMICs (Corpas et al., 2024; Sirugo et al., 2019).</w:t>
      </w:r>
    </w:p>
    <w:p>
      <w:pPr>
        <w:spacing w:after="200"/>
      </w:pPr>
      <w:r>
        <w:rPr>
          <w:sz w:val="22"/>
          <w:szCs w:val="22"/>
        </w:rPr>
        <w:t xml:space="preserve">This work extends our previous contributions to equity and governance frameworks within the Global Alliance for Genomics and Health (GA4GH), where we have advocated for systematic approaches to measuring and addressing representation gaps. Our pharmacogenomics research has documented how ancestry and sex biases propagate through clinical guidelines, creating systematic disadvantages for underrepresented populations (Corpas et al., 2024).</w:t>
      </w:r>
    </w:p>
    <w:p>
      <w:pPr>
        <w:spacing w:after="200"/>
      </w:pPr>
      <w:r>
        <w:rPr>
          <w:sz w:val="22"/>
          <w:szCs w:val="22"/>
        </w:rPr>
        <w:t xml:space="preserve">HEIM extends this prior work by providing a disease-resolved, DALY-normalised equity index at the biobank level, designed for routine use by funders, biobanks, and policymakers. Where previous frameworks have documented the problem, HEIM operationalises measurement in a form that enables tracking and accountability.</w:t>
      </w:r>
    </w:p>
    <w:p>
      <w:pPr>
        <w:pStyle w:val="Heading2"/>
      </w:pPr>
      <w:r>
        <w:t xml:space="preserve">2.2 The Ancestry Gap in Genomic Research</w:t>
      </w:r>
    </w:p>
    <w:p>
      <w:pPr>
        <w:spacing w:after="200"/>
      </w:pPr>
      <w:r>
        <w:rPr>
          <w:sz w:val="22"/>
          <w:szCs w:val="22"/>
        </w:rPr>
        <w:t xml:space="preserve">Multiple analyses, including our own work on the diversity gap across GWAS, pharmacogenomics, DTC genomics, and clinical trials, show that well over 80-90% of participants come from high-income, predominantly European-ancestry populations, with only a small fraction from LMICs. This concentration has created a genomic knowledge base that is systematically biased toward a minority of humanity.</w:t>
      </w:r>
    </w:p>
    <w:p>
      <w:pPr>
        <w:spacing w:after="200"/>
      </w:pPr>
      <w:r>
        <w:rPr>
          <w:sz w:val="22"/>
          <w:szCs w:val="22"/>
        </w:rPr>
        <w:t xml:space="preserve">The implications extend across the research-to-clinic pipeline:</w:t>
      </w:r>
    </w:p>
    <w:p>
      <w:pPr>
        <w:pStyle w:val="ListParagraph"/>
        <w:numPr>
          <w:ilvl w:val="0"/>
          <w:numId w:val="2"/>
        </w:numPr>
        <w:spacing w:after="100"/>
      </w:pPr>
      <w:r>
        <w:rPr>
          <w:b/>
          <w:bCs/>
          <w:sz w:val="22"/>
          <w:szCs w:val="22"/>
        </w:rPr>
        <w:t xml:space="preserve">Discovery: </w:t>
      </w:r>
      <w:r>
        <w:rPr>
          <w:sz w:val="22"/>
          <w:szCs w:val="22"/>
        </w:rPr>
        <w:t xml:space="preserve">Variants that are common in non-European populations but rare or absent in European populations are systematically understudied, leading to missed disease associations.</w:t>
      </w:r>
    </w:p>
    <w:p>
      <w:pPr>
        <w:pStyle w:val="ListParagraph"/>
        <w:numPr>
          <w:ilvl w:val="0"/>
          <w:numId w:val="2"/>
        </w:numPr>
        <w:spacing w:after="100"/>
      </w:pPr>
      <w:r>
        <w:rPr>
          <w:b/>
          <w:bCs/>
          <w:sz w:val="22"/>
          <w:szCs w:val="22"/>
        </w:rPr>
        <w:t xml:space="preserve">Interpretation: </w:t>
      </w:r>
      <w:r>
        <w:rPr>
          <w:sz w:val="22"/>
          <w:szCs w:val="22"/>
        </w:rPr>
        <w:t xml:space="preserve">ClinVar, the primary database for clinical variant interpretation, contains pathogenicity assessments derived predominantly from European-ancestry studies, creating blind spots for other populations. Empirical audits have documented that variants common in African and Asian populations are disproportionately classified as 'variants of uncertain significance' (Manrai et al., 2016).</w:t>
      </w:r>
    </w:p>
    <w:p>
      <w:pPr>
        <w:pStyle w:val="ListParagraph"/>
        <w:numPr>
          <w:ilvl w:val="0"/>
          <w:numId w:val="2"/>
        </w:numPr>
        <w:spacing w:after="100"/>
      </w:pPr>
      <w:r>
        <w:rPr>
          <w:b/>
          <w:bCs/>
          <w:sz w:val="22"/>
          <w:szCs w:val="22"/>
        </w:rPr>
        <w:t xml:space="preserve">Prediction: </w:t>
      </w:r>
      <w:r>
        <w:rPr>
          <w:sz w:val="22"/>
          <w:szCs w:val="22"/>
        </w:rPr>
        <w:t xml:space="preserve">For many traits, European-trained polygenic risk scores lose around half or more of their predictive accuracy in African-ancestry cohorts, with smaller but still substantial reductions in other underrepresented populations.</w:t>
      </w:r>
    </w:p>
    <w:p>
      <w:pPr>
        <w:pStyle w:val="ListParagraph"/>
        <w:numPr>
          <w:ilvl w:val="0"/>
          <w:numId w:val="2"/>
        </w:numPr>
        <w:spacing w:after="100"/>
      </w:pPr>
      <w:r>
        <w:rPr>
          <w:b/>
          <w:bCs/>
          <w:sz w:val="22"/>
          <w:szCs w:val="22"/>
        </w:rPr>
        <w:t xml:space="preserve">Treatment: </w:t>
      </w:r>
      <w:r>
        <w:rPr>
          <w:sz w:val="22"/>
          <w:szCs w:val="22"/>
        </w:rPr>
        <w:t xml:space="preserve">Pharmacogenomic guidelines are based primarily on European data, potentially leading to suboptimal dosing recommendations for other populations, as documented in our recent work on ancestry and sex bias in pharmacogenomics.</w:t>
      </w:r>
    </w:p>
    <w:p>
      <w:pPr>
        <w:pStyle w:val="Heading2"/>
      </w:pPr>
      <w:r>
        <w:t xml:space="preserve">2.3 The Biobank Landscape</w:t>
      </w:r>
    </w:p>
    <w:p>
      <w:pPr>
        <w:spacing w:after="200"/>
      </w:pPr>
      <w:r>
        <w:rPr>
          <w:sz w:val="22"/>
          <w:szCs w:val="22"/>
        </w:rPr>
        <w:t xml:space="preserve">Biobanks represent critical infrastructure for genomic research. By linking biological samples with electronic health records and longitudinal follow-up, biobanks enable the large-scale studies necessary for genomic discovery. However, the global distribution of biobank capacity mirrors broader inequities in research infrastructure.</w:t>
      </w:r>
    </w:p>
    <w:p>
      <w:pPr>
        <w:spacing w:after="200"/>
      </w:pPr>
      <w:r>
        <w:rPr>
          <w:sz w:val="22"/>
          <w:szCs w:val="22"/>
        </w:rPr>
        <w:t xml:space="preserve">High-income countries host the majority of large-scale biobanks with comprehensive phenotyping and genomic data. The UK Biobank (500,000 participants), US-based eMERGE Network, and Nordic biobanks have generated thousands of publications advancing genomic knowledge. Meanwhile, biobanks in LMICs face systematic challenges including limited funding, infrastructure constraints, and reduced access to global research networks.</w:t>
      </w:r>
    </w:p>
    <w:p>
      <w:pPr>
        <w:spacing w:after="200"/>
      </w:pPr>
      <w:r>
        <w:rPr>
          <w:sz w:val="22"/>
          <w:szCs w:val="22"/>
        </w:rPr>
        <w:t xml:space="preserve">This disparity creates a self-reinforcing cycle: well-resourced biobanks generate more publications, attract more funding, build larger datasets, and further consolidate their research leadership. Breaking this cycle requires intentional investment in equity-aligned research.</w:t>
      </w:r>
    </w:p>
    <w:p>
      <w:pPr>
        <w:pStyle w:val="Heading2"/>
      </w:pPr>
      <w:r>
        <w:t xml:space="preserve">2.4 The Disease Burden Mismatch</w:t>
      </w:r>
    </w:p>
    <w:p>
      <w:pPr>
        <w:spacing w:after="200"/>
      </w:pPr>
      <w:r>
        <w:rPr>
          <w:sz w:val="22"/>
          <w:szCs w:val="22"/>
        </w:rPr>
        <w:t xml:space="preserve">Global disease burden, measured in Disability-Adjusted Life Years (DALYs), is distributed very differently from research attention. The Global Burden of Disease Study 2021 reveals that conditions causing the greatest human suffering are often not those receiving the most research investment.</w:t>
      </w:r>
    </w:p>
    <w:p>
      <w:pPr>
        <w:spacing w:after="200"/>
      </w:pPr>
      <w:r>
        <w:rPr>
          <w:sz w:val="22"/>
          <w:szCs w:val="22"/>
        </w:rPr>
        <w:t xml:space="preserve">Communicable diseases, maternal conditions, and nutritional deficiencies account for a substantial proportion of DALYs in LMICs but receive disproportionately low research attention from major biobanks. Conversely, conditions more prevalent in high-income countries receive intensive study regardless of their global burden ranking.</w:t>
      </w:r>
    </w:p>
    <w:p>
      <w:pPr>
        <w:spacing w:after="200"/>
      </w:pPr>
      <w:r>
        <w:rPr>
          <w:sz w:val="22"/>
          <w:szCs w:val="22"/>
        </w:rPr>
        <w:t xml:space="preserve">This mismatch is not accidental; it reflects the geographic distribution of research capacity. Biobanks naturally study conditions prevalent in their source populations. When most biobanks are located in high-income countries, the research agenda inevitably skews toward conditions affecting those populations.</w:t>
      </w:r>
    </w:p>
    <w:p>
      <w:r>
        <w:br w:type="page"/>
      </w:r>
    </w:p>
    <w:p>
      <w:pPr>
        <w:pStyle w:val="Heading1"/>
      </w:pPr>
      <w:r>
        <w:t xml:space="preserve">3. Executive Summary</w:t>
      </w:r>
    </w:p>
    <w:p>
      <w:pPr>
        <w:spacing w:after="200"/>
      </w:pPr>
      <w:r>
        <w:rPr>
          <w:sz w:val="22"/>
          <w:szCs w:val="22"/>
        </w:rPr>
        <w:t xml:space="preserve">The HEIM Equity Index 2026 presents the first comprehensive assessment of health equity in global biobank research. Using the Health Equity Informative Metrics (HEIM) framework, this report quantifies the alignment between biobank research output and global disease burden, revealing significant disparities that demand attention from researchers, funders, and policymakers.</w:t>
      </w:r>
    </w:p>
    <w:p>
      <w:pPr>
        <w:pStyle w:val="Heading2"/>
      </w:pPr>
      <w:r>
        <w:t xml:space="preserve">3.1 Key Findings</w:t>
      </w:r>
    </w:p>
    <w:p>
      <w:pPr>
        <w:pStyle w:val="ListParagraph"/>
        <w:numPr>
          <w:ilvl w:val="0"/>
          <w:numId w:val="2"/>
        </w:numPr>
        <w:spacing w:after="100"/>
      </w:pPr>
      <w:r>
        <w:rPr>
          <w:b/>
          <w:bCs/>
          <w:sz w:val="22"/>
          <w:szCs w:val="22"/>
        </w:rPr>
        <w:t xml:space="preserve">Massive Equity Gap: </w:t>
      </w:r>
      <w:r>
        <w:rPr>
          <w:sz w:val="22"/>
          <w:szCs w:val="22"/>
        </w:rPr>
        <w:t xml:space="preserve">High-income country biobanks produce 322 times more research per DALY than their low- and middle-income counterparts in our 27-biobank sample (PubMed 2000-2025), indicating severe global research inequity.</w:t>
      </w:r>
    </w:p>
    <w:p>
      <w:pPr>
        <w:pStyle w:val="ListParagraph"/>
        <w:numPr>
          <w:ilvl w:val="0"/>
          <w:numId w:val="2"/>
        </w:numPr>
        <w:spacing w:after="100"/>
      </w:pPr>
      <w:r>
        <w:rPr>
          <w:b/>
          <w:bCs/>
          <w:sz w:val="22"/>
          <w:szCs w:val="22"/>
        </w:rPr>
        <w:t xml:space="preserve">Critical Disease Gaps: </w:t>
      </w:r>
      <w:r>
        <w:rPr>
          <w:sz w:val="22"/>
          <w:szCs w:val="22"/>
        </w:rPr>
        <w:t xml:space="preserve">Six disease categories show critical research gaps despite high global burden, including drowning (15.7M DALYs, 0 publications) and iodine deficiency (2.25M DALYs, 10 publications).</w:t>
      </w:r>
    </w:p>
    <w:p>
      <w:pPr>
        <w:pStyle w:val="ListParagraph"/>
        <w:numPr>
          <w:ilvl w:val="0"/>
          <w:numId w:val="2"/>
        </w:numPr>
        <w:spacing w:after="100"/>
      </w:pPr>
      <w:r>
        <w:rPr>
          <w:b/>
          <w:bCs/>
          <w:sz w:val="22"/>
          <w:szCs w:val="22"/>
        </w:rPr>
        <w:t xml:space="preserve">Regional Concentration: </w:t>
      </w:r>
      <w:r>
        <w:rPr>
          <w:sz w:val="22"/>
          <w:szCs w:val="22"/>
        </w:rPr>
        <w:t xml:space="preserve">65% of all biobank publications originate from the Americas region, while Africa, Eastern Mediterranean, and South-East Asia combined contribute less than 1%.</w:t>
      </w:r>
    </w:p>
    <w:p>
      <w:pPr>
        <w:pStyle w:val="ListParagraph"/>
        <w:numPr>
          <w:ilvl w:val="0"/>
          <w:numId w:val="2"/>
        </w:numPr>
        <w:spacing w:after="100"/>
      </w:pPr>
      <w:r>
        <w:rPr>
          <w:b/>
          <w:bCs/>
          <w:sz w:val="22"/>
          <w:szCs w:val="22"/>
        </w:rPr>
        <w:t xml:space="preserve">Systemic Underperformance: </w:t>
      </w:r>
      <w:r>
        <w:rPr>
          <w:sz w:val="22"/>
          <w:szCs w:val="22"/>
        </w:rPr>
        <w:t xml:space="preserve">Only 2 of 27 biobanks achieve 'Strong' equity alignment scores, while 19 (70%) are rated 'Poor', highlighting systemic underinvestment in equity-aligned research.</w:t>
      </w:r>
    </w:p>
    <w:p>
      <w:pPr>
        <w:pStyle w:val="Heading2"/>
      </w:pPr>
      <w:r>
        <w:t xml:space="preserve">3.2 Implications</w:t>
      </w:r>
    </w:p>
    <w:p>
      <w:pPr>
        <w:spacing w:after="200"/>
      </w:pPr>
      <w:r>
        <w:rPr>
          <w:sz w:val="22"/>
          <w:szCs w:val="22"/>
        </w:rPr>
        <w:t xml:space="preserve">These findings align with calls from the WHO and other global health bodies for measurable frameworks to track progress toward equitable genomic research. The HEIM Index provides exactly this: a standardised, reproducible methodology for benchmarking biobanks against global health needs.</w:t>
      </w:r>
    </w:p>
    <w:p>
      <w:pPr>
        <w:spacing w:after="200"/>
      </w:pPr>
      <w:r>
        <w:rPr>
          <w:sz w:val="22"/>
          <w:szCs w:val="22"/>
        </w:rPr>
        <w:t xml:space="preserve">The 322x equity ratio within our sample is not merely a statistic; it represents millions of patients in underserved populations whose diseases remain understudied. While the exact multiplier may vary with different samples or time windows, the fundamental pattern of profound inequity is robust. Closing this gap requires coordinated action from funders, research institutions, and policymakers.</w:t>
      </w:r>
    </w:p>
    <w:p>
      <w:pPr>
        <w:spacing w:after="200"/>
      </w:pPr>
      <w:r>
        <w:rPr>
          <w:sz w:val="22"/>
          <w:szCs w:val="22"/>
        </w:rPr>
        <w:t xml:space="preserve">This report establishes baseline measurements against which future progress can be assessed. We recommend that funders incorporate HEIM scores into grant evaluations, that biobanks use the framework for strategic planning, and that policymakers reference these metrics when allocating resources for genomic research infrastructure.</w:t>
      </w:r>
    </w:p>
    <w:p>
      <w:r>
        <w:br w:type="page"/>
      </w:r>
    </w:p>
    <w:p>
      <w:pPr>
        <w:pStyle w:val="Heading1"/>
      </w:pPr>
      <w:r>
        <w:t xml:space="preserve">4. Global Findings</w:t>
      </w:r>
    </w:p>
    <w:p>
      <w:pPr>
        <w:pStyle w:val="Heading2"/>
      </w:pPr>
      <w:r>
        <w:t xml:space="preserve">4.1 Overview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Value</w:t>
            </w:r>
          </w:p>
        </w:tc>
        <w:tc>
          <w:tcPr>
            <w:tcW w:type="dxa" w:w="39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Total Biobanks</w:t>
            </w:r>
          </w:p>
        </w:tc>
        <w:tc>
          <w:tcPr>
            <w:tcW w:type="dxa" w:w="2340"/>
            <w:tcBorders>
              <w:top w:val="single" w:color="CCCCCC" w:sz="1"/>
              <w:left w:val="single" w:color="CCCCCC" w:sz="1"/>
              <w:bottom w:val="single" w:color="CCCCCC" w:sz="1"/>
              <w:right w:val="single" w:color="CCCCCC" w:sz="1"/>
            </w:tcBorders>
            <w:shd w:fill="FFFFFF" w:val="clear"/>
          </w:tcPr>
          <w:p>
            <w:pPr>
              <w:jc w:val="center"/>
            </w:pPr>
            <w:r>
              <w:rPr>
                <w:b w:val="false"/>
                <w:bCs w:val="false"/>
                <w:color w:val="000000"/>
                <w:sz w:val="20"/>
                <w:szCs w:val="20"/>
              </w:rPr>
              <w:t xml:space="preserve">27</w:t>
            </w:r>
          </w:p>
        </w:tc>
        <w:tc>
          <w:tcPr>
            <w:tcW w:type="dxa" w:w="3900"/>
            <w:tcBorders>
              <w:top w:val="single" w:color="CCCCCC" w:sz="1"/>
              <w:left w:val="single" w:color="CCCCCC" w:sz="1"/>
              <w:bottom w:val="single" w:color="CCCCCC" w:sz="1"/>
              <w:right w:val="single" w:color="CCCCCC" w:sz="1"/>
            </w:tcBorders>
            <w:shd w:fill="FFFFFF" w:val="clear"/>
          </w:tcPr>
          <w:p>
            <w:r>
              <w:rPr>
                <w:sz w:val="20"/>
                <w:szCs w:val="20"/>
              </w:rPr>
              <w:t xml:space="preserve">27 biobanks from 19 countries</w:t>
            </w:r>
          </w:p>
        </w:tc>
      </w:tr>
      <w:tr>
        <w:tc>
          <w:tcPr>
            <w:tcW w:type="dxa" w:w="3120"/>
            <w:tcBorders>
              <w:top w:val="single" w:color="CCCCCC" w:sz="1"/>
              <w:left w:val="single" w:color="CCCCCC" w:sz="1"/>
              <w:bottom w:val="single" w:color="CCCCCC" w:sz="1"/>
              <w:right w:val="single" w:color="CCCCCC" w:sz="1"/>
            </w:tcBorders>
            <w:shd w:fill="EBF5FB" w:val="clear"/>
          </w:tcPr>
          <w:p>
            <w:r>
              <w:rPr>
                <w:sz w:val="20"/>
                <w:szCs w:val="20"/>
              </w:rPr>
              <w:t xml:space="preserve">Total Publications</w:t>
            </w:r>
          </w:p>
        </w:tc>
        <w:tc>
          <w:tcPr>
            <w:tcW w:type="dxa" w:w="2340"/>
            <w:tcBorders>
              <w:top w:val="single" w:color="CCCCCC" w:sz="1"/>
              <w:left w:val="single" w:color="CCCCCC" w:sz="1"/>
              <w:bottom w:val="single" w:color="CCCCCC" w:sz="1"/>
              <w:right w:val="single" w:color="CCCCCC" w:sz="1"/>
            </w:tcBorders>
            <w:shd w:fill="EBF5FB" w:val="clear"/>
          </w:tcPr>
          <w:p>
            <w:pPr>
              <w:jc w:val="center"/>
            </w:pPr>
            <w:r>
              <w:rPr>
                <w:b w:val="false"/>
                <w:bCs w:val="false"/>
                <w:color w:val="000000"/>
                <w:sz w:val="20"/>
                <w:szCs w:val="20"/>
              </w:rPr>
              <w:t xml:space="preserve">75,356</w:t>
            </w:r>
          </w:p>
        </w:tc>
        <w:tc>
          <w:tcPr>
            <w:tcW w:type="dxa" w:w="3900"/>
            <w:tcBorders>
              <w:top w:val="single" w:color="CCCCCC" w:sz="1"/>
              <w:left w:val="single" w:color="CCCCCC" w:sz="1"/>
              <w:bottom w:val="single" w:color="CCCCCC" w:sz="1"/>
              <w:right w:val="single" w:color="CCCCCC" w:sz="1"/>
            </w:tcBorders>
            <w:shd w:fill="EBF5FB" w:val="clear"/>
          </w:tcPr>
          <w:p>
            <w:r>
              <w:rPr>
                <w:sz w:val="20"/>
                <w:szCs w:val="20"/>
              </w:rPr>
              <w:t xml:space="preserve">Mapped to GBD disease categories</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Disease Categories</w:t>
            </w:r>
          </w:p>
        </w:tc>
        <w:tc>
          <w:tcPr>
            <w:tcW w:type="dxa" w:w="2340"/>
            <w:tcBorders>
              <w:top w:val="single" w:color="CCCCCC" w:sz="1"/>
              <w:left w:val="single" w:color="CCCCCC" w:sz="1"/>
              <w:bottom w:val="single" w:color="CCCCCC" w:sz="1"/>
              <w:right w:val="single" w:color="CCCCCC" w:sz="1"/>
            </w:tcBorders>
            <w:shd w:fill="FFFFFF" w:val="clear"/>
          </w:tcPr>
          <w:p>
            <w:pPr>
              <w:jc w:val="center"/>
            </w:pPr>
            <w:r>
              <w:rPr>
                <w:b w:val="false"/>
                <w:bCs w:val="false"/>
                <w:color w:val="000000"/>
                <w:sz w:val="20"/>
                <w:szCs w:val="20"/>
              </w:rPr>
              <w:t xml:space="preserve">179</w:t>
            </w:r>
          </w:p>
        </w:tc>
        <w:tc>
          <w:tcPr>
            <w:tcW w:type="dxa" w:w="3900"/>
            <w:tcBorders>
              <w:top w:val="single" w:color="CCCCCC" w:sz="1"/>
              <w:left w:val="single" w:color="CCCCCC" w:sz="1"/>
              <w:bottom w:val="single" w:color="CCCCCC" w:sz="1"/>
              <w:right w:val="single" w:color="CCCCCC" w:sz="1"/>
            </w:tcBorders>
            <w:shd w:fill="FFFFFF" w:val="clear"/>
          </w:tcPr>
          <w:p>
            <w:r>
              <w:rPr>
                <w:sz w:val="20"/>
                <w:szCs w:val="20"/>
              </w:rPr>
              <w:t xml:space="preserve">Based on GBD 2021 taxonomy</w:t>
            </w:r>
          </w:p>
        </w:tc>
      </w:tr>
      <w:tr>
        <w:tc>
          <w:tcPr>
            <w:tcW w:type="dxa" w:w="3120"/>
            <w:tcBorders>
              <w:top w:val="single" w:color="CCCCCC" w:sz="1"/>
              <w:left w:val="single" w:color="CCCCCC" w:sz="1"/>
              <w:bottom w:val="single" w:color="CCCCCC" w:sz="1"/>
              <w:right w:val="single" w:color="CCCCCC" w:sz="1"/>
            </w:tcBorders>
            <w:shd w:fill="EBF5FB" w:val="clear"/>
          </w:tcPr>
          <w:p>
            <w:r>
              <w:rPr>
                <w:sz w:val="20"/>
                <w:szCs w:val="20"/>
              </w:rPr>
              <w:t xml:space="preserve">Countries Represented</w:t>
            </w:r>
          </w:p>
        </w:tc>
        <w:tc>
          <w:tcPr>
            <w:tcW w:type="dxa" w:w="2340"/>
            <w:tcBorders>
              <w:top w:val="single" w:color="CCCCCC" w:sz="1"/>
              <w:left w:val="single" w:color="CCCCCC" w:sz="1"/>
              <w:bottom w:val="single" w:color="CCCCCC" w:sz="1"/>
              <w:right w:val="single" w:color="CCCCCC" w:sz="1"/>
            </w:tcBorders>
            <w:shd w:fill="EBF5FB" w:val="clear"/>
          </w:tcPr>
          <w:p>
            <w:pPr>
              <w:jc w:val="center"/>
            </w:pPr>
            <w:r>
              <w:rPr>
                <w:b w:val="false"/>
                <w:bCs w:val="false"/>
                <w:color w:val="000000"/>
                <w:sz w:val="20"/>
                <w:szCs w:val="20"/>
              </w:rPr>
              <w:t xml:space="preserve">19</w:t>
            </w:r>
          </w:p>
        </w:tc>
        <w:tc>
          <w:tcPr>
            <w:tcW w:type="dxa" w:w="3900"/>
            <w:tcBorders>
              <w:top w:val="single" w:color="CCCCCC" w:sz="1"/>
              <w:left w:val="single" w:color="CCCCCC" w:sz="1"/>
              <w:bottom w:val="single" w:color="CCCCCC" w:sz="1"/>
              <w:right w:val="single" w:color="CCCCCC" w:sz="1"/>
            </w:tcBorders>
            <w:shd w:fill="EBF5FB" w:val="clear"/>
          </w:tcPr>
          <w:p>
            <w:r>
              <w:rPr>
                <w:sz w:val="20"/>
                <w:szCs w:val="20"/>
              </w:rPr>
              <w:t xml:space="preserve">Across 5 WHO regions</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Equity Ratio</w:t>
            </w:r>
          </w:p>
        </w:tc>
        <w:tc>
          <w:tcPr>
            <w:tcW w:type="dxa" w:w="2340"/>
            <w:tcBorders>
              <w:top w:val="single" w:color="CCCCCC" w:sz="1"/>
              <w:left w:val="single" w:color="CCCCCC" w:sz="1"/>
              <w:bottom w:val="single" w:color="CCCCCC" w:sz="1"/>
              <w:right w:val="single" w:color="CCCCCC" w:sz="1"/>
            </w:tcBorders>
            <w:shd w:fill="FFFFFF" w:val="clear"/>
          </w:tcPr>
          <w:p>
            <w:pPr>
              <w:jc w:val="center"/>
            </w:pPr>
            <w:r>
              <w:rPr>
                <w:b/>
                <w:bCs/>
                <w:color w:val="C0392B"/>
                <w:sz w:val="20"/>
                <w:szCs w:val="20"/>
              </w:rPr>
              <w:t xml:space="preserve">322x</w:t>
            </w:r>
          </w:p>
        </w:tc>
        <w:tc>
          <w:tcPr>
            <w:tcW w:type="dxa" w:w="3900"/>
            <w:tcBorders>
              <w:top w:val="single" w:color="CCCCCC" w:sz="1"/>
              <w:left w:val="single" w:color="CCCCCC" w:sz="1"/>
              <w:bottom w:val="single" w:color="CCCCCC" w:sz="1"/>
              <w:right w:val="single" w:color="CCCCCC" w:sz="1"/>
            </w:tcBorders>
            <w:shd w:fill="FFFFFF" w:val="clear"/>
          </w:tcPr>
          <w:p>
            <w:r>
              <w:rPr>
                <w:sz w:val="20"/>
                <w:szCs w:val="20"/>
              </w:rPr>
              <w:t xml:space="preserve">HIC research intensity vs LMIC</w:t>
            </w:r>
          </w:p>
        </w:tc>
      </w:tr>
    </w:tbl>
    <w:p>
      <w:pPr>
        <w:pStyle w:val="Heading2"/>
        <w:spacing w:before="400"/>
      </w:pPr>
      <w:r>
        <w:t xml:space="preserve">4.2 The Equity Ratio Explained</w:t>
      </w:r>
    </w:p>
    <w:p>
      <w:pPr>
        <w:spacing w:after="200"/>
      </w:pPr>
      <w:r>
        <w:rPr>
          <w:sz w:val="22"/>
          <w:szCs w:val="22"/>
        </w:rPr>
        <w:t xml:space="preserve">The equity ratio of 322x represents the relative research intensity between high-income country (HIC) and low- and middle-income country (LMIC) biobanks within our 27-biobank sample (PubMed 2000-2025). This metric is calculated as:</w:t>
      </w:r>
    </w:p>
    <w:p>
      <w:pPr>
        <w:spacing w:before="200" w:after="200"/>
        <w:jc w:val="center"/>
      </w:pPr>
      <w:r>
        <w:rPr>
          <w:i/>
          <w:iCs/>
          <w:sz w:val="22"/>
          <w:szCs w:val="22"/>
        </w:rPr>
        <w:t xml:space="preserve">Equity Ratio = (Publications_HIC / DALYs_HIC) / (Publications_LMIC / DALYs_LMIC)</w:t>
      </w:r>
    </w:p>
    <w:p>
      <w:pPr>
        <w:spacing w:after="200"/>
      </w:pPr>
      <w:r>
        <w:rPr>
          <w:sz w:val="22"/>
          <w:szCs w:val="22"/>
        </w:rPr>
        <w:t xml:space="preserve">A ratio of 1.0 would indicate perfect equity, meaning that research output is proportional to disease burden regardless of economic status. The observed ratio of 322x within our sample indicates a profound imbalance: for every unit of disease burden, HIC biobanks produce 322 times more research output than LMIC biobanks.</w:t>
      </w:r>
    </w:p>
    <w:p>
      <w:pPr>
        <w:spacing w:after="200"/>
      </w:pPr>
      <w:r>
        <w:rPr>
          <w:sz w:val="22"/>
          <w:szCs w:val="22"/>
        </w:rPr>
        <w:t xml:space="preserve">This disparity has cascading consequences. Research gaps in LMIC populations mean that precision medicine tools developed from biobank data will systematically underperform for the majority of the world's population. The equity ratio provides a single, interpretable metric for tracking progress toward a more balanced global research enterprise. While the exact multiplier may vary with different biobank samples or time windows, our sensitivity analyses confirm that the fundamental inequity remains substantial across reasonable methodological choices.</w:t>
      </w:r>
    </w:p>
    <w:p>
      <w:pPr>
        <w:pStyle w:val="Heading2"/>
      </w:pPr>
      <w:r>
        <w:t xml:space="preserve">4.3 Research Gap Distribution</w:t>
      </w:r>
    </w:p>
    <w:p>
      <w:pPr>
        <w:spacing w:after="200"/>
      </w:pPr>
      <w:r>
        <w:rPr>
          <w:sz w:val="22"/>
          <w:szCs w:val="22"/>
        </w:rPr>
        <w:t xml:space="preserve">The HEIM framework classifies diseases into four gap severity categories based on the mismatch between their global burden and research attention: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Gap Severity</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Disease Count</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Percentage</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ADBD8" w:val="clear"/>
          </w:tcPr>
          <w:p>
            <w:pPr>
              <w:jc w:val="center"/>
            </w:pPr>
            <w:r>
              <w:rPr>
                <w:sz w:val="20"/>
                <w:szCs w:val="20"/>
              </w:rPr>
              <w:t xml:space="preserve">Critical</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6</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3.4%</w:t>
            </w:r>
          </w:p>
        </w:tc>
        <w:tc>
          <w:tcPr>
            <w:tcW w:type="dxa" w:w="2340"/>
            <w:tcBorders>
              <w:top w:val="single" w:color="CCCCCC" w:sz="1"/>
              <w:left w:val="single" w:color="CCCCCC" w:sz="1"/>
              <w:bottom w:val="single" w:color="CCCCCC" w:sz="1"/>
              <w:right w:val="single" w:color="CCCCCC" w:sz="1"/>
            </w:tcBorders>
          </w:tcPr>
          <w:p>
            <w:r>
              <w:rPr>
                <w:sz w:val="20"/>
                <w:szCs w:val="20"/>
              </w:rPr>
              <w:t xml:space="preserve">Severe underrepresentation</w:t>
            </w:r>
          </w:p>
        </w:tc>
      </w:tr>
      <w:tr>
        <w:tc>
          <w:tcPr>
            <w:tcW w:type="dxa" w:w="2340"/>
            <w:tcBorders>
              <w:top w:val="single" w:color="CCCCCC" w:sz="1"/>
              <w:left w:val="single" w:color="CCCCCC" w:sz="1"/>
              <w:bottom w:val="single" w:color="CCCCCC" w:sz="1"/>
              <w:right w:val="single" w:color="CCCCCC" w:sz="1"/>
            </w:tcBorders>
            <w:shd w:fill="FAE5D3" w:val="clear"/>
          </w:tcPr>
          <w:p>
            <w:pPr>
              <w:jc w:val="center"/>
            </w:pPr>
            <w:r>
              <w:rPr>
                <w:sz w:val="20"/>
                <w:szCs w:val="20"/>
              </w:rPr>
              <w:t xml:space="preserve">High</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17</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9.5%</w:t>
            </w:r>
          </w:p>
        </w:tc>
        <w:tc>
          <w:tcPr>
            <w:tcW w:type="dxa" w:w="2340"/>
            <w:tcBorders>
              <w:top w:val="single" w:color="CCCCCC" w:sz="1"/>
              <w:left w:val="single" w:color="CCCCCC" w:sz="1"/>
              <w:bottom w:val="single" w:color="CCCCCC" w:sz="1"/>
              <w:right w:val="single" w:color="CCCCCC" w:sz="1"/>
            </w:tcBorders>
          </w:tcPr>
          <w:p>
            <w:r>
              <w:rPr>
                <w:sz w:val="20"/>
                <w:szCs w:val="20"/>
              </w:rPr>
              <w:t xml:space="preserve">Significant gap</w:t>
            </w:r>
          </w:p>
        </w:tc>
      </w:tr>
      <w:tr>
        <w:tc>
          <w:tcPr>
            <w:tcW w:type="dxa" w:w="2340"/>
            <w:tcBorders>
              <w:top w:val="single" w:color="CCCCCC" w:sz="1"/>
              <w:left w:val="single" w:color="CCCCCC" w:sz="1"/>
              <w:bottom w:val="single" w:color="CCCCCC" w:sz="1"/>
              <w:right w:val="single" w:color="CCCCCC" w:sz="1"/>
            </w:tcBorders>
            <w:shd w:fill="FCF3CF" w:val="clear"/>
          </w:tcPr>
          <w:p>
            <w:pPr>
              <w:jc w:val="center"/>
            </w:pPr>
            <w:r>
              <w:rPr>
                <w:sz w:val="20"/>
                <w:szCs w:val="20"/>
              </w:rPr>
              <w:t xml:space="preserve">Moderate</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48</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26.8%</w:t>
            </w:r>
          </w:p>
        </w:tc>
        <w:tc>
          <w:tcPr>
            <w:tcW w:type="dxa" w:w="2340"/>
            <w:tcBorders>
              <w:top w:val="single" w:color="CCCCCC" w:sz="1"/>
              <w:left w:val="single" w:color="CCCCCC" w:sz="1"/>
              <w:bottom w:val="single" w:color="CCCCCC" w:sz="1"/>
              <w:right w:val="single" w:color="CCCCCC" w:sz="1"/>
            </w:tcBorders>
          </w:tcPr>
          <w:p>
            <w:r>
              <w:rPr>
                <w:sz w:val="20"/>
                <w:szCs w:val="20"/>
              </w:rPr>
              <w:t xml:space="preserve">Room for improvement</w:t>
            </w:r>
          </w:p>
        </w:tc>
      </w:tr>
      <w:tr>
        <w:tc>
          <w:tcPr>
            <w:tcW w:type="dxa" w:w="234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Low</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108</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60.3%</w:t>
            </w:r>
          </w:p>
        </w:tc>
        <w:tc>
          <w:tcPr>
            <w:tcW w:type="dxa" w:w="2340"/>
            <w:tcBorders>
              <w:top w:val="single" w:color="CCCCCC" w:sz="1"/>
              <w:left w:val="single" w:color="CCCCCC" w:sz="1"/>
              <w:bottom w:val="single" w:color="CCCCCC" w:sz="1"/>
              <w:right w:val="single" w:color="CCCCCC" w:sz="1"/>
            </w:tcBorders>
          </w:tcPr>
          <w:p>
            <w:r>
              <w:rPr>
                <w:sz w:val="20"/>
                <w:szCs w:val="20"/>
              </w:rPr>
              <w:t xml:space="preserve">Adequate coverage</w:t>
            </w:r>
          </w:p>
        </w:tc>
      </w:tr>
    </w:tbl>
    <w:p>
      <w:pPr>
        <w:spacing w:before="200" w:after="200"/>
      </w:pPr>
      <w:r>
        <w:rPr>
          <w:sz w:val="22"/>
          <w:szCs w:val="22"/>
        </w:rPr>
        <w:t xml:space="preserve">The distribution reveals that while the majority of diseases (60%) have adequate research coverage, a significant minority face critical or high-severity gaps. These 23 diseases (13% of total) represent priority targets for equity-focused research investment.</w:t>
      </w:r>
    </w:p>
    <w:p>
      <w:r>
        <w:br w:type="page"/>
      </w:r>
    </w:p>
    <w:p>
      <w:pPr>
        <w:pStyle w:val="Heading1"/>
      </w:pPr>
      <w:r>
        <w:t xml:space="preserve">5. Regional Analysis</w:t>
      </w:r>
    </w:p>
    <w:p>
      <w:pPr>
        <w:spacing w:after="200"/>
      </w:pPr>
      <w:r>
        <w:rPr>
          <w:sz w:val="22"/>
          <w:szCs w:val="22"/>
        </w:rPr>
        <w:t xml:space="preserve">Biobank research capacity is highly concentrated in specific regions. This section examines the distribution of research output across WHO regions and the implications for global health equity.</w:t>
      </w:r>
    </w:p>
    <w:p>
      <w:pPr>
        <w:pStyle w:val="Heading2"/>
      </w:pPr>
      <w:r>
        <w:t xml:space="preserve">5.1 Publication Distribution by Region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1500"/>
        <w:gridCol w:w="860"/>
      </w:tblGrid>
      <w:tr>
        <w:trPr>
          <w:tblHeader/>
        </w:trPr>
        <w:tc>
          <w:tcPr>
            <w:tcW w:type="dxa" w:w="3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Region</w:t>
            </w:r>
          </w:p>
        </w:tc>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Biobanks</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Publications</w:t>
            </w:r>
          </w:p>
        </w:tc>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Share</w:t>
            </w:r>
          </w:p>
        </w:tc>
        <w:tc>
          <w:tcPr>
            <w:tcW w:type="dxa" w:w="8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Type</w:t>
            </w:r>
          </w:p>
        </w:tc>
      </w:tr>
      <w:tr>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Americas</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49,264</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65.4%</w:t>
            </w:r>
          </w:p>
        </w:tc>
        <w:tc>
          <w:tcPr>
            <w:tcW w:type="dxa" w:w="86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Mixed</w:t>
            </w:r>
          </w:p>
        </w:tc>
      </w:tr>
      <w:tr>
        <w:tc>
          <w:tcPr>
            <w:tcW w:type="dxa" w:w="3500"/>
            <w:tcBorders>
              <w:top w:val="single" w:color="CCCCCC" w:sz="1"/>
              <w:left w:val="single" w:color="CCCCCC" w:sz="1"/>
              <w:bottom w:val="single" w:color="CCCCCC" w:sz="1"/>
              <w:right w:val="single" w:color="CCCCCC" w:sz="1"/>
            </w:tcBorders>
            <w:shd w:fill="EBF5FB" w:val="clear"/>
          </w:tcPr>
          <w:p>
            <w:r>
              <w:rPr>
                <w:sz w:val="20"/>
                <w:szCs w:val="20"/>
              </w:rPr>
              <w:t xml:space="preserve">Europe</w:t>
            </w:r>
          </w:p>
        </w:tc>
        <w:tc>
          <w:tcPr>
            <w:tcW w:type="dxa" w:w="150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11</w:t>
            </w:r>
          </w:p>
        </w:tc>
        <w:tc>
          <w:tcPr>
            <w:tcW w:type="dxa" w:w="200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24,445</w:t>
            </w:r>
          </w:p>
        </w:tc>
        <w:tc>
          <w:tcPr>
            <w:tcW w:type="dxa" w:w="150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32.4%</w:t>
            </w:r>
          </w:p>
        </w:tc>
        <w:tc>
          <w:tcPr>
            <w:tcW w:type="dxa" w:w="86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HIC</w:t>
            </w:r>
          </w:p>
        </w:tc>
      </w:tr>
      <w:tr>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Western Pacific</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1,269</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1.7%</w:t>
            </w:r>
          </w:p>
        </w:tc>
        <w:tc>
          <w:tcPr>
            <w:tcW w:type="dxa" w:w="86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HIC</w:t>
            </w:r>
          </w:p>
        </w:tc>
      </w:tr>
      <w:tr>
        <w:tc>
          <w:tcPr>
            <w:tcW w:type="dxa" w:w="3500"/>
            <w:tcBorders>
              <w:top w:val="single" w:color="CCCCCC" w:sz="1"/>
              <w:left w:val="single" w:color="CCCCCC" w:sz="1"/>
              <w:bottom w:val="single" w:color="CCCCCC" w:sz="1"/>
              <w:right w:val="single" w:color="CCCCCC" w:sz="1"/>
            </w:tcBorders>
            <w:shd w:fill="EBF5FB" w:val="clear"/>
          </w:tcPr>
          <w:p>
            <w:r>
              <w:rPr>
                <w:sz w:val="20"/>
                <w:szCs w:val="20"/>
              </w:rPr>
              <w:t xml:space="preserve">Africa</w:t>
            </w:r>
          </w:p>
        </w:tc>
        <w:tc>
          <w:tcPr>
            <w:tcW w:type="dxa" w:w="150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3</w:t>
            </w:r>
          </w:p>
        </w:tc>
        <w:tc>
          <w:tcPr>
            <w:tcW w:type="dxa" w:w="200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204</w:t>
            </w:r>
          </w:p>
        </w:tc>
        <w:tc>
          <w:tcPr>
            <w:tcW w:type="dxa" w:w="150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0.3%</w:t>
            </w:r>
          </w:p>
        </w:tc>
        <w:tc>
          <w:tcPr>
            <w:tcW w:type="dxa" w:w="86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LMIC</w:t>
            </w:r>
          </w:p>
        </w:tc>
      </w:tr>
      <w:tr>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Eastern Mediterranean</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174</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0.2%</w:t>
            </w:r>
          </w:p>
        </w:tc>
        <w:tc>
          <w:tcPr>
            <w:tcW w:type="dxa" w:w="86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LMIC</w:t>
            </w:r>
          </w:p>
        </w:tc>
      </w:tr>
    </w:tbl>
    <w:p>
      <w:pPr>
        <w:spacing w:before="200" w:after="200"/>
      </w:pPr>
      <w:r>
        <w:rPr>
          <w:sz w:val="22"/>
          <w:szCs w:val="22"/>
        </w:rPr>
        <w:t xml:space="preserve">The Americas region dominates global biobank research output, accounting for nearly two-thirds of all publications. This concentration reflects the presence of large, well-funded biobanks such as the eMERGE Network and Million Veteran Program in the United States. Europe contributes approximately one-quarter of publications, driven by the UK Biobank and Nordic biobanks.</w:t>
      </w:r>
    </w:p>
    <w:p>
      <w:pPr>
        <w:spacing w:after="200"/>
      </w:pPr>
      <w:r>
        <w:rPr>
          <w:sz w:val="22"/>
          <w:szCs w:val="22"/>
        </w:rPr>
        <w:t xml:space="preserve">Critically, Africa, the Eastern Mediterranean, and South-East Asia combined contribute less than 1% of global biobank publications despite representing a substantial proportion of global population and disease burden. This regional imbalance is the primary driver of the 322x equity ratio.</w:t>
      </w:r>
    </w:p>
    <w:p>
      <w:pPr>
        <w:pStyle w:val="Heading2"/>
      </w:pPr>
      <w:r>
        <w:t xml:space="preserve">5.2 HIC vs LMIC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340"/>
        <w:gridCol w:w="2340"/>
        <w:gridCol w:w="1180"/>
      </w:tblGrid>
      <w:tr>
        <w:trPr>
          <w:tblHeader/>
        </w:trPr>
        <w:tc>
          <w:tcPr>
            <w:tcW w:type="dxa" w:w="3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HIC Biobanks</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LMIC Biobanks</w:t>
            </w:r>
          </w:p>
        </w:tc>
        <w:tc>
          <w:tcPr>
            <w:tcW w:type="dxa" w:w="118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Ratio</w:t>
            </w:r>
          </w:p>
        </w:tc>
      </w:tr>
      <w:tr>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Biobank Count</w:t>
            </w:r>
          </w:p>
        </w:tc>
        <w:tc>
          <w:tcPr>
            <w:tcW w:type="dxa" w:w="234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7</w:t>
            </w:r>
          </w:p>
        </w:tc>
        <w:tc>
          <w:tcPr>
            <w:tcW w:type="dxa" w:w="118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2.9x</w:t>
            </w:r>
          </w:p>
        </w:tc>
      </w:tr>
      <w:tr>
        <w:tc>
          <w:tcPr>
            <w:tcW w:type="dxa" w:w="3500"/>
            <w:tcBorders>
              <w:top w:val="single" w:color="CCCCCC" w:sz="1"/>
              <w:left w:val="single" w:color="CCCCCC" w:sz="1"/>
              <w:bottom w:val="single" w:color="CCCCCC" w:sz="1"/>
              <w:right w:val="single" w:color="CCCCCC" w:sz="1"/>
            </w:tcBorders>
            <w:shd w:fill="EBF5FB" w:val="clear"/>
          </w:tcPr>
          <w:p>
            <w:r>
              <w:rPr>
                <w:sz w:val="20"/>
                <w:szCs w:val="20"/>
              </w:rPr>
              <w:t xml:space="preserve">Total Publications</w:t>
            </w:r>
          </w:p>
        </w:tc>
        <w:tc>
          <w:tcPr>
            <w:tcW w:type="dxa" w:w="234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74,432</w:t>
            </w:r>
          </w:p>
        </w:tc>
        <w:tc>
          <w:tcPr>
            <w:tcW w:type="dxa" w:w="234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924</w:t>
            </w:r>
          </w:p>
        </w:tc>
        <w:tc>
          <w:tcPr>
            <w:tcW w:type="dxa" w:w="118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81x</w:t>
            </w:r>
          </w:p>
        </w:tc>
      </w:tr>
      <w:tr>
        <w:tc>
          <w:tcPr>
            <w:tcW w:type="dxa" w:w="3500"/>
            <w:tcBorders>
              <w:top w:val="single" w:color="CCCCCC" w:sz="1"/>
              <w:left w:val="single" w:color="CCCCCC" w:sz="1"/>
              <w:bottom w:val="single" w:color="CCCCCC" w:sz="1"/>
              <w:right w:val="single" w:color="CCCCCC" w:sz="1"/>
            </w:tcBorders>
            <w:shd w:fill="FFFFFF" w:val="clear"/>
          </w:tcPr>
          <w:p>
            <w:r>
              <w:rPr>
                <w:sz w:val="20"/>
                <w:szCs w:val="20"/>
              </w:rPr>
              <w:t xml:space="preserve">Publication Share</w:t>
            </w:r>
          </w:p>
        </w:tc>
        <w:tc>
          <w:tcPr>
            <w:tcW w:type="dxa" w:w="234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98.8%</w:t>
            </w:r>
          </w:p>
        </w:tc>
        <w:tc>
          <w:tcPr>
            <w:tcW w:type="dxa" w:w="234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1.2%</w:t>
            </w:r>
          </w:p>
        </w:tc>
        <w:tc>
          <w:tcPr>
            <w:tcW w:type="dxa" w:w="1180"/>
            <w:tcBorders>
              <w:top w:val="single" w:color="CCCCCC" w:sz="1"/>
              <w:left w:val="single" w:color="CCCCCC" w:sz="1"/>
              <w:bottom w:val="single" w:color="CCCCCC" w:sz="1"/>
              <w:right w:val="single" w:color="CCCCCC" w:sz="1"/>
            </w:tcBorders>
            <w:shd w:fill="FFFFFF" w:val="clear"/>
          </w:tcPr>
          <w:p>
            <w:pPr>
              <w:jc w:val="center"/>
            </w:pPr>
            <w:r>
              <w:rPr>
                <w:sz w:val="20"/>
                <w:szCs w:val="20"/>
              </w:rPr>
              <w:t xml:space="preserve">-</w:t>
            </w:r>
          </w:p>
        </w:tc>
      </w:tr>
      <w:tr>
        <w:tc>
          <w:tcPr>
            <w:tcW w:type="dxa" w:w="3500"/>
            <w:tcBorders>
              <w:top w:val="single" w:color="CCCCCC" w:sz="1"/>
              <w:left w:val="single" w:color="CCCCCC" w:sz="1"/>
              <w:bottom w:val="single" w:color="CCCCCC" w:sz="1"/>
              <w:right w:val="single" w:color="CCCCCC" w:sz="1"/>
            </w:tcBorders>
            <w:shd w:fill="EBF5FB" w:val="clear"/>
          </w:tcPr>
          <w:p>
            <w:r>
              <w:rPr>
                <w:sz w:val="20"/>
                <w:szCs w:val="20"/>
              </w:rPr>
              <w:t xml:space="preserve">Average EAS</w:t>
            </w:r>
          </w:p>
        </w:tc>
        <w:tc>
          <w:tcPr>
            <w:tcW w:type="dxa" w:w="234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40.9</w:t>
            </w:r>
          </w:p>
        </w:tc>
        <w:tc>
          <w:tcPr>
            <w:tcW w:type="dxa" w:w="234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14.3</w:t>
            </w:r>
          </w:p>
        </w:tc>
        <w:tc>
          <w:tcPr>
            <w:tcW w:type="dxa" w:w="1180"/>
            <w:tcBorders>
              <w:top w:val="single" w:color="CCCCCC" w:sz="1"/>
              <w:left w:val="single" w:color="CCCCCC" w:sz="1"/>
              <w:bottom w:val="single" w:color="CCCCCC" w:sz="1"/>
              <w:right w:val="single" w:color="CCCCCC" w:sz="1"/>
            </w:tcBorders>
            <w:shd w:fill="EBF5FB" w:val="clear"/>
          </w:tcPr>
          <w:p>
            <w:pPr>
              <w:jc w:val="center"/>
            </w:pPr>
            <w:r>
              <w:rPr>
                <w:sz w:val="20"/>
                <w:szCs w:val="20"/>
              </w:rPr>
              <w:t xml:space="preserve">2.9x</w:t>
            </w:r>
          </w:p>
        </w:tc>
      </w:tr>
    </w:tbl>
    <w:p>
      <w:pPr>
        <w:spacing w:before="200" w:after="200"/>
      </w:pPr>
      <w:r>
        <w:rPr>
          <w:sz w:val="22"/>
          <w:szCs w:val="22"/>
        </w:rPr>
        <w:t xml:space="preserve">The disparity between HIC and LMIC biobanks extends beyond publication volume. HIC biobanks achieve higher average Equity Alignment Scores (EAS), indicating better alignment with global disease burden. However, this partially reflects the fact that HIC biobanks have had longer to build comprehensive research programmes covering diverse disease areas.</w:t>
      </w:r>
    </w:p>
    <w:p>
      <w:pPr>
        <w:pStyle w:val="Heading2"/>
      </w:pPr>
      <w:r>
        <w:t xml:space="preserve">5.3 Spotlight: Global South Biobanks</w:t>
      </w:r>
    </w:p>
    <w:p>
      <w:pPr>
        <w:spacing w:after="200"/>
      </w:pPr>
      <w:r>
        <w:rPr>
          <w:sz w:val="22"/>
          <w:szCs w:val="22"/>
        </w:rPr>
        <w:t xml:space="preserve">Several biobanks in the Global South are emerging as important contributors to genomic equity, despite resource constraints:</w:t>
      </w:r>
    </w:p>
    <w:p>
      <w:pPr>
        <w:pStyle w:val="ListParagraph"/>
        <w:numPr>
          <w:ilvl w:val="0"/>
          <w:numId w:val="2"/>
        </w:numPr>
        <w:spacing w:after="100"/>
      </w:pPr>
      <w:r>
        <w:rPr>
          <w:b/>
          <w:bCs/>
          <w:sz w:val="22"/>
          <w:szCs w:val="22"/>
        </w:rPr>
        <w:t xml:space="preserve">Qatar Biobank (Qatar): </w:t>
      </w:r>
      <w:r>
        <w:rPr>
          <w:sz w:val="22"/>
          <w:szCs w:val="22"/>
        </w:rPr>
        <w:t xml:space="preserve">174 publications covering 72 diseases. As the only biobank in the Eastern Mediterranean region, Qatar Biobank provides critical representation for Middle Eastern populations. Its EAS of 17.4 reflects its relatively recent establishment (2012) rather than limited ambition.</w:t>
      </w:r>
    </w:p>
    <w:p>
      <w:pPr>
        <w:pStyle w:val="ListParagraph"/>
        <w:numPr>
          <w:ilvl w:val="0"/>
          <w:numId w:val="2"/>
        </w:numPr>
        <w:spacing w:after="100"/>
      </w:pPr>
      <w:r>
        <w:rPr>
          <w:b/>
          <w:bCs/>
          <w:sz w:val="22"/>
          <w:szCs w:val="22"/>
        </w:rPr>
        <w:t xml:space="preserve">H3Africa Consortium (Pan-African): </w:t>
      </w:r>
      <w:r>
        <w:rPr>
          <w:sz w:val="22"/>
          <w:szCs w:val="22"/>
        </w:rPr>
        <w:t xml:space="preserve">139 publications covering 43 diseases. This continental initiative spans multiple African nations, addressing the historical exclusion of African populations from genomic research.</w:t>
      </w:r>
    </w:p>
    <w:p>
      <w:pPr>
        <w:pStyle w:val="ListParagraph"/>
        <w:numPr>
          <w:ilvl w:val="0"/>
          <w:numId w:val="2"/>
        </w:numPr>
        <w:spacing w:after="100"/>
      </w:pPr>
      <w:r>
        <w:rPr>
          <w:b/>
          <w:bCs/>
          <w:sz w:val="22"/>
          <w:szCs w:val="22"/>
        </w:rPr>
        <w:t xml:space="preserve">China Kadoorie Biobank (China): </w:t>
      </w:r>
      <w:r>
        <w:rPr>
          <w:sz w:val="22"/>
          <w:szCs w:val="22"/>
        </w:rPr>
        <w:t xml:space="preserve">516 publications covering 109 diseases. One of the largest prospective studies in Asia, providing essential data on disease patterns in Chinese populations.</w:t>
      </w:r>
    </w:p>
    <w:p>
      <w:pPr>
        <w:pStyle w:val="ListParagraph"/>
        <w:numPr>
          <w:ilvl w:val="0"/>
          <w:numId w:val="2"/>
        </w:numPr>
        <w:spacing w:after="100"/>
      </w:pPr>
      <w:r>
        <w:rPr>
          <w:b/>
          <w:bCs/>
          <w:sz w:val="22"/>
          <w:szCs w:val="22"/>
        </w:rPr>
        <w:t xml:space="preserve">Mexico City Prospective Study (Mexico): </w:t>
      </w:r>
      <w:r>
        <w:rPr>
          <w:sz w:val="22"/>
          <w:szCs w:val="22"/>
        </w:rPr>
        <w:t xml:space="preserve">29 publications covering 50 diseases. Represents Latin American populations often absent from global genomic research.</w:t>
      </w:r>
    </w:p>
    <w:p>
      <w:pPr>
        <w:spacing w:after="200"/>
      </w:pPr>
      <w:r>
        <w:rPr>
          <w:sz w:val="22"/>
          <w:szCs w:val="22"/>
        </w:rPr>
        <w:t xml:space="preserve">These biobanks face systematic challenges including limited funding, infrastructure constraints, and reduced visibility in global research networks. The HEIM framework highlights their contributions and identifies opportunities for strategic investment to accelerate their impact.</w:t>
      </w:r>
    </w:p>
    <w:p>
      <w:r>
        <w:br w:type="page"/>
      </w:r>
    </w:p>
    <w:p>
      <w:pPr>
        <w:pStyle w:val="Heading1"/>
      </w:pPr>
      <w:r>
        <w:t xml:space="preserve">6. Biobank Rankings</w:t>
      </w:r>
    </w:p>
    <w:p>
      <w:pPr>
        <w:spacing w:after="200"/>
      </w:pPr>
      <w:r>
        <w:rPr>
          <w:sz w:val="22"/>
          <w:szCs w:val="22"/>
        </w:rPr>
        <w:t xml:space="preserve">The Equity Alignment Score (EAS) measures how well each biobank's research portfolio aligns with global disease burden. Scores range from 0-100, with higher scores indicating better alignment.</w:t>
      </w:r>
    </w:p>
    <w:p>
      <w:pPr>
        <w:pStyle w:val="Heading2"/>
      </w:pPr>
      <w:r>
        <w:t xml:space="preserve">6.1 Equity Alignment Score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Score Range</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Biobank Count</w:t>
            </w:r>
          </w:p>
        </w:tc>
        <w:tc>
          <w:tcPr>
            <w:tcW w:type="dxa" w:w="234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Percentage</w:t>
            </w:r>
          </w:p>
        </w:tc>
      </w:tr>
      <w:tr>
        <w:tc>
          <w:tcPr>
            <w:tcW w:type="dxa" w:w="2340"/>
            <w:tcBorders>
              <w:top w:val="single" w:color="CCCCCC" w:sz="1"/>
              <w:left w:val="single" w:color="CCCCCC" w:sz="1"/>
              <w:bottom w:val="single" w:color="CCCCCC" w:sz="1"/>
              <w:right w:val="single" w:color="CCCCCC" w:sz="1"/>
            </w:tcBorders>
            <w:shd w:fill="D5F5E3" w:val="clear"/>
          </w:tcPr>
          <w:p>
            <w:pPr>
              <w:jc w:val="center"/>
            </w:pPr>
            <w:r>
              <w:rPr>
                <w:sz w:val="20"/>
                <w:szCs w:val="20"/>
              </w:rPr>
              <w:t xml:space="preserve">Strong</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≥80</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7.4%</w:t>
            </w:r>
          </w:p>
        </w:tc>
      </w:tr>
      <w:tr>
        <w:tc>
          <w:tcPr>
            <w:tcW w:type="dxa" w:w="2340"/>
            <w:tcBorders>
              <w:top w:val="single" w:color="CCCCCC" w:sz="1"/>
              <w:left w:val="single" w:color="CCCCCC" w:sz="1"/>
              <w:bottom w:val="single" w:color="CCCCCC" w:sz="1"/>
              <w:right w:val="single" w:color="CCCCCC" w:sz="1"/>
            </w:tcBorders>
            <w:shd w:fill="D4E6F1" w:val="clear"/>
          </w:tcPr>
          <w:p>
            <w:pPr>
              <w:jc w:val="center"/>
            </w:pPr>
            <w:r>
              <w:rPr>
                <w:sz w:val="20"/>
                <w:szCs w:val="20"/>
              </w:rPr>
              <w:t xml:space="preserve">Moderate</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60-79</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7.4%</w:t>
            </w:r>
          </w:p>
        </w:tc>
      </w:tr>
      <w:tr>
        <w:tc>
          <w:tcPr>
            <w:tcW w:type="dxa" w:w="2340"/>
            <w:tcBorders>
              <w:top w:val="single" w:color="CCCCCC" w:sz="1"/>
              <w:left w:val="single" w:color="CCCCCC" w:sz="1"/>
              <w:bottom w:val="single" w:color="CCCCCC" w:sz="1"/>
              <w:right w:val="single" w:color="CCCCCC" w:sz="1"/>
            </w:tcBorders>
            <w:shd w:fill="FCF3CF" w:val="clear"/>
          </w:tcPr>
          <w:p>
            <w:pPr>
              <w:jc w:val="center"/>
            </w:pPr>
            <w:r>
              <w:rPr>
                <w:sz w:val="20"/>
                <w:szCs w:val="20"/>
              </w:rPr>
              <w:t xml:space="preserve">Weak</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40-59</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14.8%</w:t>
            </w:r>
          </w:p>
        </w:tc>
      </w:tr>
      <w:tr>
        <w:tc>
          <w:tcPr>
            <w:tcW w:type="dxa" w:w="2340"/>
            <w:tcBorders>
              <w:top w:val="single" w:color="CCCCCC" w:sz="1"/>
              <w:left w:val="single" w:color="CCCCCC" w:sz="1"/>
              <w:bottom w:val="single" w:color="CCCCCC" w:sz="1"/>
              <w:right w:val="single" w:color="CCCCCC" w:sz="1"/>
            </w:tcBorders>
            <w:shd w:fill="FADBD8" w:val="clear"/>
          </w:tcPr>
          <w:p>
            <w:pPr>
              <w:jc w:val="center"/>
            </w:pPr>
            <w:r>
              <w:rPr>
                <w:sz w:val="20"/>
                <w:szCs w:val="20"/>
              </w:rPr>
              <w:t xml:space="preserve">Poor</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&lt;40</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19</w:t>
            </w:r>
          </w:p>
        </w:tc>
        <w:tc>
          <w:tcPr>
            <w:tcW w:type="dxa" w:w="2340"/>
            <w:tcBorders>
              <w:top w:val="single" w:color="CCCCCC" w:sz="1"/>
              <w:left w:val="single" w:color="CCCCCC" w:sz="1"/>
              <w:bottom w:val="single" w:color="CCCCCC" w:sz="1"/>
              <w:right w:val="single" w:color="CCCCCC" w:sz="1"/>
            </w:tcBorders>
          </w:tcPr>
          <w:p>
            <w:pPr>
              <w:jc w:val="center"/>
            </w:pPr>
            <w:r>
              <w:rPr>
                <w:sz w:val="20"/>
                <w:szCs w:val="20"/>
              </w:rPr>
              <w:t xml:space="preserve">70.4%</w:t>
            </w:r>
          </w:p>
        </w:tc>
      </w:tr>
    </w:tbl>
    <w:p>
      <w:pPr>
        <w:spacing w:before="200" w:after="200"/>
      </w:pPr>
      <w:r>
        <w:rPr>
          <w:sz w:val="22"/>
          <w:szCs w:val="22"/>
        </w:rPr>
        <w:t xml:space="preserve">The distribution is heavily skewed toward lower scores, with 70% of biobanks rated 'Poor' and only 7% achieving 'Strong' alignment. This pattern reflects not individual biobank failures but systemic factors: limited resources, narrow geographic focus, and research agendas driven by local rather than global priorities.</w:t>
      </w:r>
    </w:p>
    <w:p>
      <w:pPr>
        <w:pStyle w:val="Heading2"/>
      </w:pPr>
      <w:r>
        <w:t xml:space="preserve">6.2 Complete Biobank Rankings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1000"/>
        <w:gridCol w:w="1200"/>
        <w:gridCol w:w="1000"/>
        <w:gridCol w:w="760"/>
      </w:tblGrid>
      <w:tr>
        <w:trPr>
          <w:tblHeader/>
        </w:trPr>
        <w:tc>
          <w:tcPr>
            <w:tcW w:type="dxa" w:w="6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w:t>
            </w:r>
          </w:p>
        </w:tc>
        <w:tc>
          <w:tcPr>
            <w:tcW w:type="dxa" w:w="3200"/>
            <w:tcBorders>
              <w:top w:val="single" w:color="CCCCCC" w:sz="1"/>
              <w:left w:val="single" w:color="CCCCCC" w:sz="1"/>
              <w:bottom w:val="single" w:color="CCCCCC" w:sz="1"/>
              <w:right w:val="single" w:color="CCCCCC" w:sz="1"/>
            </w:tcBorders>
            <w:shd w:fill="1B4F72" w:val="clear"/>
          </w:tcPr>
          <w:p>
            <w:r>
              <w:rPr>
                <w:b/>
                <w:bCs/>
                <w:color w:val="FFFFFF"/>
                <w:sz w:val="16"/>
                <w:szCs w:val="16"/>
              </w:rPr>
              <w:t xml:space="preserve">Biobank</w:t>
            </w:r>
          </w:p>
        </w:tc>
        <w:tc>
          <w:tcPr>
            <w:tcW w:type="dxa" w:w="1600"/>
            <w:tcBorders>
              <w:top w:val="single" w:color="CCCCCC" w:sz="1"/>
              <w:left w:val="single" w:color="CCCCCC" w:sz="1"/>
              <w:bottom w:val="single" w:color="CCCCCC" w:sz="1"/>
              <w:right w:val="single" w:color="CCCCCC" w:sz="1"/>
            </w:tcBorders>
            <w:shd w:fill="1B4F72" w:val="clear"/>
          </w:tcPr>
          <w:p>
            <w:r>
              <w:rPr>
                <w:b/>
                <w:bCs/>
                <w:color w:val="FFFFFF"/>
                <w:sz w:val="16"/>
                <w:szCs w:val="16"/>
              </w:rPr>
              <w:t xml:space="preserve">Country</w:t>
            </w:r>
          </w:p>
        </w:tc>
        <w:tc>
          <w:tcPr>
            <w:tcW w:type="dxa" w:w="10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Pubs</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Diseases</w:t>
            </w:r>
          </w:p>
        </w:tc>
        <w:tc>
          <w:tcPr>
            <w:tcW w:type="dxa" w:w="10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EAS</w:t>
            </w:r>
          </w:p>
        </w:tc>
        <w:tc>
          <w:tcPr>
            <w:tcW w:type="dxa" w:w="76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Cat</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eMERGE Network</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United State</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47,755</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177</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98.3</w:t>
            </w:r>
          </w:p>
        </w:tc>
        <w:tc>
          <w:tcPr>
            <w:tcW w:type="dxa" w:w="760"/>
            <w:tcBorders>
              <w:top w:val="single" w:color="CCCCCC" w:sz="1"/>
              <w:left w:val="single" w:color="CCCCCC" w:sz="1"/>
              <w:bottom w:val="single" w:color="CCCCCC" w:sz="1"/>
              <w:right w:val="single" w:color="CCCCCC" w:sz="1"/>
            </w:tcBorders>
            <w:shd w:fill="D5F5E3" w:val="clear"/>
          </w:tcPr>
          <w:p>
            <w:pPr>
              <w:jc w:val="center"/>
            </w:pPr>
            <w:r>
              <w:rPr>
                <w:sz w:val="16"/>
                <w:szCs w:val="16"/>
              </w:rPr>
              <w:t xml:space="preserve">Str</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UK Biobank</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United Kingd</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13,341</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163</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84.9</w:t>
            </w:r>
          </w:p>
        </w:tc>
        <w:tc>
          <w:tcPr>
            <w:tcW w:type="dxa" w:w="760"/>
            <w:tcBorders>
              <w:top w:val="single" w:color="CCCCCC" w:sz="1"/>
              <w:left w:val="single" w:color="CCCCCC" w:sz="1"/>
              <w:bottom w:val="single" w:color="CCCCCC" w:sz="1"/>
              <w:right w:val="single" w:color="CCCCCC" w:sz="1"/>
            </w:tcBorders>
            <w:shd w:fill="D5F5E3" w:val="clear"/>
          </w:tcPr>
          <w:p>
            <w:pPr>
              <w:jc w:val="center"/>
            </w:pPr>
            <w:r>
              <w:rPr>
                <w:sz w:val="16"/>
                <w:szCs w:val="16"/>
              </w:rPr>
              <w:t xml:space="preserve">Str</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deCODE Genetics</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Iceland</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5,604</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154</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69.4</w:t>
            </w:r>
          </w:p>
        </w:tc>
        <w:tc>
          <w:tcPr>
            <w:tcW w:type="dxa" w:w="760"/>
            <w:tcBorders>
              <w:top w:val="single" w:color="CCCCCC" w:sz="1"/>
              <w:left w:val="single" w:color="CCCCCC" w:sz="1"/>
              <w:bottom w:val="single" w:color="CCCCCC" w:sz="1"/>
              <w:right w:val="single" w:color="CCCCCC" w:sz="1"/>
            </w:tcBorders>
            <w:shd w:fill="D4E6F1" w:val="clear"/>
          </w:tcPr>
          <w:p>
            <w:pPr>
              <w:jc w:val="center"/>
            </w:pPr>
            <w:r>
              <w:rPr>
                <w:sz w:val="16"/>
                <w:szCs w:val="16"/>
              </w:rPr>
              <w:t xml:space="preserve">Mod</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4</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FinnGen</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Finland</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2,683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144</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60.3</w:t>
            </w:r>
          </w:p>
        </w:tc>
        <w:tc>
          <w:tcPr>
            <w:tcW w:type="dxa" w:w="760"/>
            <w:tcBorders>
              <w:top w:val="single" w:color="CCCCCC" w:sz="1"/>
              <w:left w:val="single" w:color="CCCCCC" w:sz="1"/>
              <w:bottom w:val="single" w:color="CCCCCC" w:sz="1"/>
              <w:right w:val="single" w:color="CCCCCC" w:sz="1"/>
            </w:tcBorders>
            <w:shd w:fill="D4E6F1" w:val="clear"/>
          </w:tcPr>
          <w:p>
            <w:pPr>
              <w:jc w:val="center"/>
            </w:pPr>
            <w:r>
              <w:rPr>
                <w:sz w:val="16"/>
                <w:szCs w:val="16"/>
              </w:rPr>
              <w:t xml:space="preserve">Mod</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HUNT Study</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Norway</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1,152</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116</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48.2</w:t>
            </w:r>
          </w:p>
        </w:tc>
        <w:tc>
          <w:tcPr>
            <w:tcW w:type="dxa" w:w="760"/>
            <w:tcBorders>
              <w:top w:val="single" w:color="CCCCCC" w:sz="1"/>
              <w:left w:val="single" w:color="CCCCCC" w:sz="1"/>
              <w:bottom w:val="single" w:color="CCCCCC" w:sz="1"/>
              <w:right w:val="single" w:color="CCCCCC" w:sz="1"/>
            </w:tcBorders>
            <w:shd w:fill="FCF3CF" w:val="clear"/>
          </w:tcPr>
          <w:p>
            <w:pPr>
              <w:jc w:val="center"/>
            </w:pPr>
            <w:r>
              <w:rPr>
                <w:sz w:val="16"/>
                <w:szCs w:val="16"/>
              </w:rPr>
              <w:t xml:space="preserve">Wea</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6</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LifeLines</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Netherlands</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730</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119</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46.4</w:t>
            </w:r>
          </w:p>
        </w:tc>
        <w:tc>
          <w:tcPr>
            <w:tcW w:type="dxa" w:w="760"/>
            <w:tcBorders>
              <w:top w:val="single" w:color="CCCCCC" w:sz="1"/>
              <w:left w:val="single" w:color="CCCCCC" w:sz="1"/>
              <w:bottom w:val="single" w:color="CCCCCC" w:sz="1"/>
              <w:right w:val="single" w:color="CCCCCC" w:sz="1"/>
            </w:tcBorders>
            <w:shd w:fill="FCF3CF" w:val="clear"/>
          </w:tcPr>
          <w:p>
            <w:pPr>
              <w:jc w:val="center"/>
            </w:pPr>
            <w:r>
              <w:rPr>
                <w:sz w:val="16"/>
                <w:szCs w:val="16"/>
              </w:rPr>
              <w:t xml:space="preserve">Wea</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7</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All of Us Research Program</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United State</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613</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118</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42.0</w:t>
            </w:r>
          </w:p>
        </w:tc>
        <w:tc>
          <w:tcPr>
            <w:tcW w:type="dxa" w:w="760"/>
            <w:tcBorders>
              <w:top w:val="single" w:color="CCCCCC" w:sz="1"/>
              <w:left w:val="single" w:color="CCCCCC" w:sz="1"/>
              <w:bottom w:val="single" w:color="CCCCCC" w:sz="1"/>
              <w:right w:val="single" w:color="CCCCCC" w:sz="1"/>
            </w:tcBorders>
            <w:shd w:fill="FCF3CF" w:val="clear"/>
          </w:tcPr>
          <w:p>
            <w:pPr>
              <w:jc w:val="center"/>
            </w:pPr>
            <w:r>
              <w:rPr>
                <w:sz w:val="16"/>
                <w:szCs w:val="16"/>
              </w:rPr>
              <w:t xml:space="preserve">Wea</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8</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BioBank Japan</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Japan</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271</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108</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40.2</w:t>
            </w:r>
          </w:p>
        </w:tc>
        <w:tc>
          <w:tcPr>
            <w:tcW w:type="dxa" w:w="760"/>
            <w:tcBorders>
              <w:top w:val="single" w:color="CCCCCC" w:sz="1"/>
              <w:left w:val="single" w:color="CCCCCC" w:sz="1"/>
              <w:bottom w:val="single" w:color="CCCCCC" w:sz="1"/>
              <w:right w:val="single" w:color="CCCCCC" w:sz="1"/>
            </w:tcBorders>
            <w:shd w:fill="FCF3CF" w:val="clear"/>
          </w:tcPr>
          <w:p>
            <w:pPr>
              <w:jc w:val="center"/>
            </w:pPr>
            <w:r>
              <w:rPr>
                <w:sz w:val="16"/>
                <w:szCs w:val="16"/>
              </w:rPr>
              <w:t xml:space="preserve">Wea</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Million Veteran Program</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United State</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327</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99</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38.9</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10</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China Kadoorie Biobank</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China</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516</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109</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38.7</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11</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Swedish Twin Registry</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Sweden</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289</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95</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37.4</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12</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BioVU</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United State</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155</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110</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36.7</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13</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Taiwan Biobank</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Taiwan</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482</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94</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35.3</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14</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CONSTANCES</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France</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222</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83</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34.3</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15</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Geisinger MyCode</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United State</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96</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93</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28.6</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16</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Mass General Brigham Biobank</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United State</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92</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84</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24.0</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17</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TOPMed</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United State</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196</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61</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24.0</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18</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Generation Scotland</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United Kingd</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161</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68</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23.4</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19</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German National Cohort (NAKO</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Germany</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138</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72</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21.2</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20</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Estonian Biobank</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Estonia</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116</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71</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18.6</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21</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Qatar Biobank</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Qatar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174</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72</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17.4</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22</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H3Africa</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Pan-African</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139</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43</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16.8</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23</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Mexico City Prospective Stud</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Mexico</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29</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50</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13.2</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24</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AWI-Gen</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Pan-African</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60</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31</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11.0</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25</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Danish National Biobank</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Denmark</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9</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23</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6.5</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26</w:t>
            </w:r>
          </w:p>
        </w:tc>
        <w:tc>
          <w:tcPr>
            <w:tcW w:type="dxa" w:w="3200"/>
            <w:tcBorders>
              <w:top w:val="single" w:color="CCCCCC" w:sz="1"/>
              <w:left w:val="single" w:color="CCCCCC" w:sz="1"/>
              <w:bottom w:val="single" w:color="CCCCCC" w:sz="1"/>
              <w:right w:val="single" w:color="CCCCCC" w:sz="1"/>
            </w:tcBorders>
            <w:shd w:fill="EBF5FB" w:val="clear"/>
          </w:tcPr>
          <w:p>
            <w:r>
              <w:rPr>
                <w:sz w:val="16"/>
                <w:szCs w:val="16"/>
              </w:rPr>
              <w:t xml:space="preserve">Uganda Genome Resource</w:t>
            </w:r>
          </w:p>
        </w:tc>
        <w:tc>
          <w:tcPr>
            <w:tcW w:type="dxa" w:w="1600"/>
            <w:tcBorders>
              <w:top w:val="single" w:color="CCCCCC" w:sz="1"/>
              <w:left w:val="single" w:color="CCCCCC" w:sz="1"/>
              <w:bottom w:val="single" w:color="CCCCCC" w:sz="1"/>
              <w:right w:val="single" w:color="CCCCCC" w:sz="1"/>
            </w:tcBorders>
            <w:shd w:fill="EBF5FB" w:val="clear"/>
          </w:tcPr>
          <w:p>
            <w:r>
              <w:rPr>
                <w:sz w:val="16"/>
                <w:szCs w:val="16"/>
              </w:rPr>
              <w:t xml:space="preserve">Uganda</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5</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13</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6"/>
                <w:szCs w:val="16"/>
              </w:rPr>
              <w:t xml:space="preserve">2.7</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27</w:t>
            </w:r>
          </w:p>
        </w:tc>
        <w:tc>
          <w:tcPr>
            <w:tcW w:type="dxa" w:w="3200"/>
            <w:tcBorders>
              <w:top w:val="single" w:color="CCCCCC" w:sz="1"/>
              <w:left w:val="single" w:color="CCCCCC" w:sz="1"/>
              <w:bottom w:val="single" w:color="CCCCCC" w:sz="1"/>
              <w:right w:val="single" w:color="CCCCCC" w:sz="1"/>
            </w:tcBorders>
            <w:shd w:fill="FFFFFF" w:val="clear"/>
          </w:tcPr>
          <w:p>
            <w:r>
              <w:rPr>
                <w:sz w:val="16"/>
                <w:szCs w:val="16"/>
              </w:rPr>
              <w:t xml:space="preserve">EPIGEN-Brazil</w:t>
            </w:r>
          </w:p>
        </w:tc>
        <w:tc>
          <w:tcPr>
            <w:tcW w:type="dxa" w:w="1600"/>
            <w:tcBorders>
              <w:top w:val="single" w:color="CCCCCC" w:sz="1"/>
              <w:left w:val="single" w:color="CCCCCC" w:sz="1"/>
              <w:bottom w:val="single" w:color="CCCCCC" w:sz="1"/>
              <w:right w:val="single" w:color="CCCCCC" w:sz="1"/>
            </w:tcBorders>
            <w:shd w:fill="FFFFFF" w:val="clear"/>
          </w:tcPr>
          <w:p>
            <w:r>
              <w:rPr>
                <w:sz w:val="16"/>
                <w:szCs w:val="16"/>
              </w:rPr>
              <w:t xml:space="preserve">Brazil</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1</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0.2</w:t>
            </w:r>
          </w:p>
        </w:tc>
        <w:tc>
          <w:tcPr>
            <w:tcW w:type="dxa" w:w="760"/>
            <w:tcBorders>
              <w:top w:val="single" w:color="CCCCCC" w:sz="1"/>
              <w:left w:val="single" w:color="CCCCCC" w:sz="1"/>
              <w:bottom w:val="single" w:color="CCCCCC" w:sz="1"/>
              <w:right w:val="single" w:color="CCCCCC" w:sz="1"/>
            </w:tcBorders>
            <w:shd w:fill="FADBD8" w:val="clear"/>
          </w:tcPr>
          <w:p>
            <w:pPr>
              <w:jc w:val="center"/>
            </w:pPr>
            <w:r>
              <w:rPr>
                <w:sz w:val="16"/>
                <w:szCs w:val="16"/>
              </w:rPr>
              <w:t xml:space="preserve">Poo</w:t>
            </w:r>
          </w:p>
        </w:tc>
      </w:tr>
    </w:tbl>
    <w:p>
      <w:r>
        <w:br w:type="page"/>
      </w:r>
    </w:p>
    <w:p>
      <w:pPr>
        <w:pStyle w:val="Heading1"/>
      </w:pPr>
      <w:r>
        <w:t xml:space="preserve">7. Disease Gap Analysis</w:t>
      </w:r>
    </w:p>
    <w:p>
      <w:pPr>
        <w:spacing w:after="200"/>
      </w:pPr>
      <w:r>
        <w:rPr>
          <w:sz w:val="22"/>
          <w:szCs w:val="22"/>
        </w:rPr>
        <w:t xml:space="preserve">This section identifies diseases with the largest gaps between global burden and research attention. These represent the highest-priority opportunities for equity-aligned research investment.</w:t>
      </w:r>
    </w:p>
    <w:p>
      <w:pPr>
        <w:pStyle w:val="Heading2"/>
      </w:pPr>
      <w:r>
        <w:t xml:space="preserve">7.1 Critical Research Gaps</w:t>
      </w:r>
    </w:p>
    <w:p>
      <w:pPr>
        <w:spacing w:after="200"/>
      </w:pPr>
      <w:r>
        <w:rPr>
          <w:sz w:val="22"/>
          <w:szCs w:val="22"/>
        </w:rPr>
        <w:t xml:space="preserve">Six disease categories are classified as having critical research gaps, defined as conditions with substantial global burden (&gt;1M DALYs) but minimal or zero biobank publications: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1300"/>
        <w:gridCol w:w="1260"/>
      </w:tblGrid>
      <w:tr>
        <w:trPr>
          <w:tblHeader/>
        </w:trPr>
        <w:tc>
          <w:tcPr>
            <w:tcW w:type="dxa" w:w="3500"/>
            <w:tcBorders>
              <w:top w:val="single" w:color="CCCCCC" w:sz="1"/>
              <w:left w:val="single" w:color="CCCCCC" w:sz="1"/>
              <w:bottom w:val="single" w:color="CCCCCC" w:sz="1"/>
              <w:right w:val="single" w:color="CCCCCC" w:sz="1"/>
            </w:tcBorders>
            <w:shd w:fill="C0392B" w:val="clear"/>
          </w:tcPr>
          <w:p>
            <w:r>
              <w:rPr>
                <w:b/>
                <w:bCs/>
                <w:color w:val="FFFFFF"/>
                <w:sz w:val="18"/>
                <w:szCs w:val="18"/>
              </w:rPr>
              <w:t xml:space="preserve">Disease</w:t>
            </w:r>
          </w:p>
        </w:tc>
        <w:tc>
          <w:tcPr>
            <w:tcW w:type="dxa" w:w="1500"/>
            <w:tcBorders>
              <w:top w:val="single" w:color="CCCCCC" w:sz="1"/>
              <w:left w:val="single" w:color="CCCCCC" w:sz="1"/>
              <w:bottom w:val="single" w:color="CCCCCC" w:sz="1"/>
              <w:right w:val="single" w:color="CCCCCC" w:sz="1"/>
            </w:tcBorders>
            <w:shd w:fill="C0392B" w:val="clear"/>
          </w:tcPr>
          <w:p>
            <w:pPr>
              <w:jc w:val="center"/>
            </w:pPr>
            <w:r>
              <w:rPr>
                <w:b/>
                <w:bCs/>
                <w:color w:val="FFFFFF"/>
                <w:sz w:val="18"/>
                <w:szCs w:val="18"/>
              </w:rPr>
              <w:t xml:space="preserve">DALYs (M)</w:t>
            </w:r>
          </w:p>
        </w:tc>
        <w:tc>
          <w:tcPr>
            <w:tcW w:type="dxa" w:w="1800"/>
            <w:tcBorders>
              <w:top w:val="single" w:color="CCCCCC" w:sz="1"/>
              <w:left w:val="single" w:color="CCCCCC" w:sz="1"/>
              <w:bottom w:val="single" w:color="CCCCCC" w:sz="1"/>
              <w:right w:val="single" w:color="CCCCCC" w:sz="1"/>
            </w:tcBorders>
            <w:shd w:fill="C0392B" w:val="clear"/>
          </w:tcPr>
          <w:p>
            <w:pPr>
              <w:jc w:val="center"/>
            </w:pPr>
            <w:r>
              <w:rPr>
                <w:b/>
                <w:bCs/>
                <w:color w:val="FFFFFF"/>
                <w:sz w:val="18"/>
                <w:szCs w:val="18"/>
              </w:rPr>
              <w:t xml:space="preserve">Publications</w:t>
            </w:r>
          </w:p>
        </w:tc>
        <w:tc>
          <w:tcPr>
            <w:tcW w:type="dxa" w:w="1300"/>
            <w:tcBorders>
              <w:top w:val="single" w:color="CCCCCC" w:sz="1"/>
              <w:left w:val="single" w:color="CCCCCC" w:sz="1"/>
              <w:bottom w:val="single" w:color="CCCCCC" w:sz="1"/>
              <w:right w:val="single" w:color="CCCCCC" w:sz="1"/>
            </w:tcBorders>
            <w:shd w:fill="C0392B" w:val="clear"/>
          </w:tcPr>
          <w:p>
            <w:pPr>
              <w:jc w:val="center"/>
            </w:pPr>
            <w:r>
              <w:rPr>
                <w:b/>
                <w:bCs/>
                <w:color w:val="FFFFFF"/>
                <w:sz w:val="18"/>
                <w:szCs w:val="18"/>
              </w:rPr>
              <w:t xml:space="preserve">Gap Score</w:t>
            </w:r>
          </w:p>
        </w:tc>
        <w:tc>
          <w:tcPr>
            <w:tcW w:type="dxa" w:w="1260"/>
            <w:tcBorders>
              <w:top w:val="single" w:color="CCCCCC" w:sz="1"/>
              <w:left w:val="single" w:color="CCCCCC" w:sz="1"/>
              <w:bottom w:val="single" w:color="CCCCCC" w:sz="1"/>
              <w:right w:val="single" w:color="CCCCCC" w:sz="1"/>
            </w:tcBorders>
            <w:shd w:fill="C0392B" w:val="clear"/>
          </w:tcPr>
          <w:p>
            <w:pPr>
              <w:jc w:val="center"/>
            </w:pPr>
            <w:r>
              <w:rPr>
                <w:b/>
                <w:bCs/>
                <w:color w:val="FFFFFF"/>
                <w:sz w:val="18"/>
                <w:szCs w:val="18"/>
              </w:rPr>
              <w:t xml:space="preserve">GS Priority</w:t>
            </w:r>
          </w:p>
        </w:tc>
      </w:tr>
      <w:tr>
        <w:tc>
          <w:tcPr>
            <w:tcW w:type="dxa" w:w="3500"/>
            <w:tcBorders>
              <w:top w:val="single" w:color="CCCCCC" w:sz="1"/>
              <w:left w:val="single" w:color="CCCCCC" w:sz="1"/>
              <w:bottom w:val="single" w:color="CCCCCC" w:sz="1"/>
              <w:right w:val="single" w:color="CCCCCC" w:sz="1"/>
            </w:tcBorders>
            <w:shd w:fill="FFFFFF" w:val="clear"/>
          </w:tcPr>
          <w:p>
            <w:r>
              <w:rPr>
                <w:sz w:val="18"/>
                <w:szCs w:val="18"/>
              </w:rPr>
              <w:t xml:space="preserve">Drowning</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15.7</w:t>
            </w:r>
          </w:p>
        </w:tc>
        <w:tc>
          <w:tcPr>
            <w:tcW w:type="dxa" w:w="18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95</w:t>
            </w:r>
          </w:p>
        </w:tc>
        <w:tc>
          <w:tcPr>
            <w:tcW w:type="dxa" w:w="126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Yes</w:t>
            </w:r>
          </w:p>
        </w:tc>
      </w:tr>
      <w:tr>
        <w:tc>
          <w:tcPr>
            <w:tcW w:type="dxa" w:w="3500"/>
            <w:tcBorders>
              <w:top w:val="single" w:color="CCCCCC" w:sz="1"/>
              <w:left w:val="single" w:color="CCCCCC" w:sz="1"/>
              <w:bottom w:val="single" w:color="CCCCCC" w:sz="1"/>
              <w:right w:val="single" w:color="CCCCCC" w:sz="1"/>
            </w:tcBorders>
            <w:shd w:fill="FADBD8" w:val="clear"/>
          </w:tcPr>
          <w:p>
            <w:r>
              <w:rPr>
                <w:sz w:val="18"/>
                <w:szCs w:val="18"/>
              </w:rPr>
              <w:t xml:space="preserve">Iodine deficiency</w:t>
            </w:r>
          </w:p>
        </w:tc>
        <w:tc>
          <w:tcPr>
            <w:tcW w:type="dxa" w:w="15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2.3</w:t>
            </w:r>
          </w:p>
        </w:tc>
        <w:tc>
          <w:tcPr>
            <w:tcW w:type="dxa" w:w="18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10</w:t>
            </w:r>
          </w:p>
        </w:tc>
        <w:tc>
          <w:tcPr>
            <w:tcW w:type="dxa" w:w="13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92</w:t>
            </w:r>
          </w:p>
        </w:tc>
        <w:tc>
          <w:tcPr>
            <w:tcW w:type="dxa" w:w="126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Yes</w:t>
            </w:r>
          </w:p>
        </w:tc>
      </w:tr>
      <w:tr>
        <w:tc>
          <w:tcPr>
            <w:tcW w:type="dxa" w:w="3500"/>
            <w:tcBorders>
              <w:top w:val="single" w:color="CCCCCC" w:sz="1"/>
              <w:left w:val="single" w:color="CCCCCC" w:sz="1"/>
              <w:bottom w:val="single" w:color="CCCCCC" w:sz="1"/>
              <w:right w:val="single" w:color="CCCCCC" w:sz="1"/>
            </w:tcBorders>
            <w:shd w:fill="FFFFFF" w:val="clear"/>
          </w:tcPr>
          <w:p>
            <w:r>
              <w:rPr>
                <w:sz w:val="18"/>
                <w:szCs w:val="18"/>
              </w:rPr>
              <w:t xml:space="preserve">Viral skin diseases</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4.2</w:t>
            </w:r>
          </w:p>
        </w:tc>
        <w:tc>
          <w:tcPr>
            <w:tcW w:type="dxa" w:w="18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85</w:t>
            </w:r>
          </w:p>
        </w:tc>
        <w:tc>
          <w:tcPr>
            <w:tcW w:type="dxa" w:w="126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No</w:t>
            </w:r>
          </w:p>
        </w:tc>
      </w:tr>
      <w:tr>
        <w:tc>
          <w:tcPr>
            <w:tcW w:type="dxa" w:w="3500"/>
            <w:tcBorders>
              <w:top w:val="single" w:color="CCCCCC" w:sz="1"/>
              <w:left w:val="single" w:color="CCCCCC" w:sz="1"/>
              <w:bottom w:val="single" w:color="CCCCCC" w:sz="1"/>
              <w:right w:val="single" w:color="CCCCCC" w:sz="1"/>
            </w:tcBorders>
            <w:shd w:fill="FADBD8" w:val="clear"/>
          </w:tcPr>
          <w:p>
            <w:r>
              <w:rPr>
                <w:sz w:val="18"/>
                <w:szCs w:val="18"/>
              </w:rPr>
              <w:t xml:space="preserve">Cysticercosis</w:t>
            </w:r>
          </w:p>
        </w:tc>
        <w:tc>
          <w:tcPr>
            <w:tcW w:type="dxa" w:w="15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1.2</w:t>
            </w:r>
          </w:p>
        </w:tc>
        <w:tc>
          <w:tcPr>
            <w:tcW w:type="dxa" w:w="18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2</w:t>
            </w:r>
          </w:p>
        </w:tc>
        <w:tc>
          <w:tcPr>
            <w:tcW w:type="dxa" w:w="13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80</w:t>
            </w:r>
          </w:p>
        </w:tc>
        <w:tc>
          <w:tcPr>
            <w:tcW w:type="dxa" w:w="126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Yes</w:t>
            </w:r>
          </w:p>
        </w:tc>
      </w:tr>
      <w:tr>
        <w:tc>
          <w:tcPr>
            <w:tcW w:type="dxa" w:w="3500"/>
            <w:tcBorders>
              <w:top w:val="single" w:color="CCCCCC" w:sz="1"/>
              <w:left w:val="single" w:color="CCCCCC" w:sz="1"/>
              <w:bottom w:val="single" w:color="CCCCCC" w:sz="1"/>
              <w:right w:val="single" w:color="CCCCCC" w:sz="1"/>
            </w:tcBorders>
            <w:shd w:fill="FFFFFF" w:val="clear"/>
          </w:tcPr>
          <w:p>
            <w:r>
              <w:rPr>
                <w:sz w:val="18"/>
                <w:szCs w:val="18"/>
              </w:rPr>
              <w:t xml:space="preserve">Paralytic ileus and intestinal obst</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6.7</w:t>
            </w:r>
          </w:p>
        </w:tc>
        <w:tc>
          <w:tcPr>
            <w:tcW w:type="dxa" w:w="18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80</w:t>
            </w:r>
          </w:p>
        </w:tc>
        <w:tc>
          <w:tcPr>
            <w:tcW w:type="dxa" w:w="126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No</w:t>
            </w:r>
          </w:p>
        </w:tc>
      </w:tr>
      <w:tr>
        <w:tc>
          <w:tcPr>
            <w:tcW w:type="dxa" w:w="3500"/>
            <w:tcBorders>
              <w:top w:val="single" w:color="CCCCCC" w:sz="1"/>
              <w:left w:val="single" w:color="CCCCCC" w:sz="1"/>
              <w:bottom w:val="single" w:color="CCCCCC" w:sz="1"/>
              <w:right w:val="single" w:color="CCCCCC" w:sz="1"/>
            </w:tcBorders>
            <w:shd w:fill="FADBD8" w:val="clear"/>
          </w:tcPr>
          <w:p>
            <w:r>
              <w:rPr>
                <w:sz w:val="18"/>
                <w:szCs w:val="18"/>
              </w:rPr>
              <w:t xml:space="preserve">Scabies</w:t>
            </w:r>
          </w:p>
        </w:tc>
        <w:tc>
          <w:tcPr>
            <w:tcW w:type="dxa" w:w="15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5.3</w:t>
            </w:r>
          </w:p>
        </w:tc>
        <w:tc>
          <w:tcPr>
            <w:tcW w:type="dxa" w:w="18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6</w:t>
            </w:r>
          </w:p>
        </w:tc>
        <w:tc>
          <w:tcPr>
            <w:tcW w:type="dxa" w:w="130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80</w:t>
            </w:r>
          </w:p>
        </w:tc>
        <w:tc>
          <w:tcPr>
            <w:tcW w:type="dxa" w:w="1260"/>
            <w:tcBorders>
              <w:top w:val="single" w:color="CCCCCC" w:sz="1"/>
              <w:left w:val="single" w:color="CCCCCC" w:sz="1"/>
              <w:bottom w:val="single" w:color="CCCCCC" w:sz="1"/>
              <w:right w:val="single" w:color="CCCCCC" w:sz="1"/>
            </w:tcBorders>
            <w:shd w:fill="FADBD8" w:val="clear"/>
          </w:tcPr>
          <w:p>
            <w:pPr>
              <w:jc w:val="center"/>
            </w:pPr>
            <w:r>
              <w:rPr>
                <w:sz w:val="18"/>
                <w:szCs w:val="18"/>
              </w:rPr>
              <w:t xml:space="preserve">Yes</w:t>
            </w:r>
          </w:p>
        </w:tc>
      </w:tr>
    </w:tbl>
    <w:p>
      <w:pPr>
        <w:spacing w:before="200" w:after="200"/>
      </w:pPr>
      <w:r>
        <w:rPr>
          <w:sz w:val="22"/>
          <w:szCs w:val="22"/>
        </w:rPr>
        <w:t xml:space="preserve">Drowning represents the most severe gap in our analysis: 15.7 million DALYs of global burden with zero biobank-tagged, PubMed-indexed publications retrieved by our query strategy and mapped to this GBD category. This finding reflects a property of our pipeline rather than a literal claim that no research exists anywhere on drowning-related genomics. Nevertheless, the near-complete absence of biobank engagement with this high-burden condition illustrates how research agendas can become disconnected from global health priorities. Similar patterns are observed for other neglected conditions where genomic contributions are better established, such as cysticercosis, nutritional deficiencies, and vaccine-preventable infections.</w:t>
      </w:r>
    </w:p>
    <w:p>
      <w:pPr>
        <w:pStyle w:val="Heading2"/>
      </w:pPr>
      <w:r>
        <w:t xml:space="preserve">7.2 Global South Priority Diseases</w:t>
      </w:r>
    </w:p>
    <w:p>
      <w:pPr>
        <w:spacing w:after="200"/>
      </w:pPr>
      <w:r>
        <w:rPr>
          <w:sz w:val="22"/>
          <w:szCs w:val="22"/>
        </w:rPr>
        <w:t xml:space="preserve">Of the 179 disease categories analysed, 57 (32%) are classified as Global South priorities based on their disproportionate burden in low- and middle-income countries: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500"/>
        <w:gridCol w:w="1500"/>
        <w:gridCol w:w="1060"/>
      </w:tblGrid>
      <w:tr>
        <w:trPr>
          <w:tblHeader/>
        </w:trPr>
        <w:tc>
          <w:tcPr>
            <w:tcW w:type="dxa" w:w="3500"/>
            <w:tcBorders>
              <w:top w:val="single" w:color="CCCCCC" w:sz="1"/>
              <w:left w:val="single" w:color="CCCCCC" w:sz="1"/>
              <w:bottom w:val="single" w:color="CCCCCC" w:sz="1"/>
              <w:right w:val="single" w:color="CCCCCC" w:sz="1"/>
            </w:tcBorders>
            <w:shd w:fill="E67E22" w:val="clear"/>
          </w:tcPr>
          <w:p>
            <w:r>
              <w:rPr>
                <w:b/>
                <w:bCs/>
                <w:color w:val="FFFFFF"/>
                <w:sz w:val="18"/>
                <w:szCs w:val="18"/>
              </w:rPr>
              <w:t xml:space="preserve">Disease</w:t>
            </w:r>
          </w:p>
        </w:tc>
        <w:tc>
          <w:tcPr>
            <w:tcW w:type="dxa" w:w="1800"/>
            <w:tcBorders>
              <w:top w:val="single" w:color="CCCCCC" w:sz="1"/>
              <w:left w:val="single" w:color="CCCCCC" w:sz="1"/>
              <w:bottom w:val="single" w:color="CCCCCC" w:sz="1"/>
              <w:right w:val="single" w:color="CCCCCC" w:sz="1"/>
            </w:tcBorders>
            <w:shd w:fill="E67E22" w:val="clear"/>
          </w:tcPr>
          <w:p>
            <w:r>
              <w:rPr>
                <w:b/>
                <w:bCs/>
                <w:color w:val="FFFFFF"/>
                <w:sz w:val="18"/>
                <w:szCs w:val="18"/>
              </w:rPr>
              <w:t xml:space="preserve">Category</w:t>
            </w:r>
          </w:p>
        </w:tc>
        <w:tc>
          <w:tcPr>
            <w:tcW w:type="dxa" w:w="1500"/>
            <w:tcBorders>
              <w:top w:val="single" w:color="CCCCCC" w:sz="1"/>
              <w:left w:val="single" w:color="CCCCCC" w:sz="1"/>
              <w:bottom w:val="single" w:color="CCCCCC" w:sz="1"/>
              <w:right w:val="single" w:color="CCCCCC" w:sz="1"/>
            </w:tcBorders>
            <w:shd w:fill="E67E22" w:val="clear"/>
          </w:tcPr>
          <w:p>
            <w:pPr>
              <w:jc w:val="center"/>
            </w:pPr>
            <w:r>
              <w:rPr>
                <w:b/>
                <w:bCs/>
                <w:color w:val="FFFFFF"/>
                <w:sz w:val="18"/>
                <w:szCs w:val="18"/>
              </w:rPr>
              <w:t xml:space="preserve">DALYs (M)</w:t>
            </w:r>
          </w:p>
        </w:tc>
        <w:tc>
          <w:tcPr>
            <w:tcW w:type="dxa" w:w="1500"/>
            <w:tcBorders>
              <w:top w:val="single" w:color="CCCCCC" w:sz="1"/>
              <w:left w:val="single" w:color="CCCCCC" w:sz="1"/>
              <w:bottom w:val="single" w:color="CCCCCC" w:sz="1"/>
              <w:right w:val="single" w:color="CCCCCC" w:sz="1"/>
            </w:tcBorders>
            <w:shd w:fill="E67E22" w:val="clear"/>
          </w:tcPr>
          <w:p>
            <w:pPr>
              <w:jc w:val="center"/>
            </w:pPr>
            <w:r>
              <w:rPr>
                <w:b/>
                <w:bCs/>
                <w:color w:val="FFFFFF"/>
                <w:sz w:val="18"/>
                <w:szCs w:val="18"/>
              </w:rPr>
              <w:t xml:space="preserve">Publications</w:t>
            </w:r>
          </w:p>
        </w:tc>
        <w:tc>
          <w:tcPr>
            <w:tcW w:type="dxa" w:w="1060"/>
            <w:tcBorders>
              <w:top w:val="single" w:color="CCCCCC" w:sz="1"/>
              <w:left w:val="single" w:color="CCCCCC" w:sz="1"/>
              <w:bottom w:val="single" w:color="CCCCCC" w:sz="1"/>
              <w:right w:val="single" w:color="CCCCCC" w:sz="1"/>
            </w:tcBorders>
            <w:shd w:fill="E67E22" w:val="clear"/>
          </w:tcPr>
          <w:p>
            <w:pPr>
              <w:jc w:val="center"/>
            </w:pPr>
            <w:r>
              <w:rPr>
                <w:b/>
                <w:bCs/>
                <w:color w:val="FFFFFF"/>
                <w:sz w:val="18"/>
                <w:szCs w:val="18"/>
              </w:rPr>
              <w:t xml:space="preserve">Gap</w:t>
            </w:r>
          </w:p>
        </w:tc>
      </w:tr>
      <w:tr>
        <w:tc>
          <w:tcPr>
            <w:tcW w:type="dxa" w:w="3500"/>
            <w:tcBorders>
              <w:top w:val="single" w:color="CCCCCC" w:sz="1"/>
              <w:left w:val="single" w:color="CCCCCC" w:sz="1"/>
              <w:bottom w:val="single" w:color="CCCCCC" w:sz="1"/>
              <w:right w:val="single" w:color="CCCCCC" w:sz="1"/>
            </w:tcBorders>
            <w:shd w:fill="FFFFFF" w:val="clear"/>
          </w:tcPr>
          <w:p>
            <w:r>
              <w:rPr>
                <w:sz w:val="18"/>
                <w:szCs w:val="18"/>
              </w:rPr>
              <w:t xml:space="preserve">Drowning</w:t>
            </w:r>
          </w:p>
        </w:tc>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Injuries</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15.7</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0</w:t>
            </w:r>
          </w:p>
        </w:tc>
        <w:tc>
          <w:tcPr>
            <w:tcW w:type="dxa" w:w="106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95</w:t>
            </w:r>
          </w:p>
        </w:tc>
      </w:tr>
      <w:tr>
        <w:tc>
          <w:tcPr>
            <w:tcW w:type="dxa" w:w="3500"/>
            <w:tcBorders>
              <w:top w:val="single" w:color="CCCCCC" w:sz="1"/>
              <w:left w:val="single" w:color="CCCCCC" w:sz="1"/>
              <w:bottom w:val="single" w:color="CCCCCC" w:sz="1"/>
              <w:right w:val="single" w:color="CCCCCC" w:sz="1"/>
            </w:tcBorders>
            <w:shd w:fill="FAE5D3" w:val="clear"/>
          </w:tcPr>
          <w:p>
            <w:r>
              <w:rPr>
                <w:sz w:val="18"/>
                <w:szCs w:val="18"/>
              </w:rPr>
              <w:t xml:space="preserve">Iodine deficiency</w:t>
            </w:r>
          </w:p>
        </w:tc>
        <w:tc>
          <w:tcPr>
            <w:tcW w:type="dxa" w:w="1800"/>
            <w:tcBorders>
              <w:top w:val="single" w:color="CCCCCC" w:sz="1"/>
              <w:left w:val="single" w:color="CCCCCC" w:sz="1"/>
              <w:bottom w:val="single" w:color="CCCCCC" w:sz="1"/>
              <w:right w:val="single" w:color="CCCCCC" w:sz="1"/>
            </w:tcBorders>
            <w:shd w:fill="FAE5D3" w:val="clear"/>
          </w:tcPr>
          <w:p>
            <w:r>
              <w:rPr>
                <w:sz w:val="18"/>
                <w:szCs w:val="18"/>
              </w:rPr>
              <w:t xml:space="preserve">Nutritional</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2.3</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10</w:t>
            </w:r>
          </w:p>
        </w:tc>
        <w:tc>
          <w:tcPr>
            <w:tcW w:type="dxa" w:w="106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92</w:t>
            </w:r>
          </w:p>
        </w:tc>
      </w:tr>
      <w:tr>
        <w:tc>
          <w:tcPr>
            <w:tcW w:type="dxa" w:w="3500"/>
            <w:tcBorders>
              <w:top w:val="single" w:color="CCCCCC" w:sz="1"/>
              <w:left w:val="single" w:color="CCCCCC" w:sz="1"/>
              <w:bottom w:val="single" w:color="CCCCCC" w:sz="1"/>
              <w:right w:val="single" w:color="CCCCCC" w:sz="1"/>
            </w:tcBorders>
            <w:shd w:fill="FFFFFF" w:val="clear"/>
          </w:tcPr>
          <w:p>
            <w:r>
              <w:rPr>
                <w:sz w:val="18"/>
                <w:szCs w:val="18"/>
              </w:rPr>
              <w:t xml:space="preserve">Cysticercosis</w:t>
            </w:r>
          </w:p>
        </w:tc>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Other NCD</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1.2</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2</w:t>
            </w:r>
          </w:p>
        </w:tc>
        <w:tc>
          <w:tcPr>
            <w:tcW w:type="dxa" w:w="106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80</w:t>
            </w:r>
          </w:p>
        </w:tc>
      </w:tr>
      <w:tr>
        <w:tc>
          <w:tcPr>
            <w:tcW w:type="dxa" w:w="3500"/>
            <w:tcBorders>
              <w:top w:val="single" w:color="CCCCCC" w:sz="1"/>
              <w:left w:val="single" w:color="CCCCCC" w:sz="1"/>
              <w:bottom w:val="single" w:color="CCCCCC" w:sz="1"/>
              <w:right w:val="single" w:color="CCCCCC" w:sz="1"/>
            </w:tcBorders>
            <w:shd w:fill="FAE5D3" w:val="clear"/>
          </w:tcPr>
          <w:p>
            <w:r>
              <w:rPr>
                <w:sz w:val="18"/>
                <w:szCs w:val="18"/>
              </w:rPr>
              <w:t xml:space="preserve">Scabies</w:t>
            </w:r>
          </w:p>
        </w:tc>
        <w:tc>
          <w:tcPr>
            <w:tcW w:type="dxa" w:w="1800"/>
            <w:tcBorders>
              <w:top w:val="single" w:color="CCCCCC" w:sz="1"/>
              <w:left w:val="single" w:color="CCCCCC" w:sz="1"/>
              <w:bottom w:val="single" w:color="CCCCCC" w:sz="1"/>
              <w:right w:val="single" w:color="CCCCCC" w:sz="1"/>
            </w:tcBorders>
            <w:shd w:fill="FAE5D3" w:val="clear"/>
          </w:tcPr>
          <w:p>
            <w:r>
              <w:rPr>
                <w:sz w:val="18"/>
                <w:szCs w:val="18"/>
              </w:rPr>
              <w:t xml:space="preserve">Other NCD</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5.3</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6</w:t>
            </w:r>
          </w:p>
        </w:tc>
        <w:tc>
          <w:tcPr>
            <w:tcW w:type="dxa" w:w="106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80</w:t>
            </w:r>
          </w:p>
        </w:tc>
      </w:tr>
      <w:tr>
        <w:tc>
          <w:tcPr>
            <w:tcW w:type="dxa" w:w="3500"/>
            <w:tcBorders>
              <w:top w:val="single" w:color="CCCCCC" w:sz="1"/>
              <w:left w:val="single" w:color="CCCCCC" w:sz="1"/>
              <w:bottom w:val="single" w:color="CCCCCC" w:sz="1"/>
              <w:right w:val="single" w:color="CCCCCC" w:sz="1"/>
            </w:tcBorders>
            <w:shd w:fill="FFFFFF" w:val="clear"/>
          </w:tcPr>
          <w:p>
            <w:r>
              <w:rPr>
                <w:sz w:val="18"/>
                <w:szCs w:val="18"/>
              </w:rPr>
              <w:t xml:space="preserve">Tetanus</w:t>
            </w:r>
          </w:p>
        </w:tc>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Other NCD</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1.3</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5</w:t>
            </w:r>
          </w:p>
        </w:tc>
        <w:tc>
          <w:tcPr>
            <w:tcW w:type="dxa" w:w="106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70</w:t>
            </w:r>
          </w:p>
        </w:tc>
      </w:tr>
      <w:tr>
        <w:tc>
          <w:tcPr>
            <w:tcW w:type="dxa" w:w="3500"/>
            <w:tcBorders>
              <w:top w:val="single" w:color="CCCCCC" w:sz="1"/>
              <w:left w:val="single" w:color="CCCCCC" w:sz="1"/>
              <w:bottom w:val="single" w:color="CCCCCC" w:sz="1"/>
              <w:right w:val="single" w:color="CCCCCC" w:sz="1"/>
            </w:tcBorders>
            <w:shd w:fill="FAE5D3" w:val="clear"/>
          </w:tcPr>
          <w:p>
            <w:r>
              <w:rPr>
                <w:sz w:val="18"/>
                <w:szCs w:val="18"/>
              </w:rPr>
              <w:t xml:space="preserve">Pertussis</w:t>
            </w:r>
          </w:p>
        </w:tc>
        <w:tc>
          <w:tcPr>
            <w:tcW w:type="dxa" w:w="1800"/>
            <w:tcBorders>
              <w:top w:val="single" w:color="CCCCCC" w:sz="1"/>
              <w:left w:val="single" w:color="CCCCCC" w:sz="1"/>
              <w:bottom w:val="single" w:color="CCCCCC" w:sz="1"/>
              <w:right w:val="single" w:color="CCCCCC" w:sz="1"/>
            </w:tcBorders>
            <w:shd w:fill="FAE5D3" w:val="clear"/>
          </w:tcPr>
          <w:p>
            <w:r>
              <w:rPr>
                <w:sz w:val="18"/>
                <w:szCs w:val="18"/>
              </w:rPr>
              <w:t xml:space="preserve">Other NCD</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4.6</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18</w:t>
            </w:r>
          </w:p>
        </w:tc>
        <w:tc>
          <w:tcPr>
            <w:tcW w:type="dxa" w:w="106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70</w:t>
            </w:r>
          </w:p>
        </w:tc>
      </w:tr>
      <w:tr>
        <w:tc>
          <w:tcPr>
            <w:tcW w:type="dxa" w:w="3500"/>
            <w:tcBorders>
              <w:top w:val="single" w:color="CCCCCC" w:sz="1"/>
              <w:left w:val="single" w:color="CCCCCC" w:sz="1"/>
              <w:bottom w:val="single" w:color="CCCCCC" w:sz="1"/>
              <w:right w:val="single" w:color="CCCCCC" w:sz="1"/>
            </w:tcBorders>
            <w:shd w:fill="FFFFFF" w:val="clear"/>
          </w:tcPr>
          <w:p>
            <w:r>
              <w:rPr>
                <w:sz w:val="18"/>
                <w:szCs w:val="18"/>
              </w:rPr>
              <w:t xml:space="preserve">Road injuries</w:t>
            </w:r>
          </w:p>
        </w:tc>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Injuries</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65.1</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108</w:t>
            </w:r>
          </w:p>
        </w:tc>
        <w:tc>
          <w:tcPr>
            <w:tcW w:type="dxa" w:w="106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70</w:t>
            </w:r>
          </w:p>
        </w:tc>
      </w:tr>
      <w:tr>
        <w:tc>
          <w:tcPr>
            <w:tcW w:type="dxa" w:w="3500"/>
            <w:tcBorders>
              <w:top w:val="single" w:color="CCCCCC" w:sz="1"/>
              <w:left w:val="single" w:color="CCCCCC" w:sz="1"/>
              <w:bottom w:val="single" w:color="CCCCCC" w:sz="1"/>
              <w:right w:val="single" w:color="CCCCCC" w:sz="1"/>
            </w:tcBorders>
            <w:shd w:fill="FAE5D3" w:val="clear"/>
          </w:tcPr>
          <w:p>
            <w:r>
              <w:rPr>
                <w:sz w:val="18"/>
                <w:szCs w:val="18"/>
              </w:rPr>
              <w:t xml:space="preserve">Animal contact</w:t>
            </w:r>
          </w:p>
        </w:tc>
        <w:tc>
          <w:tcPr>
            <w:tcW w:type="dxa" w:w="1800"/>
            <w:tcBorders>
              <w:top w:val="single" w:color="CCCCCC" w:sz="1"/>
              <w:left w:val="single" w:color="CCCCCC" w:sz="1"/>
              <w:bottom w:val="single" w:color="CCCCCC" w:sz="1"/>
              <w:right w:val="single" w:color="CCCCCC" w:sz="1"/>
            </w:tcBorders>
            <w:shd w:fill="FAE5D3" w:val="clear"/>
          </w:tcPr>
          <w:p>
            <w:r>
              <w:rPr>
                <w:sz w:val="18"/>
                <w:szCs w:val="18"/>
              </w:rPr>
              <w:t xml:space="preserve">Injuries</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4.9</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12</w:t>
            </w:r>
          </w:p>
        </w:tc>
        <w:tc>
          <w:tcPr>
            <w:tcW w:type="dxa" w:w="106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70</w:t>
            </w:r>
          </w:p>
        </w:tc>
      </w:tr>
      <w:tr>
        <w:tc>
          <w:tcPr>
            <w:tcW w:type="dxa" w:w="3500"/>
            <w:tcBorders>
              <w:top w:val="single" w:color="CCCCCC" w:sz="1"/>
              <w:left w:val="single" w:color="CCCCCC" w:sz="1"/>
              <w:bottom w:val="single" w:color="CCCCCC" w:sz="1"/>
              <w:right w:val="single" w:color="CCCCCC" w:sz="1"/>
            </w:tcBorders>
            <w:shd w:fill="FFFFFF" w:val="clear"/>
          </w:tcPr>
          <w:p>
            <w:r>
              <w:rPr>
                <w:sz w:val="18"/>
                <w:szCs w:val="18"/>
              </w:rPr>
              <w:t xml:space="preserve">Vitamin A deficiency</w:t>
            </w:r>
          </w:p>
        </w:tc>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Nutritional</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1.1</w:t>
            </w:r>
          </w:p>
        </w:tc>
        <w:tc>
          <w:tcPr>
            <w:tcW w:type="dxa" w:w="150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67</w:t>
            </w:r>
          </w:p>
        </w:tc>
        <w:tc>
          <w:tcPr>
            <w:tcW w:type="dxa" w:w="1060"/>
            <w:tcBorders>
              <w:top w:val="single" w:color="CCCCCC" w:sz="1"/>
              <w:left w:val="single" w:color="CCCCCC" w:sz="1"/>
              <w:bottom w:val="single" w:color="CCCCCC" w:sz="1"/>
              <w:right w:val="single" w:color="CCCCCC" w:sz="1"/>
            </w:tcBorders>
            <w:shd w:fill="FFFFFF" w:val="clear"/>
          </w:tcPr>
          <w:p>
            <w:pPr>
              <w:jc w:val="center"/>
            </w:pPr>
            <w:r>
              <w:rPr>
                <w:sz w:val="18"/>
                <w:szCs w:val="18"/>
              </w:rPr>
              <w:t xml:space="preserve">65</w:t>
            </w:r>
          </w:p>
        </w:tc>
      </w:tr>
      <w:tr>
        <w:tc>
          <w:tcPr>
            <w:tcW w:type="dxa" w:w="3500"/>
            <w:tcBorders>
              <w:top w:val="single" w:color="CCCCCC" w:sz="1"/>
              <w:left w:val="single" w:color="CCCCCC" w:sz="1"/>
              <w:bottom w:val="single" w:color="CCCCCC" w:sz="1"/>
              <w:right w:val="single" w:color="CCCCCC" w:sz="1"/>
            </w:tcBorders>
            <w:shd w:fill="FAE5D3" w:val="clear"/>
          </w:tcPr>
          <w:p>
            <w:r>
              <w:rPr>
                <w:sz w:val="18"/>
                <w:szCs w:val="18"/>
              </w:rPr>
              <w:t xml:space="preserve">Upper respiratory infections</w:t>
            </w:r>
          </w:p>
        </w:tc>
        <w:tc>
          <w:tcPr>
            <w:tcW w:type="dxa" w:w="1800"/>
            <w:tcBorders>
              <w:top w:val="single" w:color="CCCCCC" w:sz="1"/>
              <w:left w:val="single" w:color="CCCCCC" w:sz="1"/>
              <w:bottom w:val="single" w:color="CCCCCC" w:sz="1"/>
              <w:right w:val="single" w:color="CCCCCC" w:sz="1"/>
            </w:tcBorders>
            <w:shd w:fill="FAE5D3" w:val="clear"/>
          </w:tcPr>
          <w:p>
            <w:r>
              <w:rPr>
                <w:sz w:val="18"/>
                <w:szCs w:val="18"/>
              </w:rPr>
              <w:t xml:space="preserve">Infectious</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5.7</w:t>
            </w:r>
          </w:p>
        </w:tc>
        <w:tc>
          <w:tcPr>
            <w:tcW w:type="dxa" w:w="150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87</w:t>
            </w:r>
          </w:p>
        </w:tc>
        <w:tc>
          <w:tcPr>
            <w:tcW w:type="dxa" w:w="1060"/>
            <w:tcBorders>
              <w:top w:val="single" w:color="CCCCCC" w:sz="1"/>
              <w:left w:val="single" w:color="CCCCCC" w:sz="1"/>
              <w:bottom w:val="single" w:color="CCCCCC" w:sz="1"/>
              <w:right w:val="single" w:color="CCCCCC" w:sz="1"/>
            </w:tcBorders>
            <w:shd w:fill="FAE5D3" w:val="clear"/>
          </w:tcPr>
          <w:p>
            <w:pPr>
              <w:jc w:val="center"/>
            </w:pPr>
            <w:r>
              <w:rPr>
                <w:sz w:val="18"/>
                <w:szCs w:val="18"/>
              </w:rPr>
              <w:t xml:space="preserve">60</w:t>
            </w:r>
          </w:p>
        </w:tc>
      </w:tr>
    </w:tbl>
    <w:p>
      <w:r>
        <w:br w:type="page"/>
      </w:r>
    </w:p>
    <w:p>
      <w:pPr>
        <w:pStyle w:val="Heading1"/>
      </w:pPr>
      <w:r>
        <w:t xml:space="preserve">8. Discussion</w:t>
      </w:r>
    </w:p>
    <w:p>
      <w:pPr>
        <w:pStyle w:val="Heading2"/>
      </w:pPr>
      <w:r>
        <w:t xml:space="preserve">8.1 Interpreting the 322x Equity Ratio</w:t>
      </w:r>
    </w:p>
    <w:p>
      <w:pPr>
        <w:spacing w:after="200"/>
      </w:pPr>
      <w:r>
        <w:rPr>
          <w:sz w:val="22"/>
          <w:szCs w:val="22"/>
        </w:rPr>
        <w:t xml:space="preserve">The equity ratio of 322x difference in biobank publication intensity per DALY between HIC and LMIC biobanks in our 27-biobank sample (PubMed 2000-2025) is the single most important finding of this analysis. To contextualise this figure: if LMIC biobanks maintained their current disease burden but matched HIC research intensity, they would need to increase their publication output by more than 300-fold. Alternatively, if HIC biobanks redirected just 0.3% of their research capacity toward LMIC-priority diseases, global equity would improve substantially.</w:t>
      </w:r>
    </w:p>
    <w:p>
      <w:pPr>
        <w:spacing w:after="200"/>
      </w:pPr>
      <w:r>
        <w:rPr>
          <w:sz w:val="22"/>
          <w:szCs w:val="22"/>
        </w:rPr>
        <w:t xml:space="preserve">This ratio is not a fixed characteristic of the biobank landscape; it is a policy-sensitive metric that can be improved through targeted intervention. The HEIM framework enables stakeholders to track whether interventions are working by monitoring changes in the equity ratio over time. While the exact multiplier will vary with different biobank samples or time windows, sensitivity analyses confirm that the fundamental inequity remains profound across reasonable methodological variations.</w:t>
      </w:r>
    </w:p>
    <w:p>
      <w:pPr>
        <w:pStyle w:val="Heading2"/>
      </w:pPr>
      <w:r>
        <w:t xml:space="preserve">8.2 Why 70% of Biobanks Score 'Poor'</w:t>
      </w:r>
    </w:p>
    <w:p>
      <w:pPr>
        <w:spacing w:after="200"/>
      </w:pPr>
      <w:r>
        <w:rPr>
          <w:sz w:val="22"/>
          <w:szCs w:val="22"/>
        </w:rPr>
        <w:t xml:space="preserve">The concentration of biobanks in the 'Poor' category reflects systemic factors rather than individual institutional failures:</w:t>
      </w:r>
    </w:p>
    <w:p>
      <w:pPr>
        <w:pStyle w:val="ListParagraph"/>
        <w:numPr>
          <w:ilvl w:val="0"/>
          <w:numId w:val="2"/>
        </w:numPr>
        <w:spacing w:after="100"/>
      </w:pPr>
      <w:r>
        <w:rPr>
          <w:b/>
          <w:bCs/>
          <w:sz w:val="22"/>
          <w:szCs w:val="22"/>
        </w:rPr>
        <w:t xml:space="preserve">Resource constraints: </w:t>
      </w:r>
      <w:r>
        <w:rPr>
          <w:sz w:val="22"/>
          <w:szCs w:val="22"/>
        </w:rPr>
        <w:t xml:space="preserve">LMIC biobanks operate with a fraction of the funding available to HIC counterparts, limiting their capacity to build comprehensive research programmes.</w:t>
      </w:r>
    </w:p>
    <w:p>
      <w:pPr>
        <w:pStyle w:val="ListParagraph"/>
        <w:numPr>
          <w:ilvl w:val="0"/>
          <w:numId w:val="2"/>
        </w:numPr>
        <w:spacing w:after="100"/>
      </w:pPr>
      <w:r>
        <w:rPr>
          <w:b/>
          <w:bCs/>
          <w:sz w:val="22"/>
          <w:szCs w:val="22"/>
        </w:rPr>
        <w:t xml:space="preserve">Infrastructure gaps: </w:t>
      </w:r>
      <w:r>
        <w:rPr>
          <w:sz w:val="22"/>
          <w:szCs w:val="22"/>
        </w:rPr>
        <w:t xml:space="preserve">Genomic sequencing, computing infrastructure, and trained personnel remain scarce in many regions.</w:t>
      </w:r>
    </w:p>
    <w:p>
      <w:pPr>
        <w:pStyle w:val="ListParagraph"/>
        <w:numPr>
          <w:ilvl w:val="0"/>
          <w:numId w:val="2"/>
        </w:numPr>
        <w:spacing w:after="100"/>
      </w:pPr>
      <w:r>
        <w:rPr>
          <w:b/>
          <w:bCs/>
          <w:sz w:val="22"/>
          <w:szCs w:val="22"/>
        </w:rPr>
        <w:t xml:space="preserve">Network effects: </w:t>
      </w:r>
      <w:r>
        <w:rPr>
          <w:sz w:val="22"/>
          <w:szCs w:val="22"/>
        </w:rPr>
        <w:t xml:space="preserve">Research collaborations, journal access, and funding opportunities cluster in established centres, creating barriers for emerging biobanks.</w:t>
      </w:r>
    </w:p>
    <w:p>
      <w:pPr>
        <w:pStyle w:val="ListParagraph"/>
        <w:numPr>
          <w:ilvl w:val="0"/>
          <w:numId w:val="2"/>
        </w:numPr>
        <w:spacing w:after="100"/>
      </w:pPr>
      <w:r>
        <w:rPr>
          <w:b/>
          <w:bCs/>
          <w:sz w:val="22"/>
          <w:szCs w:val="22"/>
        </w:rPr>
        <w:t xml:space="preserve">Local vs global priorities: </w:t>
      </w:r>
      <w:r>
        <w:rPr>
          <w:sz w:val="22"/>
          <w:szCs w:val="22"/>
        </w:rPr>
        <w:t xml:space="preserve">Biobanks naturally focus on conditions prevalent in their source populations, which may not align with global burden rankings.</w:t>
      </w:r>
    </w:p>
    <w:p>
      <w:pPr>
        <w:spacing w:after="200"/>
      </w:pPr>
      <w:r>
        <w:rPr>
          <w:sz w:val="22"/>
          <w:szCs w:val="22"/>
        </w:rPr>
        <w:t xml:space="preserve">Addressing these systemic factors requires coordinated action from funders, institutions, and policymakers. The HEIM framework provides the measurement infrastructure to track progress.</w:t>
      </w:r>
    </w:p>
    <w:p>
      <w:pPr>
        <w:pStyle w:val="Heading2"/>
      </w:pPr>
      <w:r>
        <w:t xml:space="preserve">8.3 The Self-Reinforcing Cycle</w:t>
      </w:r>
    </w:p>
    <w:p>
      <w:pPr>
        <w:spacing w:after="200"/>
      </w:pPr>
      <w:r>
        <w:rPr>
          <w:sz w:val="22"/>
          <w:szCs w:val="22"/>
        </w:rPr>
        <w:t xml:space="preserve">Current inequities tend to perpetuate themselves through a self-reinforcing cycle:</w:t>
      </w:r>
    </w:p>
    <w:p>
      <w:pPr>
        <w:pStyle w:val="ListParagraph"/>
        <w:numPr>
          <w:ilvl w:val="0"/>
          <w:numId w:val="3"/>
        </w:numPr>
        <w:spacing w:after="100"/>
      </w:pPr>
      <w:r>
        <w:rPr>
          <w:sz w:val="22"/>
          <w:szCs w:val="22"/>
        </w:rPr>
        <w:t xml:space="preserve">Well-resourced biobanks generate more publications.</w:t>
      </w:r>
    </w:p>
    <w:p>
      <w:pPr>
        <w:pStyle w:val="ListParagraph"/>
        <w:numPr>
          <w:ilvl w:val="0"/>
          <w:numId w:val="3"/>
        </w:numPr>
        <w:spacing w:after="100"/>
      </w:pPr>
      <w:r>
        <w:rPr>
          <w:sz w:val="22"/>
          <w:szCs w:val="22"/>
        </w:rPr>
        <w:t xml:space="preserve">More publications attract more citations and recognition.</w:t>
      </w:r>
    </w:p>
    <w:p>
      <w:pPr>
        <w:pStyle w:val="ListParagraph"/>
        <w:numPr>
          <w:ilvl w:val="0"/>
          <w:numId w:val="3"/>
        </w:numPr>
        <w:spacing w:after="100"/>
      </w:pPr>
      <w:r>
        <w:rPr>
          <w:sz w:val="22"/>
          <w:szCs w:val="22"/>
        </w:rPr>
        <w:t xml:space="preserve">Recognition attracts more funding and collaborations.</w:t>
      </w:r>
    </w:p>
    <w:p>
      <w:pPr>
        <w:pStyle w:val="ListParagraph"/>
        <w:numPr>
          <w:ilvl w:val="0"/>
          <w:numId w:val="3"/>
        </w:numPr>
        <w:spacing w:after="100"/>
      </w:pPr>
      <w:r>
        <w:rPr>
          <w:sz w:val="22"/>
          <w:szCs w:val="22"/>
        </w:rPr>
        <w:t xml:space="preserve">More funding enables larger studies and more publications.</w:t>
      </w:r>
    </w:p>
    <w:p>
      <w:pPr>
        <w:pStyle w:val="ListParagraph"/>
        <w:numPr>
          <w:ilvl w:val="0"/>
          <w:numId w:val="3"/>
        </w:numPr>
        <w:spacing w:after="200"/>
      </w:pPr>
      <w:r>
        <w:rPr>
          <w:sz w:val="22"/>
          <w:szCs w:val="22"/>
        </w:rPr>
        <w:t xml:space="preserve">The gap widens.</w:t>
      </w:r>
    </w:p>
    <w:p>
      <w:pPr>
        <w:spacing w:after="200"/>
      </w:pPr>
      <w:r>
        <w:rPr>
          <w:sz w:val="22"/>
          <w:szCs w:val="22"/>
        </w:rPr>
        <w:t xml:space="preserve">Breaking this cycle requires intentional intervention at multiple points: dedicated funding for LMIC biobanks, capacity-building programmes, equitable collaboration frameworks, and metrics that reward equity-aligned research.</w:t>
      </w:r>
    </w:p>
    <w:p>
      <w:pPr>
        <w:pStyle w:val="Heading2"/>
      </w:pPr>
      <w:r>
        <w:t xml:space="preserve">8.4 Limitations of This Analysis</w:t>
      </w:r>
    </w:p>
    <w:p>
      <w:pPr>
        <w:spacing w:after="200"/>
      </w:pPr>
      <w:r>
        <w:rPr>
          <w:sz w:val="22"/>
          <w:szCs w:val="22"/>
        </w:rPr>
        <w:t xml:space="preserve">Several limitations should be considered when interpreting these findings:</w:t>
      </w:r>
    </w:p>
    <w:p>
      <w:pPr>
        <w:pStyle w:val="ListParagraph"/>
        <w:numPr>
          <w:ilvl w:val="0"/>
          <w:numId w:val="2"/>
        </w:numPr>
        <w:spacing w:after="100"/>
      </w:pPr>
      <w:r>
        <w:rPr>
          <w:b/>
          <w:bCs/>
          <w:sz w:val="22"/>
          <w:szCs w:val="22"/>
        </w:rPr>
        <w:t xml:space="preserve">Publication coverage: </w:t>
      </w:r>
      <w:r>
        <w:rPr>
          <w:sz w:val="22"/>
          <w:szCs w:val="22"/>
        </w:rPr>
        <w:t xml:space="preserve">Analysis is limited to PubMed-indexed publications, which may undercount research published in regional journals or non-English languages.</w:t>
      </w:r>
    </w:p>
    <w:p>
      <w:pPr>
        <w:pStyle w:val="ListParagraph"/>
        <w:numPr>
          <w:ilvl w:val="0"/>
          <w:numId w:val="2"/>
        </w:numPr>
        <w:spacing w:after="100"/>
      </w:pPr>
      <w:r>
        <w:rPr>
          <w:b/>
          <w:bCs/>
          <w:sz w:val="22"/>
          <w:szCs w:val="22"/>
        </w:rPr>
        <w:t xml:space="preserve">MeSH mapping: </w:t>
      </w:r>
      <w:r>
        <w:rPr>
          <w:sz w:val="22"/>
          <w:szCs w:val="22"/>
        </w:rPr>
        <w:t xml:space="preserve">Automated mapping from MeSH terms to GBD categories may introduce classification errors, particularly for multimorbid conditions.</w:t>
      </w:r>
    </w:p>
    <w:p>
      <w:pPr>
        <w:pStyle w:val="ListParagraph"/>
        <w:numPr>
          <w:ilvl w:val="0"/>
          <w:numId w:val="2"/>
        </w:numPr>
        <w:spacing w:after="100"/>
      </w:pPr>
      <w:r>
        <w:rPr>
          <w:b/>
          <w:bCs/>
          <w:sz w:val="22"/>
          <w:szCs w:val="22"/>
        </w:rPr>
        <w:t xml:space="preserve">Biobank selection: </w:t>
      </w:r>
      <w:r>
        <w:rPr>
          <w:sz w:val="22"/>
          <w:szCs w:val="22"/>
        </w:rPr>
        <w:t xml:space="preserve">The 27 biobanks analysed represent a convenience sample of major institutions; hundreds of smaller biobanks are not captured.</w:t>
      </w:r>
    </w:p>
    <w:p>
      <w:pPr>
        <w:pStyle w:val="ListParagraph"/>
        <w:numPr>
          <w:ilvl w:val="0"/>
          <w:numId w:val="2"/>
        </w:numPr>
        <w:spacing w:after="100"/>
      </w:pPr>
      <w:r>
        <w:rPr>
          <w:b/>
          <w:bCs/>
          <w:sz w:val="22"/>
          <w:szCs w:val="22"/>
        </w:rPr>
        <w:t xml:space="preserve">Temporal factors: </w:t>
      </w:r>
      <w:r>
        <w:rPr>
          <w:sz w:val="22"/>
          <w:szCs w:val="22"/>
        </w:rPr>
        <w:t xml:space="preserve">Cumulative publication counts advantage established biobanks; recent biobanks may appear to underperform despite rapid growth.</w:t>
      </w:r>
    </w:p>
    <w:p>
      <w:pPr>
        <w:pStyle w:val="ListParagraph"/>
        <w:numPr>
          <w:ilvl w:val="0"/>
          <w:numId w:val="2"/>
        </w:numPr>
        <w:spacing w:after="100"/>
      </w:pPr>
      <w:r>
        <w:rPr>
          <w:b/>
          <w:bCs/>
          <w:sz w:val="22"/>
          <w:szCs w:val="22"/>
        </w:rPr>
        <w:t xml:space="preserve">Quality vs quantity: </w:t>
      </w:r>
      <w:r>
        <w:rPr>
          <w:sz w:val="22"/>
          <w:szCs w:val="22"/>
        </w:rPr>
        <w:t xml:space="preserve">Publication counts do not capture research quality, clinical impact, or translation to practice.</w:t>
      </w:r>
    </w:p>
    <w:p>
      <w:pPr>
        <w:spacing w:after="200"/>
      </w:pPr>
      <w:r>
        <w:rPr>
          <w:sz w:val="22"/>
          <w:szCs w:val="22"/>
        </w:rPr>
        <w:t xml:space="preserve">Future versions of the HEIM Index will address these limitations through expanded data sources, improved mapping algorithms, and additional metrics capturing research quality and impact.</w:t>
      </w:r>
    </w:p>
    <w:p>
      <w:r>
        <w:br w:type="page"/>
      </w:r>
    </w:p>
    <w:p>
      <w:pPr>
        <w:pStyle w:val="Heading1"/>
      </w:pPr>
      <w:r>
        <w:t xml:space="preserve">9. Recommendations</w:t>
      </w:r>
    </w:p>
    <w:p>
      <w:pPr>
        <w:spacing w:after="200"/>
      </w:pPr>
      <w:r>
        <w:rPr>
          <w:sz w:val="22"/>
          <w:szCs w:val="22"/>
        </w:rPr>
        <w:t xml:space="preserve">Based on the findings of this analysis, we offer the following recommendations for key stakeholders. HEIM metrics are best viewed as a platform for piloting equity-aware funding and governance mechanisms, to be iteratively refined as evidence accumulates on their impact. These proposals represent implementable starting points rather than fully proven policy prescriptions.</w:t>
      </w:r>
    </w:p>
    <w:p>
      <w:pPr>
        <w:pStyle w:val="Heading2"/>
      </w:pPr>
      <w:r>
        <w:t xml:space="preserve">9.1 For Research Funders</w:t>
      </w:r>
    </w:p>
    <w:p>
      <w:pPr>
        <w:pStyle w:val="ListParagraph"/>
        <w:numPr>
          <w:ilvl w:val="0"/>
          <w:numId w:val="4"/>
        </w:numPr>
        <w:spacing w:after="100"/>
      </w:pPr>
      <w:r>
        <w:rPr>
          <w:b/>
          <w:bCs/>
          <w:sz w:val="22"/>
          <w:szCs w:val="22"/>
        </w:rPr>
        <w:t xml:space="preserve">Incorporate HEIM scores into grant evaluation criteria. </w:t>
      </w:r>
      <w:r>
        <w:rPr>
          <w:sz w:val="22"/>
          <w:szCs w:val="22"/>
        </w:rPr>
        <w:t xml:space="preserve">Proposals addressing high-gap diseases or involving LMIC biobanks should receive priority consideration. Funders could integrate HEIM scores programmatically via the HEIM API (to be released via https://manuelcorpas.github.io/17-EHR/) into grant management workflows.</w:t>
      </w:r>
    </w:p>
    <w:p>
      <w:pPr>
        <w:pStyle w:val="ListParagraph"/>
        <w:numPr>
          <w:ilvl w:val="0"/>
          <w:numId w:val="4"/>
        </w:numPr>
        <w:spacing w:after="100"/>
      </w:pPr>
      <w:r>
        <w:rPr>
          <w:b/>
          <w:bCs/>
          <w:sz w:val="22"/>
          <w:szCs w:val="22"/>
        </w:rPr>
        <w:t xml:space="preserve">Weight funding toward high-ROS diseases. </w:t>
      </w:r>
      <w:r>
        <w:rPr>
          <w:sz w:val="22"/>
          <w:szCs w:val="22"/>
        </w:rPr>
        <w:t xml:space="preserve">The Research Opportunity Score identifies diseases where additional investment would have the greatest equity impact.</w:t>
      </w:r>
    </w:p>
    <w:p>
      <w:pPr>
        <w:pStyle w:val="ListParagraph"/>
        <w:numPr>
          <w:ilvl w:val="0"/>
          <w:numId w:val="4"/>
        </w:numPr>
        <w:spacing w:after="100"/>
      </w:pPr>
      <w:r>
        <w:rPr>
          <w:b/>
          <w:bCs/>
          <w:sz w:val="22"/>
          <w:szCs w:val="22"/>
        </w:rPr>
        <w:t xml:space="preserve">Support LMIC biobank infrastructure. </w:t>
      </w:r>
      <w:r>
        <w:rPr>
          <w:sz w:val="22"/>
          <w:szCs w:val="22"/>
        </w:rPr>
        <w:t xml:space="preserve">Capacity-building investments in underrepresented regions yield long-term returns for global genomic equity.</w:t>
      </w:r>
    </w:p>
    <w:p>
      <w:pPr>
        <w:pStyle w:val="ListParagraph"/>
        <w:numPr>
          <w:ilvl w:val="0"/>
          <w:numId w:val="4"/>
        </w:numPr>
        <w:spacing w:after="200"/>
      </w:pPr>
      <w:r>
        <w:rPr>
          <w:b/>
          <w:bCs/>
          <w:sz w:val="22"/>
          <w:szCs w:val="22"/>
        </w:rPr>
        <w:t xml:space="preserve">Require equity reporting. </w:t>
      </w:r>
      <w:r>
        <w:rPr>
          <w:sz w:val="22"/>
          <w:szCs w:val="22"/>
        </w:rPr>
        <w:t xml:space="preserve">Mandate that funded projects report on the diversity of their study populations and the global relevance of their findings.</w:t>
      </w:r>
    </w:p>
    <w:p>
      <w:pPr>
        <w:pStyle w:val="Heading2"/>
      </w:pPr>
      <w:r>
        <w:t xml:space="preserve">9.2 For Biobanks</w:t>
      </w:r>
    </w:p>
    <w:p>
      <w:pPr>
        <w:pStyle w:val="ListParagraph"/>
        <w:numPr>
          <w:ilvl w:val="0"/>
          <w:numId w:val="5"/>
        </w:numPr>
        <w:spacing w:after="100"/>
      </w:pPr>
      <w:r>
        <w:rPr>
          <w:b/>
          <w:bCs/>
          <w:sz w:val="22"/>
          <w:szCs w:val="22"/>
        </w:rPr>
        <w:t xml:space="preserve">Use the HEIM Equity Tool for strategic planning. </w:t>
      </w:r>
      <w:r>
        <w:rPr>
          <w:sz w:val="22"/>
          <w:szCs w:val="22"/>
        </w:rPr>
        <w:t xml:space="preserve">The interactive dashboard (https://manuelcorpas.github.io/17-EHR/) enables biobanks to identify high-gap diseases within their coverage area and prioritise research programmes accordingly.</w:t>
      </w:r>
    </w:p>
    <w:p>
      <w:pPr>
        <w:pStyle w:val="ListParagraph"/>
        <w:numPr>
          <w:ilvl w:val="0"/>
          <w:numId w:val="5"/>
        </w:numPr>
        <w:spacing w:after="100"/>
      </w:pPr>
      <w:r>
        <w:rPr>
          <w:b/>
          <w:bCs/>
          <w:sz w:val="22"/>
          <w:szCs w:val="22"/>
        </w:rPr>
        <w:t xml:space="preserve">Report equity metrics in annual reports. </w:t>
      </w:r>
      <w:r>
        <w:rPr>
          <w:sz w:val="22"/>
          <w:szCs w:val="22"/>
        </w:rPr>
        <w:t xml:space="preserve">Transparency about equity performance enables accountability and demonstrates commitment to global health goals.</w:t>
      </w:r>
    </w:p>
    <w:p>
      <w:pPr>
        <w:pStyle w:val="ListParagraph"/>
        <w:numPr>
          <w:ilvl w:val="0"/>
          <w:numId w:val="5"/>
        </w:numPr>
        <w:spacing w:after="100"/>
      </w:pPr>
      <w:r>
        <w:rPr>
          <w:b/>
          <w:bCs/>
          <w:sz w:val="22"/>
          <w:szCs w:val="22"/>
        </w:rPr>
        <w:t xml:space="preserve">Build equitable collaboration frameworks. </w:t>
      </w:r>
      <w:r>
        <w:rPr>
          <w:sz w:val="22"/>
          <w:szCs w:val="22"/>
        </w:rPr>
        <w:t xml:space="preserve">Partnerships with LMIC biobanks should involve meaningful co-leadership, capacity transfer, and shared authorship.</w:t>
      </w:r>
    </w:p>
    <w:p>
      <w:pPr>
        <w:pStyle w:val="ListParagraph"/>
        <w:numPr>
          <w:ilvl w:val="0"/>
          <w:numId w:val="5"/>
        </w:numPr>
        <w:spacing w:after="200"/>
      </w:pPr>
      <w:r>
        <w:rPr>
          <w:b/>
          <w:bCs/>
          <w:sz w:val="22"/>
          <w:szCs w:val="22"/>
        </w:rPr>
        <w:t xml:space="preserve">Expand phenotyping for underrepresented conditions. </w:t>
      </w:r>
      <w:r>
        <w:rPr>
          <w:sz w:val="22"/>
          <w:szCs w:val="22"/>
        </w:rPr>
        <w:t xml:space="preserve">Even in HIC settings, biobanks can contribute to equity by studying conditions with high global burden.</w:t>
      </w:r>
    </w:p>
    <w:p>
      <w:pPr>
        <w:pStyle w:val="Heading2"/>
      </w:pPr>
      <w:r>
        <w:t xml:space="preserve">9.3 For Policymakers</w:t>
      </w:r>
    </w:p>
    <w:p>
      <w:pPr>
        <w:pStyle w:val="ListParagraph"/>
        <w:numPr>
          <w:ilvl w:val="0"/>
          <w:numId w:val="2"/>
        </w:numPr>
        <w:spacing w:after="100"/>
      </w:pPr>
      <w:r>
        <w:rPr>
          <w:b/>
          <w:bCs/>
          <w:sz w:val="22"/>
          <w:szCs w:val="22"/>
        </w:rPr>
        <w:t xml:space="preserve">Reference HEIM metrics in funding allocation. </w:t>
      </w:r>
      <w:r>
        <w:rPr>
          <w:sz w:val="22"/>
          <w:szCs w:val="22"/>
        </w:rPr>
        <w:t xml:space="preserve">Government funding for genomic research infrastructure should consider equity metrics alongside traditional indicators of scientific excellence.</w:t>
      </w:r>
    </w:p>
    <w:p>
      <w:pPr>
        <w:pStyle w:val="ListParagraph"/>
        <w:numPr>
          <w:ilvl w:val="0"/>
          <w:numId w:val="2"/>
        </w:numPr>
        <w:spacing w:after="100"/>
      </w:pPr>
      <w:r>
        <w:rPr>
          <w:b/>
          <w:bCs/>
          <w:sz w:val="22"/>
          <w:szCs w:val="22"/>
        </w:rPr>
        <w:t xml:space="preserve">Set national equity targets. </w:t>
      </w:r>
      <w:r>
        <w:rPr>
          <w:sz w:val="22"/>
          <w:szCs w:val="22"/>
        </w:rPr>
        <w:t xml:space="preserve">Countries can commit to measurable improvements in HEIM scores as part of national health research strategies.</w:t>
      </w:r>
    </w:p>
    <w:p>
      <w:pPr>
        <w:pStyle w:val="ListParagraph"/>
        <w:numPr>
          <w:ilvl w:val="0"/>
          <w:numId w:val="2"/>
        </w:numPr>
        <w:spacing w:after="100"/>
      </w:pPr>
      <w:r>
        <w:rPr>
          <w:b/>
          <w:bCs/>
          <w:sz w:val="22"/>
          <w:szCs w:val="22"/>
        </w:rPr>
        <w:t xml:space="preserve">Mandate equity reporting for publicly funded biobanks. </w:t>
      </w:r>
      <w:r>
        <w:rPr>
          <w:sz w:val="22"/>
          <w:szCs w:val="22"/>
        </w:rPr>
        <w:t xml:space="preserve">Biobanks receiving public funding should be required to report on the diversity and global relevance of their research.</w:t>
      </w:r>
    </w:p>
    <w:p>
      <w:pPr>
        <w:pStyle w:val="ListParagraph"/>
        <w:numPr>
          <w:ilvl w:val="0"/>
          <w:numId w:val="2"/>
        </w:numPr>
        <w:spacing w:after="100"/>
      </w:pPr>
      <w:r>
        <w:rPr>
          <w:b/>
          <w:bCs/>
          <w:sz w:val="22"/>
          <w:szCs w:val="22"/>
        </w:rPr>
        <w:t xml:space="preserve">Support international coordination. </w:t>
      </w:r>
      <w:r>
        <w:rPr>
          <w:sz w:val="22"/>
          <w:szCs w:val="22"/>
        </w:rPr>
        <w:t xml:space="preserve">Genomic equity is a global challenge requiring international cooperation. Policymakers can facilitate data sharing agreements, harmonised standards, and collaborative research programmes.</w:t>
      </w:r>
    </w:p>
    <w:p>
      <w:r>
        <w:br w:type="page"/>
      </w:r>
    </w:p>
    <w:p>
      <w:pPr>
        <w:pStyle w:val="Heading1"/>
      </w:pPr>
      <w:r>
        <w:t xml:space="preserve">10. Methodology</w:t>
      </w:r>
    </w:p>
    <w:p>
      <w:pPr>
        <w:pStyle w:val="Heading2"/>
      </w:pPr>
      <w:r>
        <w:t xml:space="preserve">10.1 Data Sources</w:t>
      </w:r>
    </w:p>
    <w:p>
      <w:pPr>
        <w:pStyle w:val="ListParagraph"/>
        <w:numPr>
          <w:ilvl w:val="0"/>
          <w:numId w:val="2"/>
        </w:numPr>
        <w:spacing w:after="100"/>
      </w:pPr>
      <w:r>
        <w:rPr>
          <w:b/>
          <w:bCs/>
          <w:sz w:val="22"/>
          <w:szCs w:val="22"/>
        </w:rPr>
        <w:t xml:space="preserve">Publications: </w:t>
      </w:r>
      <w:r>
        <w:rPr>
          <w:sz w:val="22"/>
          <w:szCs w:val="22"/>
        </w:rPr>
        <w:t xml:space="preserve">PubMed database, accessed via the Entrez API. Biobank-specific queries were constructed using institution names, acronyms, and associated terms. Publication date range: 2000-2025. Each publication was mapped to Global Burden of Disease (GBD) 2021 categories using MeSH term matching.</w:t>
      </w:r>
    </w:p>
    <w:p>
      <w:pPr>
        <w:pStyle w:val="ListParagraph"/>
        <w:numPr>
          <w:ilvl w:val="0"/>
          <w:numId w:val="2"/>
        </w:numPr>
        <w:spacing w:after="100"/>
      </w:pPr>
      <w:r>
        <w:rPr>
          <w:b/>
          <w:bCs/>
          <w:sz w:val="22"/>
          <w:szCs w:val="22"/>
        </w:rPr>
        <w:t xml:space="preserve">Disease Burden: </w:t>
      </w:r>
      <w:r>
        <w:rPr>
          <w:sz w:val="22"/>
          <w:szCs w:val="22"/>
        </w:rPr>
        <w:t xml:space="preserve">Institute for Health Metrics and Evaluation (IHME) Global Burden of Disease Study 2021. Disability-Adjusted Life Years (DALYs) serve as the primary burden metric, combining years of life lost (YLL) and years lived with disability (YLD).</w:t>
      </w:r>
    </w:p>
    <w:p>
      <w:pPr>
        <w:pStyle w:val="ListParagraph"/>
        <w:numPr>
          <w:ilvl w:val="0"/>
          <w:numId w:val="2"/>
        </w:numPr>
        <w:spacing w:after="100"/>
      </w:pPr>
      <w:r>
        <w:rPr>
          <w:b/>
          <w:bCs/>
          <w:sz w:val="22"/>
          <w:szCs w:val="22"/>
        </w:rPr>
        <w:t xml:space="preserve">Biobank Selection: </w:t>
      </w:r>
      <w:r>
        <w:rPr>
          <w:sz w:val="22"/>
          <w:szCs w:val="22"/>
        </w:rPr>
        <w:t xml:space="preserve">27 biobanks selected based on: (1) availability of linked electronic health records enabling disease phenotyping, (2) publication accessibility in PubMed, (3) geographic diversity across WHO regions. We acknowledge that these criteria privilege large, well-established HIC institutions and a limited number of highly visible LMIC and Global South initiatives; smaller regional biobanks are not captured in this analysis.</w:t>
      </w:r>
    </w:p>
    <w:p>
      <w:pPr>
        <w:pStyle w:val="Heading2"/>
      </w:pPr>
      <w:r>
        <w:t xml:space="preserve">10.2 Core Metric Definitions</w:t>
      </w:r>
    </w:p>
    <w:p>
      <w:pPr>
        <w:pStyle w:val="Heading3"/>
      </w:pPr>
      <w:r>
        <w:t xml:space="preserve">Burden Score</w:t>
      </w:r>
    </w:p>
    <w:p>
      <w:pPr>
        <w:spacing w:after="200"/>
      </w:pPr>
      <w:r>
        <w:rPr>
          <w:sz w:val="22"/>
          <w:szCs w:val="22"/>
        </w:rPr>
        <w:t xml:space="preserve">The Burden Score quantifies the global health importance of each disease category:</w:t>
      </w:r>
    </w:p>
    <w:p>
      <w:pPr>
        <w:spacing w:before="100" w:after="100"/>
        <w:jc w:val="center"/>
      </w:pPr>
      <w:r>
        <w:rPr>
          <w:i/>
          <w:iCs/>
          <w:sz w:val="22"/>
          <w:szCs w:val="22"/>
        </w:rPr>
        <w:t xml:space="preserve">Burden Score = log₁₀(DALYs + 1) × 10</w:t>
      </w:r>
    </w:p>
    <w:p>
      <w:pPr>
        <w:spacing w:after="200"/>
      </w:pPr>
      <w:r>
        <w:rPr>
          <w:sz w:val="22"/>
          <w:szCs w:val="22"/>
        </w:rPr>
        <w:t xml:space="preserve">The logarithmic transformation prevents high-burden conditions from dominating the analysis while preserving meaningful differentiation across the burden spectrum.</w:t>
      </w:r>
    </w:p>
    <w:p>
      <w:pPr>
        <w:pStyle w:val="Heading3"/>
      </w:pPr>
      <w:r>
        <w:t xml:space="preserve">Gap Score</w:t>
      </w:r>
    </w:p>
    <w:p>
      <w:pPr>
        <w:spacing w:after="200"/>
      </w:pPr>
      <w:r>
        <w:rPr>
          <w:sz w:val="22"/>
          <w:szCs w:val="22"/>
        </w:rPr>
        <w:t xml:space="preserve">The Gap Score measures the mismatch between disease burden and research attention:</w:t>
      </w:r>
    </w:p>
    <w:p>
      <w:pPr>
        <w:spacing w:before="100" w:after="100"/>
        <w:jc w:val="center"/>
      </w:pPr>
      <w:r>
        <w:rPr>
          <w:i/>
          <w:iCs/>
          <w:sz w:val="22"/>
          <w:szCs w:val="22"/>
        </w:rPr>
        <w:t xml:space="preserve">Gap Score = Burden Score × (1 - Research Coverage)</w:t>
      </w:r>
    </w:p>
    <w:p>
      <w:pPr>
        <w:spacing w:after="200"/>
      </w:pPr>
      <w:r>
        <w:rPr>
          <w:sz w:val="22"/>
          <w:szCs w:val="22"/>
        </w:rPr>
        <w:t xml:space="preserve">Where Research Coverage is normalised publication count relative to the maximum observed across all diseases. Gap Scores range from 0-100, with higher values indicating larger gaps.</w:t>
      </w:r>
    </w:p>
    <w:p>
      <w:pPr>
        <w:pStyle w:val="Heading3"/>
      </w:pPr>
      <w:r>
        <w:t xml:space="preserve">Research Opportunity Score (ROS)</w:t>
      </w:r>
    </w:p>
    <w:p>
      <w:pPr>
        <w:spacing w:after="200"/>
      </w:pPr>
      <w:r>
        <w:rPr>
          <w:sz w:val="22"/>
          <w:szCs w:val="22"/>
        </w:rPr>
        <w:t xml:space="preserve">The ROS aggregates gap scores across all diseases to identify biobanks with the greatest unrealised research potential:</w:t>
      </w:r>
    </w:p>
    <w:p>
      <w:pPr>
        <w:spacing w:before="100" w:after="100"/>
        <w:jc w:val="center"/>
      </w:pPr>
      <w:r>
        <w:rPr>
          <w:i/>
          <w:iCs/>
          <w:sz w:val="22"/>
          <w:szCs w:val="22"/>
        </w:rPr>
        <w:t xml:space="preserve">ROS = Σ (Gap Score × Coverage Weight)</w:t>
      </w:r>
    </w:p>
    <w:p>
      <w:pPr>
        <w:spacing w:after="200"/>
      </w:pPr>
      <w:r>
        <w:rPr>
          <w:sz w:val="22"/>
          <w:szCs w:val="22"/>
        </w:rPr>
        <w:t xml:space="preserve">Higher ROS values highlight biobanks with large unrealised potential: they cover many high-burden, understudied diseases but currently have relatively low coverage, making them high-leverage targets for equity-oriented investment.</w:t>
      </w:r>
    </w:p>
    <w:p>
      <w:pPr>
        <w:pStyle w:val="Heading3"/>
      </w:pPr>
      <w:r>
        <w:t xml:space="preserve">Equity Alignment Score (EAS)</w:t>
      </w:r>
    </w:p>
    <w:p>
      <w:pPr>
        <w:spacing w:after="200"/>
      </w:pPr>
      <w:r>
        <w:rPr>
          <w:sz w:val="22"/>
          <w:szCs w:val="22"/>
        </w:rPr>
        <w:t xml:space="preserve">The EAS provides an overall assessment of how well a biobank's research portfolio aligns with global disease burden:</w:t>
      </w:r>
    </w:p>
    <w:p>
      <w:pPr>
        <w:spacing w:before="100" w:after="100"/>
        <w:jc w:val="center"/>
      </w:pPr>
      <w:r>
        <w:rPr>
          <w:i/>
          <w:iCs/>
          <w:sz w:val="22"/>
          <w:szCs w:val="22"/>
        </w:rPr>
        <w:t xml:space="preserve">EAS = 100 - (Weighted Gap Penalty + Critical Gap Penalty)</w:t>
      </w:r>
    </w:p>
    <w:p>
      <w:pPr>
        <w:spacing w:after="200"/>
      </w:pPr>
      <w:r>
        <w:rPr>
          <w:sz w:val="22"/>
          <w:szCs w:val="22"/>
        </w:rPr>
        <w:t xml:space="preserve">Scores range from 0-100 and are categorised as: Strong (≥80), Moderate (60-79), Weak (40-59), Poor (&lt;40).</w:t>
      </w:r>
    </w:p>
    <w:p>
      <w:pPr>
        <w:spacing w:after="200"/>
      </w:pPr>
      <w:r>
        <w:rPr>
          <w:sz w:val="22"/>
          <w:szCs w:val="22"/>
        </w:rPr>
        <w:t xml:space="preserve">These category thresholds are initially heuristic, designed to provide interpretable groupings that distinguish clearly excellent performers from those with substantial room for improvement. Future iterations will refine these boundaries based on empirical distributions and stakeholder feedback.</w:t>
      </w:r>
    </w:p>
    <w:p>
      <w:pPr>
        <w:spacing w:after="200"/>
      </w:pPr>
      <w:r>
        <w:rPr>
          <w:sz w:val="22"/>
          <w:szCs w:val="22"/>
        </w:rPr>
        <w:t xml:space="preserve">Importantly, EAS scoring uses global DALYs rather than region-specific burden. This is a deliberate normative choice: we aim to highlight how well each biobank serves the majority world, not merely its local population. A European biobank studying only European-prevalent conditions may serve its immediate population well but contributes less to global equity. Region-weighted variants are possible and represent a target for future methodological work.</w:t>
      </w:r>
    </w:p>
    <w:p>
      <w:pPr>
        <w:pStyle w:val="Heading2"/>
      </w:pPr>
      <w:r>
        <w:t xml:space="preserve">10.3 Reproducibility and Validation</w:t>
      </w:r>
    </w:p>
    <w:p>
      <w:pPr>
        <w:spacing w:after="200"/>
      </w:pPr>
      <w:r>
        <w:rPr>
          <w:sz w:val="22"/>
          <w:szCs w:val="22"/>
        </w:rPr>
        <w:t xml:space="preserve">All analysis code and data are available for inspection and replication:</w:t>
      </w:r>
    </w:p>
    <w:p>
      <w:pPr>
        <w:pStyle w:val="ListParagraph"/>
        <w:numPr>
          <w:ilvl w:val="0"/>
          <w:numId w:val="2"/>
        </w:numPr>
        <w:spacing w:after="100"/>
      </w:pPr>
      <w:r>
        <w:rPr>
          <w:b/>
          <w:bCs/>
          <w:sz w:val="22"/>
          <w:szCs w:val="22"/>
        </w:rPr>
        <w:t xml:space="preserve">HEIM Equity Tool: </w:t>
      </w:r>
      <w:r>
        <w:rPr>
          <w:sz w:val="22"/>
          <w:szCs w:val="22"/>
        </w:rPr>
        <w:t xml:space="preserve">The interactive dashboard (https://manuelcorpas.github.io/17-EHR/) provides a front-end to these metrics, enabling users to filter by biobank, disease, region, and gap severity. This is not merely static documentation but a functional tool for exploring equity metrics in real time.</w:t>
      </w:r>
    </w:p>
    <w:p>
      <w:pPr>
        <w:pStyle w:val="ListParagraph"/>
        <w:numPr>
          <w:ilvl w:val="0"/>
          <w:numId w:val="2"/>
        </w:numPr>
        <w:spacing w:after="100"/>
      </w:pPr>
      <w:r>
        <w:rPr>
          <w:b/>
          <w:bCs/>
          <w:sz w:val="22"/>
          <w:szCs w:val="22"/>
        </w:rPr>
        <w:t xml:space="preserve">Data Files: </w:t>
      </w:r>
      <w:r>
        <w:rPr>
          <w:sz w:val="22"/>
          <w:szCs w:val="22"/>
        </w:rPr>
        <w:t xml:space="preserve">JSON format, available via the HEIM Equity Tool or DOI deposit</w:t>
      </w:r>
    </w:p>
    <w:p>
      <w:pPr>
        <w:pStyle w:val="ListParagraph"/>
        <w:numPr>
          <w:ilvl w:val="0"/>
          <w:numId w:val="2"/>
        </w:numPr>
        <w:spacing w:after="100"/>
      </w:pPr>
      <w:r>
        <w:rPr>
          <w:b/>
          <w:bCs/>
          <w:sz w:val="22"/>
          <w:szCs w:val="22"/>
        </w:rPr>
        <w:t xml:space="preserve">PubMed Queries: </w:t>
      </w:r>
      <w:r>
        <w:rPr>
          <w:sz w:val="22"/>
          <w:szCs w:val="22"/>
        </w:rPr>
        <w:t xml:space="preserve">Full query strings for each biobank, including institutional synonyms and acronym handling, are provided in the supplementary materials</w:t>
      </w:r>
    </w:p>
    <w:p>
      <w:pPr>
        <w:pStyle w:val="ListParagraph"/>
        <w:numPr>
          <w:ilvl w:val="0"/>
          <w:numId w:val="2"/>
        </w:numPr>
        <w:spacing w:after="100"/>
      </w:pPr>
      <w:r>
        <w:rPr>
          <w:b/>
          <w:bCs/>
          <w:sz w:val="22"/>
          <w:szCs w:val="22"/>
        </w:rPr>
        <w:t xml:space="preserve">Methodology Documentation: </w:t>
      </w:r>
      <w:r>
        <w:rPr>
          <w:sz w:val="22"/>
          <w:szCs w:val="22"/>
        </w:rPr>
        <w:t xml:space="preserve">Detailed technical documentation available upon request</w:t>
      </w:r>
    </w:p>
    <w:p>
      <w:pPr>
        <w:spacing w:after="200"/>
      </w:pPr>
      <w:r>
        <w:rPr>
          <w:sz w:val="22"/>
          <w:szCs w:val="22"/>
        </w:rPr>
        <w:t xml:space="preserve">The MeSH-to-GBD mapping was validated on a hand-curated subset of 500 publications, achieving approximately 85% concordance with manual classification. Discordances typically involved multimorbid conditions or non-specific MeSH terms. We acknowledge this introduces some noise but maintain that the overall pattern of inequity is robust to reasonable mapping variations.</w:t>
      </w:r>
    </w:p>
    <w:p>
      <w:pPr>
        <w:spacing w:after="200"/>
      </w:pPr>
      <w:r>
        <w:rPr>
          <w:sz w:val="22"/>
          <w:szCs w:val="22"/>
        </w:rPr>
        <w:t xml:space="preserve">Sensitivity analyses confirm that the equity ratio remains very large (&gt;100x) even when: (a) restricting to publications from the last 10 years only, (b) excluding the two largest biobanks, or (c) using alternative burden metrics. The fundamental finding of profound inequity is not an artefact of our specific methodological choices.</w:t>
      </w:r>
    </w:p>
    <w:p>
      <w:r>
        <w:br w:type="page"/>
      </w:r>
    </w:p>
    <w:p>
      <w:pPr>
        <w:pStyle w:val="Heading1"/>
      </w:pPr>
      <w:r>
        <w:t xml:space="preserve">11. Future Directions</w:t>
      </w:r>
    </w:p>
    <w:p>
      <w:pPr>
        <w:spacing w:after="200"/>
      </w:pPr>
      <w:r>
        <w:rPr>
          <w:sz w:val="22"/>
          <w:szCs w:val="22"/>
        </w:rPr>
        <w:t xml:space="preserve">The HEIM Equity Index 2026 establishes baseline measurements for global biobank research equity. Future development will focus on three areas:</w:t>
      </w:r>
    </w:p>
    <w:p>
      <w:pPr>
        <w:pStyle w:val="Heading2"/>
      </w:pPr>
      <w:r>
        <w:t xml:space="preserve">11.1 Annual Index Updates</w:t>
      </w:r>
    </w:p>
    <w:p>
      <w:pPr>
        <w:spacing w:after="200"/>
      </w:pPr>
      <w:r>
        <w:rPr>
          <w:sz w:val="22"/>
          <w:szCs w:val="22"/>
        </w:rPr>
        <w:t xml:space="preserve">The HEIM Equity Index will be refreshed annually, enabling stakeholders to track progress over time. Each update will incorporate new publication data, expanded biobank coverage, and refined methodologies. The 2027 Index will include additional biobanks from underrepresented regions and enhanced disease mapping algorithms.</w:t>
      </w:r>
    </w:p>
    <w:p>
      <w:pPr>
        <w:pStyle w:val="Heading2"/>
      </w:pPr>
      <w:r>
        <w:t xml:space="preserve">11.2 HEIM Tools Development</w:t>
      </w:r>
    </w:p>
    <w:p>
      <w:pPr>
        <w:spacing w:after="200"/>
      </w:pPr>
      <w:r>
        <w:rPr>
          <w:sz w:val="22"/>
          <w:szCs w:val="22"/>
        </w:rPr>
        <w:t xml:space="preserve">We are developing a suite of tools to operationalise equity measurement in research workflows:</w:t>
      </w:r>
    </w:p>
    <w:p>
      <w:pPr>
        <w:pStyle w:val="ListParagraph"/>
        <w:numPr>
          <w:ilvl w:val="0"/>
          <w:numId w:val="2"/>
        </w:numPr>
        <w:spacing w:after="100"/>
      </w:pPr>
      <w:r>
        <w:rPr>
          <w:b/>
          <w:bCs/>
          <w:sz w:val="22"/>
          <w:szCs w:val="22"/>
        </w:rPr>
        <w:t xml:space="preserve">HEIM API: </w:t>
      </w:r>
      <w:r>
        <w:rPr>
          <w:sz w:val="22"/>
          <w:szCs w:val="22"/>
        </w:rPr>
        <w:t xml:space="preserve">Programmatic access to equity metrics, enabling integration with grant management systems, publication databases, and research planning tools.</w:t>
      </w:r>
    </w:p>
    <w:p>
      <w:pPr>
        <w:pStyle w:val="ListParagraph"/>
        <w:numPr>
          <w:ilvl w:val="0"/>
          <w:numId w:val="2"/>
        </w:numPr>
        <w:spacing w:after="100"/>
      </w:pPr>
      <w:r>
        <w:rPr>
          <w:b/>
          <w:bCs/>
          <w:sz w:val="22"/>
          <w:szCs w:val="22"/>
        </w:rPr>
        <w:t xml:space="preserve">PRS Equity Validator: </w:t>
      </w:r>
      <w:r>
        <w:rPr>
          <w:sz w:val="22"/>
          <w:szCs w:val="22"/>
        </w:rPr>
        <w:t xml:space="preserve">A tool for assessing the ancestry coverage of polygenic risk scores, flagging potential performance gaps in underrepresented populations.</w:t>
      </w:r>
    </w:p>
    <w:p>
      <w:pPr>
        <w:pStyle w:val="ListParagraph"/>
        <w:numPr>
          <w:ilvl w:val="0"/>
          <w:numId w:val="2"/>
        </w:numPr>
        <w:spacing w:after="100"/>
      </w:pPr>
      <w:r>
        <w:rPr>
          <w:b/>
          <w:bCs/>
          <w:sz w:val="22"/>
          <w:szCs w:val="22"/>
        </w:rPr>
        <w:t xml:space="preserve">Variant Gap Checker: </w:t>
      </w:r>
      <w:r>
        <w:rPr>
          <w:sz w:val="22"/>
          <w:szCs w:val="22"/>
        </w:rPr>
        <w:t xml:space="preserve">An annotation tool that identifies variants with limited research coverage, supporting clinical interpretation in diverse populations.</w:t>
      </w:r>
    </w:p>
    <w:p>
      <w:pPr>
        <w:pStyle w:val="Heading2"/>
      </w:pPr>
      <w:r>
        <w:t xml:space="preserve">11.3 Institutional Partnerships</w:t>
      </w:r>
    </w:p>
    <w:p>
      <w:pPr>
        <w:spacing w:after="200"/>
      </w:pPr>
      <w:r>
        <w:rPr>
          <w:sz w:val="22"/>
          <w:szCs w:val="22"/>
        </w:rPr>
        <w:t xml:space="preserve">We welcome partnerships with biobanks, funders, and research institutions interested in implementing HEIM metrics. Partnership opportunities include:</w:t>
      </w:r>
    </w:p>
    <w:p>
      <w:pPr>
        <w:pStyle w:val="ListParagraph"/>
        <w:numPr>
          <w:ilvl w:val="0"/>
          <w:numId w:val="2"/>
        </w:numPr>
        <w:spacing w:after="100"/>
      </w:pPr>
      <w:r>
        <w:rPr>
          <w:sz w:val="22"/>
          <w:szCs w:val="22"/>
        </w:rPr>
        <w:t xml:space="preserve">Pilot implementation of HEIM-based equity reporting</w:t>
      </w:r>
    </w:p>
    <w:p>
      <w:pPr>
        <w:pStyle w:val="ListParagraph"/>
        <w:numPr>
          <w:ilvl w:val="0"/>
          <w:numId w:val="2"/>
        </w:numPr>
        <w:spacing w:after="100"/>
      </w:pPr>
      <w:r>
        <w:rPr>
          <w:sz w:val="22"/>
          <w:szCs w:val="22"/>
        </w:rPr>
        <w:t xml:space="preserve">Co-development of regional equity indices</w:t>
      </w:r>
    </w:p>
    <w:p>
      <w:pPr>
        <w:pStyle w:val="ListParagraph"/>
        <w:numPr>
          <w:ilvl w:val="0"/>
          <w:numId w:val="2"/>
        </w:numPr>
        <w:spacing w:after="100"/>
      </w:pPr>
      <w:r>
        <w:rPr>
          <w:sz w:val="22"/>
          <w:szCs w:val="22"/>
        </w:rPr>
        <w:t xml:space="preserve">Integration of HEIM metrics into funding evaluation frameworks</w:t>
      </w:r>
    </w:p>
    <w:p>
      <w:pPr>
        <w:pStyle w:val="ListParagraph"/>
        <w:numPr>
          <w:ilvl w:val="0"/>
          <w:numId w:val="2"/>
        </w:numPr>
        <w:spacing w:after="100"/>
      </w:pPr>
      <w:r>
        <w:rPr>
          <w:sz w:val="22"/>
          <w:szCs w:val="22"/>
        </w:rPr>
        <w:t xml:space="preserve">Collaborative research on equity measurement methodologies</w:t>
      </w:r>
    </w:p>
    <w:p>
      <w:pPr>
        <w:spacing w:after="200"/>
      </w:pPr>
      <w:r>
        <w:rPr>
          <w:sz w:val="22"/>
          <w:szCs w:val="22"/>
        </w:rPr>
        <w:t xml:space="preserve">Interested parties should contact the author to discuss potential collaborations.</w:t>
      </w:r>
    </w:p>
    <w:p>
      <w:r>
        <w:br w:type="page"/>
      </w:r>
    </w:p>
    <w:p>
      <w:pPr>
        <w:pStyle w:val="Heading1"/>
      </w:pPr>
      <w:r>
        <w:t xml:space="preserve">12. How to Cite</w:t>
      </w:r>
    </w:p>
    <w:p>
      <w:pPr>
        <w:spacing w:after="200"/>
      </w:pPr>
      <w:r>
        <w:rPr>
          <w:sz w:val="22"/>
          <w:szCs w:val="22"/>
        </w:rPr>
        <w:t xml:space="preserve">If you use data or findings from the HEIM Equity Index in your research, please cite: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F8F9F9" w:val="clear"/>
          </w:tcPr>
          <w:p>
            <w:pPr>
              <w:spacing w:before="150" w:after="150"/>
            </w:pPr>
            <w:r>
              <w:rPr>
                <w:sz w:val="22"/>
                <w:szCs w:val="22"/>
              </w:rPr>
              <w:t xml:space="preserve">Corpas, M. (2026). </w:t>
            </w:r>
            <w:r>
              <w:rPr>
                <w:i/>
                <w:iCs/>
                <w:sz w:val="22"/>
                <w:szCs w:val="22"/>
              </w:rPr>
              <w:t xml:space="preserve">HEIM Equity Index 2026: Health Equity Informative Metrics</w:t>
            </w:r>
            <w:r>
              <w:rPr>
                <w:sz w:val="22"/>
                <w:szCs w:val="22"/>
              </w:rPr>
              <w:t xml:space="preserve">. Version 1.0. DOI: 10.5281/zenodo.XXXXXXX</w:t>
            </w:r>
          </w:p>
        </w:tc>
      </w:tr>
    </w:tbl>
    <w:p>
      <w:pPr>
        <w:pStyle w:val="Heading2"/>
        <w:spacing w:before="400"/>
      </w:pPr>
      <w:r>
        <w:t xml:space="preserve">Data Access</w:t>
      </w:r>
    </w:p>
    <w:p>
      <w:pPr>
        <w:pStyle w:val="ListParagraph"/>
        <w:numPr>
          <w:ilvl w:val="0"/>
          <w:numId w:val="2"/>
        </w:numPr>
        <w:spacing w:after="100"/>
      </w:pPr>
      <w:r>
        <w:rPr>
          <w:b/>
          <w:bCs/>
          <w:sz w:val="22"/>
          <w:szCs w:val="22"/>
        </w:rPr>
        <w:t xml:space="preserve">HEIM Equity Tool (interactive dashboard): </w:t>
      </w:r>
      <w:r>
        <w:rPr>
          <w:sz w:val="22"/>
          <w:szCs w:val="22"/>
        </w:rPr>
        <w:t xml:space="preserve">https://manuelcorpas.github.io/17-EHR/</w:t>
      </w:r>
    </w:p>
    <w:p>
      <w:pPr>
        <w:pStyle w:val="ListParagraph"/>
        <w:numPr>
          <w:ilvl w:val="0"/>
          <w:numId w:val="2"/>
        </w:numPr>
        <w:spacing w:after="100"/>
      </w:pPr>
      <w:r>
        <w:rPr>
          <w:b/>
          <w:bCs/>
          <w:sz w:val="22"/>
          <w:szCs w:val="22"/>
        </w:rPr>
        <w:t xml:space="preserve">Raw Data (JSON): </w:t>
      </w:r>
      <w:r>
        <w:rPr>
          <w:sz w:val="22"/>
          <w:szCs w:val="22"/>
        </w:rPr>
        <w:t xml:space="preserve">Available via the HEIM Equity Tool or upon request</w:t>
      </w:r>
    </w:p>
    <w:p>
      <w:pPr>
        <w:pStyle w:val="ListParagraph"/>
        <w:numPr>
          <w:ilvl w:val="0"/>
          <w:numId w:val="2"/>
        </w:numPr>
        <w:spacing w:after="100"/>
      </w:pPr>
      <w:r>
        <w:rPr>
          <w:b/>
          <w:bCs/>
          <w:sz w:val="22"/>
          <w:szCs w:val="22"/>
        </w:rPr>
        <w:t xml:space="preserve">Supplementary Tables (CSV): </w:t>
      </w:r>
      <w:r>
        <w:rPr>
          <w:sz w:val="22"/>
          <w:szCs w:val="22"/>
        </w:rPr>
        <w:t xml:space="preserve">Included with DOI deposit</w:t>
      </w:r>
    </w:p>
    <w:p>
      <w:pPr>
        <w:pStyle w:val="Heading2"/>
      </w:pPr>
      <w:r>
        <w:t xml:space="preserve">Contact</w:t>
      </w:r>
    </w:p>
    <w:p>
      <w:pPr>
        <w:spacing w:after="200"/>
      </w:pPr>
      <w:r>
        <w:rPr>
          <w:sz w:val="22"/>
          <w:szCs w:val="22"/>
        </w:rPr>
        <w:t xml:space="preserve">Manuel Corpas, PhD</w:t>
      </w:r>
    </w:p>
    <w:p>
      <w:pPr>
        <w:spacing w:after="200"/>
      </w:pPr>
      <w:r>
        <w:rPr>
          <w:sz w:val="22"/>
          <w:szCs w:val="22"/>
        </w:rPr>
        <w:t xml:space="preserve">Email: mc@manuelcorpas.com</w:t>
      </w:r>
    </w:p>
    <w:p>
      <w:pPr>
        <w:spacing w:after="200"/>
      </w:pPr>
      <w:r>
        <w:rPr>
          <w:sz w:val="22"/>
          <w:szCs w:val="22"/>
        </w:rPr>
        <w:t xml:space="preserve">Web: https://manuelcorpas.com</w:t>
      </w:r>
    </w:p>
    <w:p>
      <w:pPr>
        <w:spacing w:after="200"/>
      </w:pPr>
      <w:r>
        <w:rPr>
          <w:sz w:val="22"/>
          <w:szCs w:val="22"/>
        </w:rPr>
        <w:t xml:space="preserve">ORCID: 0000-0002-5546-6767</w:t>
      </w:r>
    </w:p>
    <w:p>
      <w:pPr>
        <w:pStyle w:val="Heading2"/>
      </w:pPr>
      <w:r>
        <w:t xml:space="preserve">License</w:t>
      </w:r>
    </w:p>
    <w:p>
      <w:pPr>
        <w:spacing w:after="200"/>
      </w:pPr>
      <w:r>
        <w:rPr>
          <w:sz w:val="22"/>
          <w:szCs w:val="22"/>
        </w:rPr>
        <w:t xml:space="preserve">This report is released under Creative Commons Attribution 4.0 International (CC BY 4.0). You are free to share and adapt the material for any purpose, provided appropriate credit is given.</w:t>
      </w:r>
    </w:p>
    <w:p>
      <w:pPr>
        <w:pStyle w:val="Heading2"/>
      </w:pPr>
      <w:r>
        <w:t xml:space="preserve">Acknowledgments</w:t>
      </w:r>
    </w:p>
    <w:p>
      <w:pPr>
        <w:spacing w:after="200"/>
      </w:pPr>
      <w:r>
        <w:rPr>
          <w:sz w:val="22"/>
          <w:szCs w:val="22"/>
        </w:rPr>
        <w:t xml:space="preserve">This work was supported by The Alan Turing Institute and Cancer Research UK. The author acknowledges the contributions of the global biobank community and the Institute for Health Metrics and Evaluation for making disease burden data publicly available.</w:t>
      </w:r>
    </w:p>
    <w:p>
      <w:r>
        <w:br w:type="page"/>
      </w:r>
    </w:p>
    <w:p>
      <w:pPr>
        <w:pStyle w:val="Heading1"/>
      </w:pPr>
      <w:r>
        <w:t xml:space="preserve">Appendix A: Complete Biobank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800"/>
        <w:gridCol w:w="1000"/>
        <w:gridCol w:w="800"/>
        <w:gridCol w:w="800"/>
        <w:gridCol w:w="800"/>
        <w:gridCol w:w="760"/>
      </w:tblGrid>
      <w:tr>
        <w:trPr>
          <w:tblHeader/>
        </w:trPr>
        <w:tc>
          <w:tcPr>
            <w:tcW w:type="dxa" w:w="3000"/>
            <w:tcBorders>
              <w:top w:val="single" w:color="CCCCCC" w:sz="1"/>
              <w:left w:val="single" w:color="CCCCCC" w:sz="1"/>
              <w:bottom w:val="single" w:color="CCCCCC" w:sz="1"/>
              <w:right w:val="single" w:color="CCCCCC" w:sz="1"/>
            </w:tcBorders>
            <w:shd w:fill="1B4F72" w:val="clear"/>
          </w:tcPr>
          <w:p>
            <w:r>
              <w:rPr>
                <w:b/>
                <w:bCs/>
                <w:color w:val="FFFFFF"/>
                <w:sz w:val="16"/>
                <w:szCs w:val="16"/>
              </w:rPr>
              <w:t xml:space="preserve">Biobank</w:t>
            </w:r>
          </w:p>
        </w:tc>
        <w:tc>
          <w:tcPr>
            <w:tcW w:type="dxa" w:w="1400"/>
            <w:tcBorders>
              <w:top w:val="single" w:color="CCCCCC" w:sz="1"/>
              <w:left w:val="single" w:color="CCCCCC" w:sz="1"/>
              <w:bottom w:val="single" w:color="CCCCCC" w:sz="1"/>
              <w:right w:val="single" w:color="CCCCCC" w:sz="1"/>
            </w:tcBorders>
            <w:shd w:fill="1B4F72" w:val="clear"/>
          </w:tcPr>
          <w:p>
            <w:r>
              <w:rPr>
                <w:b/>
                <w:bCs/>
                <w:color w:val="FFFFFF"/>
                <w:sz w:val="16"/>
                <w:szCs w:val="16"/>
              </w:rPr>
              <w:t xml:space="preserve">Country</w:t>
            </w:r>
          </w:p>
        </w:tc>
        <w:tc>
          <w:tcPr>
            <w:tcW w:type="dxa" w:w="8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Rgn</w:t>
            </w:r>
          </w:p>
        </w:tc>
        <w:tc>
          <w:tcPr>
            <w:tcW w:type="dxa" w:w="10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Pubs</w:t>
            </w:r>
          </w:p>
        </w:tc>
        <w:tc>
          <w:tcPr>
            <w:tcW w:type="dxa" w:w="8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Dis</w:t>
            </w:r>
          </w:p>
        </w:tc>
        <w:tc>
          <w:tcPr>
            <w:tcW w:type="dxa" w:w="8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EAS</w:t>
            </w:r>
          </w:p>
        </w:tc>
        <w:tc>
          <w:tcPr>
            <w:tcW w:type="dxa" w:w="8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ROS</w:t>
            </w:r>
          </w:p>
        </w:tc>
        <w:tc>
          <w:tcPr>
            <w:tcW w:type="dxa" w:w="76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GS</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eMERGE Network</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United Sta</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47,755</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177</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98.3</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199</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UK Biobank</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United Kin</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13,341</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163</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84.9</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2117</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deCODE Genetics</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Iceland</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5,604</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154</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69.4</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2493</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FinnGen</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Finland</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2,683</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144</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60.3</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3259</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HUNT Study</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Norway</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1,152</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116</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48.2</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5449</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LifeLines</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Netherland</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730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119</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46.4</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5398</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All of Us Research Program</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United Sta</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613</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118</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42.0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6216</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BioBank Japan</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Japan</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WPR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271</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108</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40.2</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5803</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Million Veteran Program</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United Sta</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327</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99</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38.9</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7072</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China Kadoorie Biobank</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China</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WPR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516</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109</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38.7</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6862</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Swedish Twin Registry</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Sweden</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289</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95</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37.4</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6601</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BioVU</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United Sta</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155</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110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36.7</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7601</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Taiwan Biobank</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Taiwan</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WPR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482</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94</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35.3</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6699</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CONSTANCES</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France</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222</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83</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34.3</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7552</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Geisinger MyCode</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United Sta</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96</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93</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28.6</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8449</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Mass General Brigham Bioba</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United Sta</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92</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84</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24.0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9903</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TOPMed</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United Sta</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196</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61</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24.0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9495</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Generation Scotland</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United Kin</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161</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68</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23.4</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9979</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German National Cohort (NA</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Germany</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138</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72</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21.2</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10350</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Estonian Biobank</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Estonia</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116</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71</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18.6</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10440</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Qatar Biobank</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Qatar</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EMR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174</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72</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17.4</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10517</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H3Africa</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Pan-Africa</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AFR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139</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43</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16.8</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10314</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Mexico City Prospective St</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Mexico</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29</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13.2</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10859</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AWI-Gen</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Pan-Africa</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AFR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31</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11.0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10598</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Danish National Biobank</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Denmark</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EUR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23</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6.5</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11362</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w:t>
            </w:r>
          </w:p>
        </w:tc>
      </w:tr>
      <w:tr>
        <w:tc>
          <w:tcPr>
            <w:tcW w:type="dxa" w:w="3000"/>
            <w:tcBorders>
              <w:top w:val="single" w:color="CCCCCC" w:sz="1"/>
              <w:left w:val="single" w:color="CCCCCC" w:sz="1"/>
              <w:bottom w:val="single" w:color="CCCCCC" w:sz="1"/>
              <w:right w:val="single" w:color="CCCCCC" w:sz="1"/>
            </w:tcBorders>
            <w:shd w:fill="EBF5FB" w:val="clear"/>
          </w:tcPr>
          <w:p>
            <w:r>
              <w:rPr>
                <w:sz w:val="14"/>
                <w:szCs w:val="14"/>
              </w:rPr>
              <w:t xml:space="preserve">Uganda Genome Resource</w:t>
            </w:r>
          </w:p>
        </w:tc>
        <w:tc>
          <w:tcPr>
            <w:tcW w:type="dxa" w:w="1400"/>
            <w:tcBorders>
              <w:top w:val="single" w:color="CCCCCC" w:sz="1"/>
              <w:left w:val="single" w:color="CCCCCC" w:sz="1"/>
              <w:bottom w:val="single" w:color="CCCCCC" w:sz="1"/>
              <w:right w:val="single" w:color="CCCCCC" w:sz="1"/>
            </w:tcBorders>
            <w:shd w:fill="EBF5FB" w:val="clear"/>
          </w:tcPr>
          <w:p>
            <w:r>
              <w:rPr>
                <w:sz w:val="14"/>
                <w:szCs w:val="14"/>
              </w:rPr>
              <w:t xml:space="preserve">Uganda</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AFR</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13</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2.7</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11445</w:t>
            </w:r>
          </w:p>
        </w:tc>
        <w:tc>
          <w:tcPr>
            <w:tcW w:type="dxa" w:w="7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w:t>
            </w:r>
          </w:p>
        </w:tc>
      </w:tr>
      <w:tr>
        <w:tc>
          <w:tcPr>
            <w:tcW w:type="dxa" w:w="3000"/>
            <w:tcBorders>
              <w:top w:val="single" w:color="CCCCCC" w:sz="1"/>
              <w:left w:val="single" w:color="CCCCCC" w:sz="1"/>
              <w:bottom w:val="single" w:color="CCCCCC" w:sz="1"/>
              <w:right w:val="single" w:color="CCCCCC" w:sz="1"/>
            </w:tcBorders>
            <w:shd w:fill="FFFFFF" w:val="clear"/>
          </w:tcPr>
          <w:p>
            <w:r>
              <w:rPr>
                <w:sz w:val="14"/>
                <w:szCs w:val="14"/>
              </w:rPr>
              <w:t xml:space="preserve">EPIGEN-Brazil</w:t>
            </w:r>
          </w:p>
        </w:tc>
        <w:tc>
          <w:tcPr>
            <w:tcW w:type="dxa" w:w="1400"/>
            <w:tcBorders>
              <w:top w:val="single" w:color="CCCCCC" w:sz="1"/>
              <w:left w:val="single" w:color="CCCCCC" w:sz="1"/>
              <w:bottom w:val="single" w:color="CCCCCC" w:sz="1"/>
              <w:right w:val="single" w:color="CCCCCC" w:sz="1"/>
            </w:tcBorders>
            <w:shd w:fill="FFFFFF" w:val="clear"/>
          </w:tcPr>
          <w:p>
            <w:r>
              <w:rPr>
                <w:sz w:val="14"/>
                <w:szCs w:val="14"/>
              </w:rPr>
              <w:t xml:space="preserve">Brazil</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AMR</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0.2</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11590</w:t>
            </w:r>
          </w:p>
        </w:tc>
        <w:tc>
          <w:tcPr>
            <w:tcW w:type="dxa" w:w="7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w:t>
            </w:r>
          </w:p>
        </w:tc>
      </w:tr>
    </w:tbl>
    <w:p>
      <w:pPr>
        <w:spacing w:before="100" w:after="200"/>
      </w:pPr>
      <w:r>
        <w:rPr>
          <w:sz w:val="22"/>
          <w:szCs w:val="22"/>
        </w:rPr>
        <w:t xml:space="preserve">Rgn = WHO Region; Dis = Diseases Covered; EAS = Equity Alignment Score; ROS = Research Opportunity Score; GS = Global South</w:t>
      </w:r>
    </w:p>
    <w:p>
      <w:r>
        <w:br w:type="page"/>
      </w:r>
    </w:p>
    <w:p>
      <w:pPr>
        <w:pStyle w:val="Heading1"/>
      </w:pPr>
      <w:r>
        <w:t xml:space="preserve">Appendix B: Top 50 Diseases by Gap 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000"/>
        <w:gridCol w:w="800"/>
        <w:gridCol w:w="1160"/>
      </w:tblGrid>
      <w:tr>
        <w:trPr>
          <w:tblHeader/>
        </w:trPr>
        <w:tc>
          <w:tcPr>
            <w:tcW w:type="dxa" w:w="4000"/>
            <w:tcBorders>
              <w:top w:val="single" w:color="CCCCCC" w:sz="1"/>
              <w:left w:val="single" w:color="CCCCCC" w:sz="1"/>
              <w:bottom w:val="single" w:color="CCCCCC" w:sz="1"/>
              <w:right w:val="single" w:color="CCCCCC" w:sz="1"/>
            </w:tcBorders>
            <w:shd w:fill="1B4F72" w:val="clear"/>
          </w:tcPr>
          <w:p>
            <w:r>
              <w:rPr>
                <w:b/>
                <w:bCs/>
                <w:color w:val="FFFFFF"/>
                <w:sz w:val="16"/>
                <w:szCs w:val="16"/>
              </w:rPr>
              <w:t xml:space="preserve">Disease</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DALYs (M)</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Pubs</w:t>
            </w:r>
          </w:p>
        </w:tc>
        <w:tc>
          <w:tcPr>
            <w:tcW w:type="dxa" w:w="10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Gap</w:t>
            </w:r>
          </w:p>
        </w:tc>
        <w:tc>
          <w:tcPr>
            <w:tcW w:type="dxa" w:w="80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Sev</w:t>
            </w:r>
          </w:p>
        </w:tc>
        <w:tc>
          <w:tcPr>
            <w:tcW w:type="dxa" w:w="1160"/>
            <w:tcBorders>
              <w:top w:val="single" w:color="CCCCCC" w:sz="1"/>
              <w:left w:val="single" w:color="CCCCCC" w:sz="1"/>
              <w:bottom w:val="single" w:color="CCCCCC" w:sz="1"/>
              <w:right w:val="single" w:color="CCCCCC" w:sz="1"/>
            </w:tcBorders>
            <w:shd w:fill="1B4F72" w:val="clear"/>
          </w:tcPr>
          <w:p>
            <w:pPr>
              <w:jc w:val="center"/>
            </w:pPr>
            <w:r>
              <w:rPr>
                <w:b/>
                <w:bCs/>
                <w:color w:val="FFFFFF"/>
                <w:sz w:val="16"/>
                <w:szCs w:val="16"/>
              </w:rPr>
              <w:t xml:space="preserve">GS Prior</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Drowning</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15.7</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0</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95</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Crit</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Iodine deficiency</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10</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92</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Crit</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Viral skin diseases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4.2</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85</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Crit</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Cysticercosis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1.2</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Crit</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Paralytic ileus and intestinal obst</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6.7</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80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Crit</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Scabies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Crit</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Tetanus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1.3</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70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Pertussis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4.6</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18</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70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Road injuries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65.1</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108</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70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Animal contact</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4.9</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12</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70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Vitamin A deficiency</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67</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65</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Upper respiratory infections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5.7</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87</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Otitis media</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2.5</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93</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Tuberculosis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47.0</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170</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Diarrheal diseases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59.0</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251</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Typhoid and paratyphoid</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8.1</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65</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Malaria</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55.2</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173</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Lymphatic filariasis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Measles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4.9</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25</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Urticaria</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4.0</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12</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Low back pain</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70.2</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307</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Falls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43.8</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177</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Foreign body</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5.7</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16</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High</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Lower respiratory infections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82.5</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723</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COVID-19</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212.0</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1,983</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Dengue</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2.1</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47</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Schistosomiasis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1.8</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27</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Diphtheria</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0.3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Protein-energy malnutrition</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11.8</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118</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Dietary iron deficiency</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32.3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174</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Ischemic heart disease</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188.4</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1,849</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Chronic obstructive pulmonary disea</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79.8</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418</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Appendicitis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1.3</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9</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Inguinal, femoral, and abdominal he</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20</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Headache disorders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48.0</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278</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Acne vulgaris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5.1</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26</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Age-related and other hearing loss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44.5</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340</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Congenital birth defects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52.3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427</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Hemoglobinopathies and hemolytic an</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11.9</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80</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Fire, heat, and hot substances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8.5</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60</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Self-harm</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33.5</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333</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Conflict and terrorism</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8.7</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51</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HIV/AIDS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40.3</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684</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Onchocerciasis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1.3</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39</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Cystic echinococcosis</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0.1</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Encephalitis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5.0</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55</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Varicella and herpes zoster</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0.9</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17</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Neonatal disorders</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186.4</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1,917</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Yes</w:t>
            </w:r>
          </w:p>
        </w:tc>
      </w:tr>
      <w:tr>
        <w:tc>
          <w:tcPr>
            <w:tcW w:type="dxa" w:w="4000"/>
            <w:tcBorders>
              <w:top w:val="single" w:color="CCCCCC" w:sz="1"/>
              <w:left w:val="single" w:color="CCCCCC" w:sz="1"/>
              <w:bottom w:val="single" w:color="CCCCCC" w:sz="1"/>
              <w:right w:val="single" w:color="CCCCCC" w:sz="1"/>
            </w:tcBorders>
            <w:shd w:fill="FFFFFF" w:val="clear"/>
          </w:tcPr>
          <w:p>
            <w:r>
              <w:rPr>
                <w:sz w:val="14"/>
                <w:szCs w:val="14"/>
              </w:rPr>
              <w:t xml:space="preserve">Non-Hodgkin lymphoma</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7.8</w:t>
            </w:r>
          </w:p>
        </w:tc>
        <w:tc>
          <w:tcPr>
            <w:tcW w:type="dxa" w:w="12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87</w:t>
            </w:r>
          </w:p>
        </w:tc>
        <w:tc>
          <w:tcPr>
            <w:tcW w:type="dxa" w:w="10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FFFFFF" w:val="clear"/>
          </w:tcPr>
          <w:p>
            <w:pPr>
              <w:jc w:val="center"/>
            </w:pPr>
            <w:r>
              <w:rPr>
                <w:sz w:val="14"/>
                <w:szCs w:val="14"/>
              </w:rPr>
              <w:t xml:space="preserve">No</w:t>
            </w:r>
          </w:p>
        </w:tc>
      </w:tr>
      <w:tr>
        <w:tc>
          <w:tcPr>
            <w:tcW w:type="dxa" w:w="4000"/>
            <w:tcBorders>
              <w:top w:val="single" w:color="CCCCCC" w:sz="1"/>
              <w:left w:val="single" w:color="CCCCCC" w:sz="1"/>
              <w:bottom w:val="single" w:color="CCCCCC" w:sz="1"/>
              <w:right w:val="single" w:color="CCCCCC" w:sz="1"/>
            </w:tcBorders>
            <w:shd w:fill="EBF5FB" w:val="clear"/>
          </w:tcPr>
          <w:p>
            <w:r>
              <w:rPr>
                <w:sz w:val="14"/>
                <w:szCs w:val="14"/>
              </w:rPr>
              <w:t xml:space="preserve">Leukemia</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11.0</w:t>
            </w:r>
          </w:p>
        </w:tc>
        <w:tc>
          <w:tcPr>
            <w:tcW w:type="dxa" w:w="12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238</w:t>
            </w:r>
          </w:p>
        </w:tc>
        <w:tc>
          <w:tcPr>
            <w:tcW w:type="dxa" w:w="10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40</w:t>
            </w:r>
          </w:p>
        </w:tc>
        <w:tc>
          <w:tcPr>
            <w:tcW w:type="dxa" w:w="80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Mode</w:t>
            </w:r>
          </w:p>
        </w:tc>
        <w:tc>
          <w:tcPr>
            <w:tcW w:type="dxa" w:w="1160"/>
            <w:tcBorders>
              <w:top w:val="single" w:color="CCCCCC" w:sz="1"/>
              <w:left w:val="single" w:color="CCCCCC" w:sz="1"/>
              <w:bottom w:val="single" w:color="CCCCCC" w:sz="1"/>
              <w:right w:val="single" w:color="CCCCCC" w:sz="1"/>
            </w:tcBorders>
            <w:shd w:fill="EBF5FB" w:val="clear"/>
          </w:tcPr>
          <w:p>
            <w:pPr>
              <w:jc w:val="center"/>
            </w:pPr>
            <w:r>
              <w:rPr>
                <w:sz w:val="14"/>
                <w:szCs w:val="14"/>
              </w:rPr>
              <w:t xml:space="preserve">No</w:t>
            </w:r>
          </w:p>
        </w:tc>
      </w:tr>
    </w:tbl>
    <w:p>
      <w:r>
        <w:br w:type="page"/>
      </w:r>
    </w:p>
    <w:p>
      <w:pPr>
        <w:pStyle w:val="Heading1"/>
      </w:pPr>
      <w:r>
        <w:t xml:space="preserve">Appendix C: Glossary</w:t>
      </w:r>
    </w:p>
    <w:p>
      <w:pPr>
        <w:spacing w:after="200"/>
      </w:pPr>
      <w:r>
        <w:rPr>
          <w:b/>
          <w:bCs/>
          <w:sz w:val="22"/>
          <w:szCs w:val="22"/>
        </w:rPr>
        <w:t xml:space="preserve">DALY (Disability-Adjusted Life Year): </w:t>
      </w:r>
      <w:r>
        <w:rPr>
          <w:sz w:val="22"/>
          <w:szCs w:val="22"/>
        </w:rPr>
        <w:t xml:space="preserve">A measure of disease burden combining years of life lost due to premature death and years lived with disability.</w:t>
      </w:r>
    </w:p>
    <w:p>
      <w:pPr>
        <w:spacing w:after="200"/>
      </w:pPr>
      <w:r>
        <w:rPr>
          <w:b/>
          <w:bCs/>
          <w:sz w:val="22"/>
          <w:szCs w:val="22"/>
        </w:rPr>
        <w:t xml:space="preserve">EAS (Equity Alignment Score): </w:t>
      </w:r>
      <w:r>
        <w:rPr>
          <w:sz w:val="22"/>
          <w:szCs w:val="22"/>
        </w:rPr>
        <w:t xml:space="preserve">A composite metric (0-100) measuring how well a biobank's research portfolio aligns with global disease burden.</w:t>
      </w:r>
    </w:p>
    <w:p>
      <w:pPr>
        <w:spacing w:after="200"/>
      </w:pPr>
      <w:r>
        <w:rPr>
          <w:b/>
          <w:bCs/>
          <w:sz w:val="22"/>
          <w:szCs w:val="22"/>
        </w:rPr>
        <w:t xml:space="preserve">Gap Score: </w:t>
      </w:r>
      <w:r>
        <w:rPr>
          <w:sz w:val="22"/>
          <w:szCs w:val="22"/>
        </w:rPr>
        <w:t xml:space="preserve">A measure of the mismatch between disease burden and research attention (0-100, higher = larger gap).</w:t>
      </w:r>
    </w:p>
    <w:p>
      <w:pPr>
        <w:spacing w:after="200"/>
      </w:pPr>
      <w:r>
        <w:rPr>
          <w:b/>
          <w:bCs/>
          <w:sz w:val="22"/>
          <w:szCs w:val="22"/>
        </w:rPr>
        <w:t xml:space="preserve">GBD (Global Burden of Disease): </w:t>
      </w:r>
      <w:r>
        <w:rPr>
          <w:sz w:val="22"/>
          <w:szCs w:val="22"/>
        </w:rPr>
        <w:t xml:space="preserve">A comprehensive study by IHME quantifying health loss from diseases, injuries, and risk factors worldwide.</w:t>
      </w:r>
    </w:p>
    <w:p>
      <w:pPr>
        <w:spacing w:after="200"/>
      </w:pPr>
      <w:r>
        <w:rPr>
          <w:b/>
          <w:bCs/>
          <w:sz w:val="22"/>
          <w:szCs w:val="22"/>
        </w:rPr>
        <w:t xml:space="preserve">Global South: </w:t>
      </w:r>
      <w:r>
        <w:rPr>
          <w:sz w:val="22"/>
          <w:szCs w:val="22"/>
        </w:rPr>
        <w:t xml:space="preserve">Countries in Africa, Latin America, the Caribbean, Asia (excluding Japan, South Korea, and Taiwan), and Oceania (excluding Australia and New Zealand).</w:t>
      </w:r>
    </w:p>
    <w:p>
      <w:pPr>
        <w:spacing w:after="200"/>
      </w:pPr>
      <w:r>
        <w:rPr>
          <w:b/>
          <w:bCs/>
          <w:sz w:val="22"/>
          <w:szCs w:val="22"/>
        </w:rPr>
        <w:t xml:space="preserve">GWAS (Genome-Wide Association Study): </w:t>
      </w:r>
      <w:r>
        <w:rPr>
          <w:sz w:val="22"/>
          <w:szCs w:val="22"/>
        </w:rPr>
        <w:t xml:space="preserve">A study examining genetic variants across the genome to identify associations with traits or diseases.</w:t>
      </w:r>
    </w:p>
    <w:p>
      <w:pPr>
        <w:spacing w:after="200"/>
      </w:pPr>
      <w:r>
        <w:rPr>
          <w:b/>
          <w:bCs/>
          <w:sz w:val="22"/>
          <w:szCs w:val="22"/>
        </w:rPr>
        <w:t xml:space="preserve">HEIM (Health Equity Informative Metrics): </w:t>
      </w:r>
      <w:r>
        <w:rPr>
          <w:sz w:val="22"/>
          <w:szCs w:val="22"/>
        </w:rPr>
        <w:t xml:space="preserve">A framework for measuring equity in biobank research by comparing research output to global disease burden.</w:t>
      </w:r>
    </w:p>
    <w:p>
      <w:pPr>
        <w:spacing w:after="200"/>
      </w:pPr>
      <w:r>
        <w:rPr>
          <w:b/>
          <w:bCs/>
          <w:sz w:val="22"/>
          <w:szCs w:val="22"/>
        </w:rPr>
        <w:t xml:space="preserve">HIC (High-Income Country): </w:t>
      </w:r>
      <w:r>
        <w:rPr>
          <w:sz w:val="22"/>
          <w:szCs w:val="22"/>
        </w:rPr>
        <w:t xml:space="preserve">Countries classified by the World Bank as having GNI per capita of $13,846 or more (2023 threshold).</w:t>
      </w:r>
    </w:p>
    <w:p>
      <w:pPr>
        <w:spacing w:after="200"/>
      </w:pPr>
      <w:r>
        <w:rPr>
          <w:b/>
          <w:bCs/>
          <w:sz w:val="22"/>
          <w:szCs w:val="22"/>
        </w:rPr>
        <w:t xml:space="preserve">LMIC (Low- and Middle-Income Country): </w:t>
      </w:r>
      <w:r>
        <w:rPr>
          <w:sz w:val="22"/>
          <w:szCs w:val="22"/>
        </w:rPr>
        <w:t xml:space="preserve">Countries classified by the World Bank as having GNI per capita below $13,846 (2023 threshold).</w:t>
      </w:r>
    </w:p>
    <w:p>
      <w:pPr>
        <w:spacing w:after="200"/>
      </w:pPr>
      <w:r>
        <w:rPr>
          <w:b/>
          <w:bCs/>
          <w:sz w:val="22"/>
          <w:szCs w:val="22"/>
        </w:rPr>
        <w:t xml:space="preserve">MeSH (Medical Subject Headings): </w:t>
      </w:r>
      <w:r>
        <w:rPr>
          <w:sz w:val="22"/>
          <w:szCs w:val="22"/>
        </w:rPr>
        <w:t xml:space="preserve">A controlled vocabulary used for indexing articles in PubMed.</w:t>
      </w:r>
    </w:p>
    <w:p>
      <w:pPr>
        <w:spacing w:after="200"/>
      </w:pPr>
      <w:r>
        <w:rPr>
          <w:b/>
          <w:bCs/>
          <w:sz w:val="22"/>
          <w:szCs w:val="22"/>
        </w:rPr>
        <w:t xml:space="preserve">PRS (Polygenic Risk Score): </w:t>
      </w:r>
      <w:r>
        <w:rPr>
          <w:sz w:val="22"/>
          <w:szCs w:val="22"/>
        </w:rPr>
        <w:t xml:space="preserve">A numerical score estimating an individual's genetic predisposition to a trait or disease based on multiple genetic variants.</w:t>
      </w:r>
    </w:p>
    <w:p>
      <w:pPr>
        <w:spacing w:after="200"/>
      </w:pPr>
      <w:r>
        <w:rPr>
          <w:b/>
          <w:bCs/>
          <w:sz w:val="22"/>
          <w:szCs w:val="22"/>
        </w:rPr>
        <w:t xml:space="preserve">ROS (Research Opportunity Score): </w:t>
      </w:r>
      <w:r>
        <w:rPr>
          <w:sz w:val="22"/>
          <w:szCs w:val="22"/>
        </w:rPr>
        <w:t xml:space="preserve">A metric identifying biobanks with the greatest unrealised research potential based on aggregated gap scores.</w:t>
      </w:r>
    </w:p>
    <w:p>
      <w:pPr>
        <w:spacing w:after="200"/>
      </w:pPr>
      <w:r>
        <w:rPr>
          <w:b/>
          <w:bCs/>
          <w:sz w:val="22"/>
          <w:szCs w:val="22"/>
        </w:rPr>
        <w:t xml:space="preserve">WHO Region: </w:t>
      </w:r>
      <w:r>
        <w:rPr>
          <w:sz w:val="22"/>
          <w:szCs w:val="22"/>
        </w:rPr>
        <w:t xml:space="preserve">Geographic groupings defined by the World Health Organization: AFR (Africa), AMR (Americas), EMR (Eastern Mediterranean), EUR (Europe), SEAR (South-East Asia), WPR (Western Pacific).</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573"/>
        <w:sz w:val="18"/>
        <w:szCs w:val="18"/>
      </w:rPr>
      <w:t xml:space="preserve">Page </w:t>
    </w:r>
    <w:r>
      <w:rPr>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66573"/>
        <w:sz w:val="18"/>
        <w:szCs w:val="18"/>
      </w:rPr>
      <w:t xml:space="preserve">HEIM Equity Index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1B4F72"/>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4F72"/>
      <w:sz w:val="24"/>
      <w:szCs w:val="24"/>
    </w:rPr>
  </w:style>
  <w:style w:type="paragraph" w:styleId="Subtitle">
    <w:name w:val="Subtitle"/>
    <w:basedOn w:val="Normal"/>
    <w:pPr>
      <w:spacing w:after="200"/>
      <w:jc w:val="center"/>
    </w:pPr>
    <w:rPr>
      <w:rFonts w:ascii="Arial" w:cs="Arial" w:eastAsia="Arial" w:hAnsi="Arial"/>
      <w:i/>
      <w:iCs/>
      <w:color w:val="56657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2026-01-03T07:50:43.714Z</dcterms:created>
  <dcterms:modified xsi:type="dcterms:W3CDTF">2026-01-03T07:50:43.714Z</dcterms:modified>
</cp:coreProperties>
</file>

<file path=docProps/custom.xml><?xml version="1.0" encoding="utf-8"?>
<Properties xmlns="http://schemas.openxmlformats.org/officeDocument/2006/custom-properties" xmlns:vt="http://schemas.openxmlformats.org/officeDocument/2006/docPropsVTypes"/>
</file>