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Supplementary Table – Cluster Descriptions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Cluster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# Rows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Top 5 ICD-10 Codes (frequency)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Dominant Semantic Terms (top 5)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F0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869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(310)</w:t>
              <w:br/>
              <w:t>2. F1210 (113)</w:t>
              <w:br/>
              <w:t>3. F603 (74)</w:t>
              <w:br/>
              <w:t>4. F17200 (45)</w:t>
              <w:br/>
              <w:t>5. F1290 (42)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nicotine_dependence,_cigarettes,_uncomplicated</w:t>
              <w:br/>
              <w:t>• cannabis_abuse,_uncomplicated</w:t>
              <w:br/>
              <w:t>• borderline_personality_disorder</w:t>
              <w:br/>
              <w:t>• personality_disorder,_unspecified</w:t>
              <w:br/>
              <w:t>• conduct_disorder,_unspecified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F1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742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(425)</w:t>
              <w:br/>
              <w:t>2. F17200 (127)</w:t>
              <w:br/>
              <w:t>3. F1210 (53)</w:t>
              <w:br/>
              <w:t>4. K3580 (52)</w:t>
              <w:br/>
              <w:t>5. J3501 (34)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nicotine_dependence,_cigarettes,_uncomplicated</w:t>
              <w:br/>
              <w:t>• nicotine_dependence,_unspecified,_uncomplicated</w:t>
              <w:br/>
              <w:t>• unspecified_acute_appendicitis</w:t>
              <w:br/>
              <w:t>• chronic_tonsillitis</w:t>
              <w:br/>
              <w:t>• cannabis_abuse,_uncomplicated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F2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713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(158)</w:t>
              <w:br/>
              <w:t>2. O99334 (119)</w:t>
              <w:br/>
              <w:t>3. F1210 (69)</w:t>
              <w:br/>
              <w:t>4. Z370 (65)</w:t>
              <w:br/>
              <w:t>5. F603 (38)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smoking_(tobacco)_complicating_childbirth</w:t>
              <w:br/>
              <w:t>• nicotine_dependence,_cigarettes,_uncomplicated</w:t>
              <w:br/>
              <w:t>• single_live_birth</w:t>
              <w:br/>
              <w:t>• cannabis_abuse,_uncomplicated</w:t>
              <w:br/>
              <w:t>• post-term_pregnancy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