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Oracle Java 1.8.0_171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14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2020-04-13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Sara Framdlich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MWM (M.W.M 229 DIESEL ASP/NOR*4CIL* 102mm)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43"/>
        <w:gridCol w:w="1348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$9.0</w:t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$68.0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$78.0</w:t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$78.0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$678.0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$67890.0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$78.0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$23.0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Balancear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$345.0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Limpieza y colocación de tapones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eje de mando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$789.0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$876.0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$43.0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$576.0</w:t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$234.0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$3450.0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tapones de block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$34.0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Árbol de levas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$60.0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$68.0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tornillos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Retenes de guía de válvulas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$657.0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Brazo de biela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$798.0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Tapa de cilindros 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Juego de cojinetes de compresor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$7.0</w:t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$234.0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Juego de juntas para camisas 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Proceso tecnifer cigüeñal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$345.0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>
        <w:trPr>
          <w:trHeight w:val="277"/>
        </w:trPr>
        <w:tc>
          <w:tcPr>
            <w:tcW w:w="411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$77982.56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$80320.0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$77982.56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43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48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$158302.56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814F2F" w:rsidP="006E42B7" w:rsidRDefault="00814F2F">
      <w:pPr>
        <w:spacing w:after="0" w:line="240" w:lineRule="auto"/>
      </w:pPr>
      <w:r>
        <w:separator/>
      </w:r>
    </w:p>
  </w:endnote>
  <w:endnote w:type="continuationSeparator" w:id="0">
    <w:p w:rsidR="00814F2F" w:rsidP="006E42B7" w:rsidRDefault="0081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814F2F" w:rsidP="006E42B7" w:rsidRDefault="00814F2F">
      <w:pPr>
        <w:spacing w:after="0" w:line="240" w:lineRule="auto"/>
      </w:pPr>
      <w:r>
        <w:separator/>
      </w:r>
    </w:p>
  </w:footnote>
  <w:footnote w:type="continuationSeparator" w:id="0">
    <w:p w:rsidR="00814F2F" w:rsidP="006E42B7" w:rsidRDefault="00814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11428C"/>
    <w:rsid w:val="00132283"/>
    <w:rsid w:val="00196D7B"/>
    <w:rsid w:val="001B22B3"/>
    <w:rsid w:val="001D5660"/>
    <w:rsid w:val="00203782"/>
    <w:rsid w:val="00282445"/>
    <w:rsid w:val="00291A5E"/>
    <w:rsid w:val="003D0F72"/>
    <w:rsid w:val="003D1D59"/>
    <w:rsid w:val="00407983"/>
    <w:rsid w:val="004414C2"/>
    <w:rsid w:val="004E2ADF"/>
    <w:rsid w:val="0052590C"/>
    <w:rsid w:val="00590F3B"/>
    <w:rsid w:val="005C48C8"/>
    <w:rsid w:val="00667B18"/>
    <w:rsid w:val="006E42B7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963AC"/>
    <w:rsid w:val="008D61A3"/>
    <w:rsid w:val="00934D32"/>
    <w:rsid w:val="009D16CB"/>
    <w:rsid w:val="009E66A3"/>
    <w:rsid w:val="00A04E10"/>
    <w:rsid w:val="00A05E65"/>
    <w:rsid w:val="00A11493"/>
    <w:rsid w:val="00A16FF8"/>
    <w:rsid w:val="00A56C55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A54CF"/>
    <w:rsid w:val="00EB273E"/>
    <w:rsid w:val="00EC6B16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2A93A9B"/>
  <w15:docId w15:val="{BB775E98-3012-4AFF-9FFB-858C4FD1B1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337</properties:Words>
  <properties:Characters>1924</properties:Characters>
  <properties:Lines>16</properties:Lines>
  <properties:Paragraphs>4</properties:Paragraphs>
  <properties:TotalTime>71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2257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2020-04-21T21:57:00Z</dcterms:modified>
  <cp:revision>49</cp:revision>
  <dc:subject/>
  <dc:title/>
</cp:coreProperties>
</file>