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Default Extension="xml" ContentType="application/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notes+xml" PartName="/word/footnotes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body>
    <!-- Modified by docx4j 6.1.2 (Apache licensed) using REFERENCE JAXB in AdoptOpenJDK Java 11.0.8 on Mac OS X -->
    <w:p>
      <w:pPr>
        <w:pStyle w:val="Title"/>
        <w:jc w:val="center"/>
        <w:rPr>
          <w:rFonts w:eastAsia="Carlito"/>
        </w:rPr>
      </w:pPr>
      <w:r>
        <w:rPr>
          <w:rFonts w:eastAsia="Carlito"/>
        </w:rPr>
        <w:t>SOLDIMET</w:t>
      </w:r>
    </w:p>
    <w:p>
      <w:pPr>
        <w:pStyle w:val="Subtitle"/>
        <w:jc w:val="center"/>
        <w:rPr>
          <w:rFonts w:eastAsia="Carlito"/>
        </w:rPr>
      </w:pPr>
      <w:r>
        <w:rPr>
          <w:rFonts w:eastAsia="Carlito"/>
        </w:rPr>
        <w:t>Soldadura – Rectificación de motores</w:t>
      </w:r>
    </w:p>
    <w:p>
      <w:pPr>
        <w:widowControl w:val="false"/>
        <w:autoSpaceDE w:val="false"/>
        <w:autoSpaceDN w:val="false"/>
        <w:spacing w:before="154" w:after="0" w:line="273" w:lineRule="auto"/>
        <w:ind w:right="-24"/>
        <w:rPr>
          <w:rFonts w:ascii="Carlito" w:hAnsi="Carlito" w:eastAsia="Carlito" w:cs="Carlito"/>
          <w:b/>
          <w:sz w:val="20"/>
          <w:szCs w:val="20"/>
        </w:rPr>
      </w:pPr>
      <w:r>
        <w:rPr>
          <w:rFonts w:ascii="Carlito" w:hAnsi="Carlito" w:eastAsia="Carlito" w:cs="Carlito"/>
          <w:b/>
          <w:sz w:val="20"/>
          <w:szCs w:val="20"/>
        </w:rPr>
        <w:t xml:space="preserve">Carril Godoy Cruz 2135 Guaymallen - Mza tel. 0261-4899458</w:t>
        <w:tab/>
        <w:tab/>
        <w:tab/>
        <w:tab/>
      </w:r>
      <w:r>
        <w:rPr>
          <w:b/>
          <w:sz w:val="19"/>
        </w:rPr>
        <w:t xml:space="preserve">Presupuesto: </w:t>
      </w:r>
      <w:r>
        <w:rPr>
          <w:rFonts w:ascii="Consolas" w:hAnsi="Consolas" w:cs="Consolas"/>
          <w:color w:val="24292E"/>
          <w:sz w:val="20"/>
          <w:szCs w:val="20"/>
        </w:rPr>
        <w:t>65</w:t>
        <w:tab/>
      </w:r>
    </w:p>
    <w:p>
      <w:pPr>
        <w:widowControl w:val="false"/>
        <w:autoSpaceDE w:val="false"/>
        <w:autoSpaceDN w:val="false"/>
        <w:spacing w:after="0" w:line="210" w:lineRule="exact"/>
        <w:rPr>
          <w:rFonts w:ascii="Carlito" w:hAnsi="Carlito" w:eastAsia="Carlito" w:cs="Carlito"/>
          <w:b/>
          <w:sz w:val="20"/>
          <w:szCs w:val="20"/>
        </w:rPr>
      </w:pPr>
      <w:r>
        <w:rPr>
          <w:rFonts w:ascii="Carlito" w:hAnsi="Carlito" w:eastAsia="Carlito" w:cs="Carlito"/>
          <w:b/>
          <w:sz w:val="20"/>
          <w:szCs w:val="20"/>
        </w:rPr>
        <w:t xml:space="preserve">Boulogne Sur Mer 1500 San Martin - Mza tel. 0263-4427312</w:t>
        <w:tab/>
        <w:tab/>
        <w:tab/>
        <w:tab/>
      </w:r>
      <w:r>
        <w:rPr>
          <w:b/>
          <w:sz w:val="19"/>
        </w:rPr>
        <w:t xml:space="preserve">Fecha: </w:t>
      </w:r>
      <w:r>
        <w:rPr>
          <w:rFonts w:ascii="Consolas" w:hAnsi="Consolas" w:cs="Consolas"/>
          <w:color w:val="24292E"/>
          <w:sz w:val="20"/>
          <w:szCs w:val="20"/>
        </w:rPr>
        <w:t>2020-08-22</w:t>
      </w:r>
    </w:p>
    <w:p>
      <w:pPr>
        <w:widowControl w:val="false"/>
        <w:autoSpaceDE w:val="false"/>
        <w:autoSpaceDN w:val="false"/>
        <w:spacing w:before="149" w:after="0" w:line="240" w:lineRule="auto"/>
        <w:jc w:val="center"/>
        <w:rPr>
          <w:rFonts w:ascii="Carlito" w:hAnsi="Carlito" w:eastAsia="Carlito" w:cs="Carlito"/>
          <w:sz w:val="46"/>
        </w:rPr>
      </w:pPr>
      <w:r>
        <w:rPr>
          <w:rFonts w:ascii="Carlito" w:hAnsi="Carlito" w:eastAsia="Carlito" w:cs="Carlito"/>
          <w:sz w:val="36"/>
          <w:szCs w:val="36"/>
          <w:u w:val="thick"/>
        </w:rPr>
        <w:t>PRESUPUESTO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Señor: </w:t>
      </w:r>
      <w:r>
        <w:rPr>
          <w:rFonts w:ascii="Consolas" w:hAnsi="Consolas" w:cs="Consolas"/>
          <w:color w:val="24292E"/>
          <w:sz w:val="20"/>
          <w:szCs w:val="20"/>
        </w:rPr>
        <w:t>gustavo chiarelo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Motor: </w:t>
      </w:r>
      <w:r>
        <w:rPr>
          <w:rFonts w:ascii="Consolas" w:hAnsi="Consolas" w:cs="Consolas"/>
          <w:color w:val="24292E"/>
          <w:sz w:val="20"/>
          <w:szCs w:val="20"/>
        </w:rPr>
        <w:t>Audi (Quatro-Coupe 2.3 (82.55 x 86.36))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</w:p>
    <w:tbl>
      <w:tblPr>
        <w:tblW w:w="1045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3556"/>
        <w:gridCol w:w="563"/>
        <w:gridCol w:w="843"/>
        <w:gridCol w:w="4110"/>
        <w:gridCol w:w="1381"/>
      </w:tblGrid>
      <w:tr>
        <w:trPr>
          <w:trHeight w:val="293"/>
        </w:trPr>
        <w:tc>
          <w:tcPr>
            <w:tcW w:w="4962" w:type="dxa"/>
            <w:gridSpan w:val="3"/>
            <w:vAlign w:val="center"/>
          </w:tcPr>
          <w:p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>
              <w:rPr>
                <w:b/>
              </w:rPr>
              <w:t>Operaciones</w:t>
            </w:r>
          </w:p>
        </w:tc>
        <w:tc>
          <w:tcPr>
            <w:tcW w:w="5491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>
              <w:rPr>
                <w:b/>
              </w:rPr>
              <w:t>Repuestos</w:t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Conjunto Motor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4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Encamisar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Sub conjunto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Camisas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Camisas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4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5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Bruñir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5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Pistones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base block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Pernos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Prueba hidráulica de block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Aros Rectificación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Reten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Aros Recambio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Ajustar pernos a bielas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>Aros Hidráulico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Armar y escuadrar bielas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de biela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bancada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Pulir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Axiales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Soldar Aluminio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Coj de Leva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pistones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Coj eje de mando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Probar Cigüeñal Magnaflux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Válvulas Admisión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Roscar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Válvulas Escape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pista reten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Retenes de guías de válvulas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8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Bancada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Motor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Biela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Descarbonización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Árbol de levas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Junta tapa de cilindros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Pulir Árbol de levas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Tapa de cilindros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Leva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Bomba de aceite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eje de mando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Árbol de levas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Bujes de leva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Botadores Tapa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Tapa de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Botadores Block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Asientos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Retenes de Block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Kit de retenes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Cambiar guías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Kit de distribución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Encasquillar asientos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>Kit de embrague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Entubar guías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Jgo tornillos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Prueba hidráulica de tapa de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Casquillos Admisión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8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Soldar tapa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Casquillos Escape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Regular tapa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Bujes de Leva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Lavado de motor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Bujes de Biela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Probar Bomba de Aceite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Jgo tapones de Tapa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Volante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 xml:space="preserve">Jgo tapones Block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962" w:type="dxa"/>
            <w:gridSpan w:val="3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Guías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</w:tr>
      <w:tr>
        <w:trPr>
          <w:trHeight w:val="277"/>
        </w:trPr>
        <w:tc>
          <w:tcPr>
            <w:tcW w:w="4962" w:type="dxa"/>
            <w:gridSpan w:val="3"/>
            <w:tcBorders>
              <w:bottom w:val="single" w:color="auto" w:sz="4" w:space="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>
        <w:trPr>
          <w:trHeight w:val="381"/>
        </w:trPr>
        <w:tc>
          <w:tcPr>
            <w:tcW w:w="3556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rFonts w:ascii="Times New Roman"/>
              </w:rPr>
            </w:pPr>
            <w:r>
              <w:rPr>
                <w:b/>
              </w:rPr>
              <w:t>Total Mano de Obra</w:t>
            </w:r>
          </w:p>
        </w:tc>
        <w:tc>
          <w:tcPr>
            <w:tcW w:w="1406" w:type="dxa"/>
            <w:gridSpan w:val="2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$17325.0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>
              <w:rPr>
                <w:b/>
              </w:rPr>
              <w:t>Total Repuestos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$26675.0</w:t>
            </w:r>
          </w:p>
        </w:tc>
      </w:tr>
      <w:tr>
        <w:trPr>
          <w:trHeight w:val="429"/>
        </w:trPr>
        <w:tc>
          <w:tcPr>
            <w:tcW w:w="4962" w:type="dxa"/>
            <w:gridSpan w:val="3"/>
            <w:tcBorders>
              <w:top w:val="single" w:color="auto" w:sz="2" w:space="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7"/>
              </w:rPr>
              <w:t>Observaciones:</w:t>
            </w:r>
          </w:p>
        </w:tc>
        <w:tc>
          <w:tcPr>
            <w:tcW w:w="4110" w:type="dxa"/>
            <w:tcBorders>
              <w:top w:val="single" w:color="auto" w:sz="2" w:space="0"/>
            </w:tcBorders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>
              <w:rPr>
                <w:b/>
              </w:rPr>
              <w:t>Total Mano de Obra</w:t>
            </w:r>
          </w:p>
        </w:tc>
        <w:tc>
          <w:tcPr>
            <w:tcW w:w="1381" w:type="dxa"/>
            <w:tcBorders>
              <w:top w:val="single" w:color="auto" w:sz="2" w:space="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$17325.0</w:t>
            </w:r>
          </w:p>
        </w:tc>
      </w:tr>
      <w:tr>
        <w:trPr>
          <w:trHeight w:val="408"/>
        </w:trPr>
        <w:tc>
          <w:tcPr>
            <w:tcW w:w="4962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46" w:line="188" w:lineRule="exact"/>
              <w:ind w:left="43"/>
              <w:rPr>
                <w:b/>
                <w:sz w:val="17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Este es un presupuesto de prueba</w:t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before="31" w:line="297" w:lineRule="auto"/>
              <w:ind w:left="47" w:right="449"/>
            </w:pPr>
            <w:r>
              <w:rPr>
                <w:b/>
              </w:rPr>
              <w:t>Total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$44000.0</w:t>
            </w:r>
          </w:p>
        </w:tc>
      </w:tr>
    </w:tbl>
    <w:p/>
    <w:sect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endnote w:type="separator" w:id="-1">
    <w:p w:rsidR="000C3127" w:rsidP="006E42B7" w:rsidRDefault="000C3127">
      <w:pPr>
        <w:spacing w:after="0" w:line="240" w:lineRule="auto"/>
      </w:pPr>
      <w:r>
        <w:separator/>
      </w:r>
    </w:p>
  </w:endnote>
  <w:endnote w:type="continuationSeparator" w:id="0">
    <w:p w:rsidR="000C3127" w:rsidP="006E42B7" w:rsidRDefault="000C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footnote w:type="separator" w:id="-1">
    <w:p w:rsidR="000C3127" w:rsidP="006E42B7" w:rsidRDefault="000C3127">
      <w:pPr>
        <w:spacing w:after="0" w:line="240" w:lineRule="auto"/>
      </w:pPr>
      <w:r>
        <w:separator/>
      </w:r>
    </w:p>
  </w:footnote>
  <w:footnote w:type="continuationSeparator" w:id="0">
    <w:p w:rsidR="000C3127" w:rsidP="006E42B7" w:rsidRDefault="000C31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E10"/>
    <w:rsid w:val="00077EC0"/>
    <w:rsid w:val="000C20DC"/>
    <w:rsid w:val="000C3127"/>
    <w:rsid w:val="0011428C"/>
    <w:rsid w:val="00132283"/>
    <w:rsid w:val="00196D7B"/>
    <w:rsid w:val="001B22B3"/>
    <w:rsid w:val="001D5660"/>
    <w:rsid w:val="001E413D"/>
    <w:rsid w:val="00203782"/>
    <w:rsid w:val="00282445"/>
    <w:rsid w:val="00291A5E"/>
    <w:rsid w:val="00310335"/>
    <w:rsid w:val="003D0F72"/>
    <w:rsid w:val="003D1D59"/>
    <w:rsid w:val="00407983"/>
    <w:rsid w:val="00423B26"/>
    <w:rsid w:val="004414C2"/>
    <w:rsid w:val="004C0177"/>
    <w:rsid w:val="004E2ADF"/>
    <w:rsid w:val="0052590C"/>
    <w:rsid w:val="00590F3B"/>
    <w:rsid w:val="005A2D11"/>
    <w:rsid w:val="005B0765"/>
    <w:rsid w:val="005B537D"/>
    <w:rsid w:val="005C48C8"/>
    <w:rsid w:val="005D1832"/>
    <w:rsid w:val="00667B18"/>
    <w:rsid w:val="006E42B7"/>
    <w:rsid w:val="006F0AE0"/>
    <w:rsid w:val="00704DD1"/>
    <w:rsid w:val="00722611"/>
    <w:rsid w:val="007521DD"/>
    <w:rsid w:val="00770B8C"/>
    <w:rsid w:val="007723AF"/>
    <w:rsid w:val="00780C92"/>
    <w:rsid w:val="007E312C"/>
    <w:rsid w:val="00814F2F"/>
    <w:rsid w:val="0081613D"/>
    <w:rsid w:val="00841296"/>
    <w:rsid w:val="00880D5F"/>
    <w:rsid w:val="008963AC"/>
    <w:rsid w:val="008D61A3"/>
    <w:rsid w:val="008D775B"/>
    <w:rsid w:val="00934D32"/>
    <w:rsid w:val="009D16CB"/>
    <w:rsid w:val="009E66A3"/>
    <w:rsid w:val="009F26FA"/>
    <w:rsid w:val="00A04E10"/>
    <w:rsid w:val="00A05E65"/>
    <w:rsid w:val="00A11493"/>
    <w:rsid w:val="00A16FF8"/>
    <w:rsid w:val="00A40ABF"/>
    <w:rsid w:val="00A56C55"/>
    <w:rsid w:val="00B42449"/>
    <w:rsid w:val="00B87B59"/>
    <w:rsid w:val="00BA4E41"/>
    <w:rsid w:val="00BA5C9B"/>
    <w:rsid w:val="00C82F37"/>
    <w:rsid w:val="00CB1EAD"/>
    <w:rsid w:val="00D03A5E"/>
    <w:rsid w:val="00D5720E"/>
    <w:rsid w:val="00D63804"/>
    <w:rsid w:val="00DA24F4"/>
    <w:rsid w:val="00DB4944"/>
    <w:rsid w:val="00DF31B2"/>
    <w:rsid w:val="00E45F26"/>
    <w:rsid w:val="00E74EC1"/>
    <w:rsid w:val="00EA54CF"/>
    <w:rsid w:val="00EB273E"/>
    <w:rsid w:val="00EC6B16"/>
    <w:rsid w:val="00ED43E7"/>
    <w:rsid w:val="00FB65EF"/>
    <w:rsid w:val="00FD7BF2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,"/>
  <w15:chartTrackingRefBased/>
  <w14:docId w14:val="11FE3A92"/>
  <w15:docId w15:val="{BB775E98-3012-4AFF-9FFB-858C4FD1B1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Paragraph" w:customStyle="true">
    <w:name w:val="Table Paragraph"/>
    <w:basedOn w:val="Normal"/>
    <w:uiPriority w:val="1"/>
    <w:qFormat/>
    <w:pPr>
      <w:widowControl w:val="false"/>
      <w:autoSpaceDE w:val="false"/>
      <w:autoSpaceDN w:val="false"/>
      <w:spacing w:after="0" w:line="240" w:lineRule="auto"/>
    </w:pPr>
    <w:rPr>
      <w:rFonts w:ascii="Carlito" w:hAnsi="Carlito" w:eastAsia="Carlito" w:cs="Carli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4751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267271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4943486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6230333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theme/theme1.xml" Type="http://schemas.openxmlformats.org/officeDocument/2006/relationships/theme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341</properties:Words>
  <properties:Characters>1948</properties:Characters>
  <properties:Lines>16</properties:Lines>
  <properties:Paragraphs>4</properties:Paragraphs>
  <properties:TotalTime>104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2285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2020-04-13T22:45:00Z</dcterms:created>
  <dc:creator>manuel corrales</dc:creator>
  <dc:description/>
  <cp:keywords/>
  <cp:lastModifiedBy>Manuel Corrales</cp:lastModifiedBy>
  <dcterms:modified xmlns:xsi="http://www.w3.org/2001/XMLSchema-instance" xsi:type="dcterms:W3CDTF">2020-08-22T15:35:00Z</dcterms:modified>
  <cp:revision>61</cp:revision>
  <dc:subject/>
  <dc:title/>
</cp:coreProperties>
</file>