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7E" w:rsidRDefault="00120ED9">
      <w:pPr>
        <w:rPr>
          <w:sz w:val="20"/>
          <w:szCs w:val="20"/>
        </w:rPr>
      </w:pPr>
      <w:r>
        <w:rPr>
          <w:sz w:val="20"/>
          <w:szCs w:val="20"/>
        </w:rPr>
        <w:t>CONVENIO COLECTIVO ESTATAL DEL PERSONAL DE SALAS DE FIESTA, BAILE Y DISCOTECAS DE ESPAÑA</w:t>
      </w:r>
    </w:p>
    <w:p w:rsidR="00120ED9" w:rsidRDefault="00120ED9">
      <w:pPr>
        <w:rPr>
          <w:sz w:val="20"/>
          <w:szCs w:val="20"/>
        </w:rPr>
      </w:pPr>
    </w:p>
    <w:p w:rsidR="00120ED9" w:rsidRDefault="00120ED9" w:rsidP="00120ED9">
      <w:pPr>
        <w:pStyle w:val="Pa15"/>
        <w:spacing w:before="1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Personal de Espectáculos</w:t>
      </w:r>
    </w:p>
    <w:tbl>
      <w:tblPr>
        <w:tblW w:w="11341" w:type="dxa"/>
        <w:tblInd w:w="-11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709"/>
        <w:gridCol w:w="1418"/>
        <w:gridCol w:w="1559"/>
        <w:gridCol w:w="1559"/>
        <w:gridCol w:w="2552"/>
      </w:tblGrid>
      <w:tr w:rsidR="00120ED9" w:rsidTr="00120ED9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44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Categorías Profesionales</w:t>
            </w:r>
          </w:p>
        </w:tc>
        <w:tc>
          <w:tcPr>
            <w:tcW w:w="709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Grupo</w:t>
            </w:r>
          </w:p>
        </w:tc>
        <w:tc>
          <w:tcPr>
            <w:tcW w:w="1418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Salario base anual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1559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mensual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1559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semanal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2552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diario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 w:rsidP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Director Escénico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23.143,37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1.653,10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662,28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94,61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Coreógrafo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21.600,48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1.542,89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618,13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88,30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Ayudante de Director </w:t>
            </w:r>
            <w:proofErr w:type="gramStart"/>
            <w:r>
              <w:rPr>
                <w:color w:val="000000"/>
                <w:sz w:val="18"/>
                <w:szCs w:val="18"/>
              </w:rPr>
              <w:t>Escénico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15.428,92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1.102,07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441,52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63,07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Ayudante </w:t>
            </w:r>
            <w:proofErr w:type="gramStart"/>
            <w:r>
              <w:rPr>
                <w:color w:val="000000"/>
                <w:sz w:val="18"/>
                <w:szCs w:val="18"/>
              </w:rPr>
              <w:t>Coreógrafo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15.428,92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1.102,07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441,52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63,07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Discjockey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21.600,48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1.542,89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618,13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88,30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Atracción Individual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21.600,48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1.542,89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618,13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88,30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Ayudante Atracción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Primera Figura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16.971,81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1.212,27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485,67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69,38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Jefe de </w:t>
            </w:r>
            <w:proofErr w:type="gramStart"/>
            <w:r>
              <w:rPr>
                <w:color w:val="000000"/>
                <w:sz w:val="18"/>
                <w:szCs w:val="18"/>
              </w:rPr>
              <w:t>Ballet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16.971,81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1.212,27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485,67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69,38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Bailarines, Cantantes e </w:t>
            </w:r>
            <w:proofErr w:type="gramStart"/>
            <w:r>
              <w:rPr>
                <w:color w:val="000000"/>
                <w:sz w:val="18"/>
                <w:szCs w:val="18"/>
              </w:rPr>
              <w:t>Instrumentistas .</w:t>
            </w:r>
            <w:proofErr w:type="gramEnd"/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11341" w:type="dxa"/>
            <w:gridSpan w:val="6"/>
          </w:tcPr>
          <w:p w:rsidR="00120ED9" w:rsidRDefault="00120ED9" w:rsidP="00120ED9">
            <w:pPr>
              <w:pStyle w:val="Pa19"/>
              <w:rPr>
                <w:color w:val="000000"/>
                <w:sz w:val="18"/>
                <w:szCs w:val="18"/>
              </w:rPr>
            </w:pPr>
          </w:p>
          <w:p w:rsidR="00120ED9" w:rsidRPr="00120ED9" w:rsidRDefault="00120ED9" w:rsidP="00120ED9">
            <w:pPr>
              <w:pStyle w:val="Pa1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Tablao Flamenco con Restaurante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Solista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20.057,59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1.432,69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573,97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82,00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Bailaores y/o </w:t>
            </w:r>
            <w:proofErr w:type="gramStart"/>
            <w:r>
              <w:rPr>
                <w:color w:val="000000"/>
                <w:sz w:val="18"/>
                <w:szCs w:val="18"/>
              </w:rPr>
              <w:t>Cantaores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Palmeros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13.577,45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969,82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388,54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55,51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11341" w:type="dxa"/>
            <w:gridSpan w:val="6"/>
          </w:tcPr>
          <w:p w:rsidR="00120ED9" w:rsidRDefault="00120ED9" w:rsidP="00120ED9">
            <w:pPr>
              <w:pStyle w:val="Pa19"/>
              <w:rPr>
                <w:color w:val="000000"/>
                <w:sz w:val="18"/>
                <w:szCs w:val="18"/>
              </w:rPr>
            </w:pPr>
          </w:p>
          <w:p w:rsidR="00120ED9" w:rsidRPr="00120ED9" w:rsidRDefault="00120ED9" w:rsidP="00120ED9">
            <w:pPr>
              <w:pStyle w:val="Pa1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Tablao Flamenco sin Restaurante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Solista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18.514,70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1.322,48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529,82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75,69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Bailaores y/o </w:t>
            </w:r>
            <w:proofErr w:type="gramStart"/>
            <w:r>
              <w:rPr>
                <w:color w:val="000000"/>
                <w:sz w:val="18"/>
                <w:szCs w:val="18"/>
              </w:rPr>
              <w:t>Cantaores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13.114,58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936,76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375,29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53,61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Palmeros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</w:tbl>
    <w:p w:rsidR="00120ED9" w:rsidRDefault="00120ED9"/>
    <w:p w:rsidR="00120ED9" w:rsidRDefault="00120ED9"/>
    <w:p w:rsidR="00120ED9" w:rsidRDefault="00120ED9" w:rsidP="00120ED9">
      <w:pPr>
        <w:pStyle w:val="Pa10"/>
        <w:spacing w:before="2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Personal de Sala</w:t>
      </w:r>
    </w:p>
    <w:tbl>
      <w:tblPr>
        <w:tblW w:w="11341" w:type="dxa"/>
        <w:tblInd w:w="-11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709"/>
        <w:gridCol w:w="1418"/>
        <w:gridCol w:w="1559"/>
        <w:gridCol w:w="1559"/>
        <w:gridCol w:w="2552"/>
      </w:tblGrid>
      <w:tr w:rsidR="00120ED9" w:rsidTr="00120ED9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3544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Categorías Profesionales</w:t>
            </w:r>
          </w:p>
        </w:tc>
        <w:tc>
          <w:tcPr>
            <w:tcW w:w="709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Grupo</w:t>
            </w:r>
          </w:p>
        </w:tc>
        <w:tc>
          <w:tcPr>
            <w:tcW w:w="1418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anual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1559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mensual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1559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semanal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2552" w:type="dxa"/>
          </w:tcPr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diario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120ED9" w:rsidRDefault="00120ED9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Discjockey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residente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18.514,70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1.322,48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529,82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75,69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Montador de Discos/ </w:t>
            </w: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Discjockey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Regidor/Jefe Escenario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20.057,59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1.432,69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573,97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82,00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Maquinista . . . .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18.514,70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1.322,48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529,82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75,69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Oficial de Iluminación/</w:t>
            </w:r>
            <w:proofErr w:type="gramStart"/>
            <w:r>
              <w:rPr>
                <w:color w:val="000000"/>
                <w:sz w:val="18"/>
                <w:szCs w:val="18"/>
              </w:rPr>
              <w:t>Cabina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17.743,25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1.267,38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507,75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72,54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Oficial de Sonido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17.743,25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1.267,38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507,75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72,54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Oficial de Imagen/Cabina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17.743,25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1.267,38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507,75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72,54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Oficial de </w:t>
            </w:r>
            <w:proofErr w:type="gramStart"/>
            <w:r>
              <w:rPr>
                <w:color w:val="000000"/>
                <w:sz w:val="18"/>
                <w:szCs w:val="18"/>
              </w:rPr>
              <w:t>mantenimiento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17.743,25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1.267,38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507,75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72,54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de Maquinista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color w:val="000000"/>
                <w:sz w:val="18"/>
                <w:szCs w:val="18"/>
              </w:rPr>
              <w:t>de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Sonido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color w:val="000000"/>
                <w:sz w:val="18"/>
                <w:szCs w:val="18"/>
              </w:rPr>
              <w:t>de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Iluminación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de Imagen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de Mantenimiento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 w:rsidP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Jefe de </w:t>
            </w:r>
            <w:proofErr w:type="gramStart"/>
            <w:r>
              <w:rPr>
                <w:color w:val="000000"/>
                <w:sz w:val="18"/>
                <w:szCs w:val="18"/>
              </w:rPr>
              <w:t>Sala .</w:t>
            </w:r>
            <w:proofErr w:type="gramEnd"/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20.057,59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1.432,69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573,97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82,00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proofErr w:type="gramStart"/>
            <w:r>
              <w:rPr>
                <w:color w:val="000000"/>
                <w:sz w:val="18"/>
                <w:szCs w:val="18"/>
              </w:rPr>
              <w:t>2.º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Jefe de Sala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15.428,92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1.102,07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441,52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63,07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Almacén . .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proofErr w:type="gramStart"/>
            <w:r>
              <w:rPr>
                <w:color w:val="000000"/>
                <w:sz w:val="18"/>
                <w:szCs w:val="18"/>
              </w:rPr>
              <w:t>Camarero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. .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14.501,07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1.035,79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415,02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59,29</w:t>
            </w:r>
          </w:p>
        </w:tc>
      </w:tr>
    </w:tbl>
    <w:p w:rsidR="00120ED9" w:rsidRDefault="00120ED9"/>
    <w:tbl>
      <w:tblPr>
        <w:tblW w:w="11341" w:type="dxa"/>
        <w:tblInd w:w="-11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709"/>
        <w:gridCol w:w="1418"/>
        <w:gridCol w:w="1559"/>
        <w:gridCol w:w="1559"/>
        <w:gridCol w:w="2552"/>
      </w:tblGrid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color w:val="000000"/>
                <w:sz w:val="18"/>
                <w:szCs w:val="18"/>
              </w:rPr>
              <w:t>Camarero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12.874,12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919,58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368,24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52,61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 xml:space="preserve">Administrador/Gerente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23.143,37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1.653,10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662,28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94,61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Contable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15.428,92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1.102,07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441,52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63,07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Oficial </w:t>
            </w:r>
            <w:proofErr w:type="gramStart"/>
            <w:r>
              <w:rPr>
                <w:color w:val="000000"/>
                <w:sz w:val="18"/>
                <w:szCs w:val="18"/>
              </w:rPr>
              <w:t>Administrativo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Administrativo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Taquilla . . . . . .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de Taquilla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Jefe de Puerta .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16.971,81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1.212,27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485,67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69,38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Personal de </w:t>
            </w:r>
            <w:proofErr w:type="gramStart"/>
            <w:r>
              <w:rPr>
                <w:color w:val="000000"/>
                <w:sz w:val="18"/>
                <w:szCs w:val="18"/>
              </w:rPr>
              <w:t>Admisión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Personal de Control/</w:t>
            </w:r>
            <w:proofErr w:type="gramStart"/>
            <w:r>
              <w:rPr>
                <w:color w:val="000000"/>
                <w:sz w:val="18"/>
                <w:szCs w:val="18"/>
              </w:rPr>
              <w:t>Seguridad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Atención al Público/Relaciones Públicas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Animadores de </w:t>
            </w:r>
            <w:proofErr w:type="gramStart"/>
            <w:r>
              <w:rPr>
                <w:color w:val="000000"/>
                <w:sz w:val="18"/>
                <w:szCs w:val="18"/>
              </w:rPr>
              <w:t>Sala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Animadores de </w:t>
            </w:r>
            <w:proofErr w:type="gramStart"/>
            <w:r>
              <w:rPr>
                <w:color w:val="000000"/>
                <w:sz w:val="18"/>
                <w:szCs w:val="18"/>
              </w:rPr>
              <w:t>calle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Personal de Guardarropa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Personal de </w:t>
            </w:r>
            <w:proofErr w:type="gramStart"/>
            <w:r>
              <w:rPr>
                <w:color w:val="000000"/>
                <w:sz w:val="18"/>
                <w:szCs w:val="18"/>
              </w:rPr>
              <w:t>limpieza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Aparcacoches . . . . . .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Personal de tienda/</w:t>
            </w:r>
            <w:proofErr w:type="gramStart"/>
            <w:r>
              <w:rPr>
                <w:color w:val="000000"/>
                <w:sz w:val="18"/>
                <w:szCs w:val="18"/>
              </w:rPr>
              <w:t>venta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Personal de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Merchandising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120ED9" w:rsidTr="00120ED9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120ED9" w:rsidRDefault="00120ED9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Personal </w:t>
            </w:r>
            <w:proofErr w:type="gramStart"/>
            <w:r>
              <w:rPr>
                <w:color w:val="000000"/>
                <w:sz w:val="18"/>
                <w:szCs w:val="18"/>
              </w:rPr>
              <w:t>informático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. </w:t>
            </w:r>
          </w:p>
        </w:tc>
        <w:tc>
          <w:tcPr>
            <w:tcW w:w="709" w:type="dxa"/>
          </w:tcPr>
          <w:p w:rsidR="00120ED9" w:rsidRDefault="00120ED9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120ED9" w:rsidRDefault="00120ED9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</w:tbl>
    <w:p w:rsidR="00120ED9" w:rsidRDefault="00120ED9"/>
    <w:p w:rsidR="007F16FA" w:rsidRDefault="007F16FA" w:rsidP="007F16FA">
      <w:pPr>
        <w:pStyle w:val="Pa10"/>
        <w:spacing w:before="2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Personal Complementario de Espectáculos</w:t>
      </w:r>
    </w:p>
    <w:tbl>
      <w:tblPr>
        <w:tblW w:w="11341" w:type="dxa"/>
        <w:tblInd w:w="-11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709"/>
        <w:gridCol w:w="1418"/>
        <w:gridCol w:w="1559"/>
        <w:gridCol w:w="1559"/>
        <w:gridCol w:w="2552"/>
      </w:tblGrid>
      <w:tr w:rsidR="007F16FA" w:rsidTr="007F16FA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3544" w:type="dxa"/>
          </w:tcPr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Categorías Profesionales</w:t>
            </w:r>
          </w:p>
        </w:tc>
        <w:tc>
          <w:tcPr>
            <w:tcW w:w="709" w:type="dxa"/>
          </w:tcPr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Grupo</w:t>
            </w:r>
          </w:p>
        </w:tc>
        <w:tc>
          <w:tcPr>
            <w:tcW w:w="1418" w:type="dxa"/>
          </w:tcPr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anual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1559" w:type="dxa"/>
          </w:tcPr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mensual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1559" w:type="dxa"/>
          </w:tcPr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semanal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  <w:tc>
          <w:tcPr>
            <w:tcW w:w="2552" w:type="dxa"/>
          </w:tcPr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Salario base diario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– </w:t>
            </w:r>
          </w:p>
          <w:p w:rsidR="007F16FA" w:rsidRDefault="007F16FA">
            <w:pPr>
              <w:pStyle w:val="Pa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Euros</w:t>
            </w:r>
          </w:p>
        </w:tc>
      </w:tr>
      <w:tr w:rsidR="007F16FA" w:rsidTr="007F16FA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7F16FA" w:rsidRDefault="007F16FA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Director artístico . . . . . . . . . . . . . . . . . . . </w:t>
            </w:r>
          </w:p>
        </w:tc>
        <w:tc>
          <w:tcPr>
            <w:tcW w:w="709" w:type="dxa"/>
          </w:tcPr>
          <w:p w:rsidR="007F16FA" w:rsidRDefault="007F16FA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21.600,48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1.542,89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618,13</w:t>
            </w:r>
          </w:p>
        </w:tc>
        <w:tc>
          <w:tcPr>
            <w:tcW w:w="2552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88,30</w:t>
            </w:r>
          </w:p>
        </w:tc>
      </w:tr>
      <w:tr w:rsidR="007F16FA" w:rsidTr="007F16FA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7F16FA" w:rsidRDefault="007F16FA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Maquilladores/Peluqueros . . . . . . . . . . . . </w:t>
            </w:r>
          </w:p>
        </w:tc>
        <w:tc>
          <w:tcPr>
            <w:tcW w:w="709" w:type="dxa"/>
          </w:tcPr>
          <w:p w:rsidR="007F16FA" w:rsidRDefault="007F16FA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  <w:tr w:rsidR="007F16FA" w:rsidTr="007F16FA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7F16FA" w:rsidRDefault="007F16FA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Personal de </w:t>
            </w:r>
            <w:proofErr w:type="gramStart"/>
            <w:r>
              <w:rPr>
                <w:color w:val="000000"/>
                <w:sz w:val="18"/>
                <w:szCs w:val="18"/>
              </w:rPr>
              <w:t>vestuario .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. . . . . . . . . . . . . . </w:t>
            </w:r>
          </w:p>
        </w:tc>
        <w:tc>
          <w:tcPr>
            <w:tcW w:w="709" w:type="dxa"/>
          </w:tcPr>
          <w:p w:rsidR="007F16FA" w:rsidRDefault="007F16FA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12.343,13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881,65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353,22</w:t>
            </w:r>
          </w:p>
        </w:tc>
        <w:tc>
          <w:tcPr>
            <w:tcW w:w="2552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50,46</w:t>
            </w:r>
          </w:p>
        </w:tc>
      </w:tr>
      <w:tr w:rsidR="007F16FA" w:rsidTr="007F16FA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544" w:type="dxa"/>
          </w:tcPr>
          <w:p w:rsidR="007F16FA" w:rsidRDefault="007F16FA">
            <w:pPr>
              <w:pStyle w:val="Pa18"/>
              <w:ind w:hanging="1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Sastras . . . . . . . . . . . . . . . . . . . . . . . . . . </w:t>
            </w:r>
          </w:p>
        </w:tc>
        <w:tc>
          <w:tcPr>
            <w:tcW w:w="709" w:type="dxa"/>
          </w:tcPr>
          <w:p w:rsidR="007F16FA" w:rsidRDefault="007F16FA">
            <w:pPr>
              <w:pStyle w:val="Pa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13.886,02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991,86</w:t>
            </w:r>
          </w:p>
        </w:tc>
        <w:tc>
          <w:tcPr>
            <w:tcW w:w="1559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397,37</w:t>
            </w:r>
          </w:p>
        </w:tc>
        <w:tc>
          <w:tcPr>
            <w:tcW w:w="2552" w:type="dxa"/>
          </w:tcPr>
          <w:p w:rsidR="007F16FA" w:rsidRDefault="007F16FA">
            <w:pPr>
              <w:pStyle w:val="Pa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56,77</w:t>
            </w:r>
          </w:p>
        </w:tc>
      </w:tr>
    </w:tbl>
    <w:p w:rsidR="007F16FA" w:rsidRDefault="007F16FA"/>
    <w:p w:rsidR="007F16FA" w:rsidRDefault="007F16FA">
      <w:r>
        <w:rPr>
          <w:color w:val="000000"/>
          <w:sz w:val="20"/>
          <w:szCs w:val="20"/>
        </w:rPr>
        <w:t>La columna «Grupos» se corresponde con los Grupos profesionales.</w:t>
      </w:r>
      <w:bookmarkStart w:id="0" w:name="_GoBack"/>
      <w:bookmarkEnd w:id="0"/>
    </w:p>
    <w:sectPr w:rsidR="007F1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45"/>
    <w:rsid w:val="00120ED9"/>
    <w:rsid w:val="006E5145"/>
    <w:rsid w:val="007F16FA"/>
    <w:rsid w:val="00AD0ADE"/>
    <w:rsid w:val="00D2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15">
    <w:name w:val="Pa15"/>
    <w:basedOn w:val="Normal"/>
    <w:next w:val="Normal"/>
    <w:uiPriority w:val="99"/>
    <w:rsid w:val="00120ED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120ED9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120ED9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120ED9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20">
    <w:name w:val="Pa20"/>
    <w:basedOn w:val="Normal"/>
    <w:next w:val="Normal"/>
    <w:uiPriority w:val="99"/>
    <w:rsid w:val="00120ED9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10">
    <w:name w:val="Pa10"/>
    <w:basedOn w:val="Normal"/>
    <w:next w:val="Normal"/>
    <w:uiPriority w:val="99"/>
    <w:rsid w:val="00120ED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15">
    <w:name w:val="Pa15"/>
    <w:basedOn w:val="Normal"/>
    <w:next w:val="Normal"/>
    <w:uiPriority w:val="99"/>
    <w:rsid w:val="00120ED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120ED9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120ED9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120ED9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20">
    <w:name w:val="Pa20"/>
    <w:basedOn w:val="Normal"/>
    <w:next w:val="Normal"/>
    <w:uiPriority w:val="99"/>
    <w:rsid w:val="00120ED9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10">
    <w:name w:val="Pa10"/>
    <w:basedOn w:val="Normal"/>
    <w:next w:val="Normal"/>
    <w:uiPriority w:val="99"/>
    <w:rsid w:val="00120ED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 Javier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2015-09-11T20:04:00Z</dcterms:created>
  <dcterms:modified xsi:type="dcterms:W3CDTF">2015-09-11T21:29:00Z</dcterms:modified>
</cp:coreProperties>
</file>