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7858" w14:textId="77777777" w:rsidR="00E64559" w:rsidRPr="00E64559" w:rsidRDefault="00E64559" w:rsidP="00E64559">
      <w:pPr>
        <w:rPr>
          <w:b/>
          <w:bCs/>
        </w:rPr>
      </w:pPr>
      <w:r w:rsidRPr="00E64559">
        <w:rPr>
          <w:b/>
          <w:bCs/>
        </w:rPr>
        <w:t>1.1. Gênero/Sexo</w:t>
      </w:r>
    </w:p>
    <w:p w14:paraId="1B70A57B" w14:textId="77777777" w:rsidR="00E64559" w:rsidRPr="00E64559" w:rsidRDefault="00E64559" w:rsidP="00E64559">
      <w:r w:rsidRPr="00E64559">
        <w:rPr>
          <w:b/>
          <w:bCs/>
        </w:rPr>
        <w:t>O que o gráfico mostra:</w:t>
      </w:r>
      <w:r w:rsidRPr="00E64559">
        <w:br/>
        <w:t>Compara a taxa de evasão (</w:t>
      </w:r>
      <w:proofErr w:type="spellStart"/>
      <w:r w:rsidRPr="00E64559">
        <w:t>Churn</w:t>
      </w:r>
      <w:proofErr w:type="spellEnd"/>
      <w:r w:rsidRPr="00E64559">
        <w:t>) entre clientes do sexo masculino e feminino.</w:t>
      </w:r>
      <w:r w:rsidRPr="00E64559">
        <w:br/>
      </w:r>
      <w:r w:rsidRPr="00E64559">
        <w:rPr>
          <w:b/>
          <w:bCs/>
        </w:rPr>
        <w:t>Insight esperado:</w:t>
      </w:r>
      <w:r w:rsidRPr="00E64559">
        <w:br/>
        <w:t>Pode revelar se há diferença significativa no comportamento de cancelamento entre os gêneros.</w:t>
      </w:r>
    </w:p>
    <w:p w14:paraId="4B892D89" w14:textId="77777777" w:rsidR="00E64559" w:rsidRPr="00E64559" w:rsidRDefault="00E64559" w:rsidP="00E64559">
      <w:r w:rsidRPr="00E64559">
        <w:pict w14:anchorId="2BC005ED">
          <v:rect id="_x0000_i1073" style="width:0;height:1.5pt" o:hralign="center" o:hrstd="t" o:hr="t" fillcolor="#a0a0a0" stroked="f"/>
        </w:pict>
      </w:r>
    </w:p>
    <w:p w14:paraId="68A4B00B" w14:textId="77777777" w:rsidR="00E64559" w:rsidRPr="00E64559" w:rsidRDefault="00E64559" w:rsidP="00E64559">
      <w:pPr>
        <w:rPr>
          <w:b/>
          <w:bCs/>
        </w:rPr>
      </w:pPr>
      <w:r w:rsidRPr="00E64559">
        <w:rPr>
          <w:b/>
          <w:bCs/>
        </w:rPr>
        <w:t>1.2. Tipo de Contrato</w:t>
      </w:r>
    </w:p>
    <w:p w14:paraId="11027695" w14:textId="77777777" w:rsidR="00E64559" w:rsidRPr="00E64559" w:rsidRDefault="00E64559" w:rsidP="00E64559">
      <w:r w:rsidRPr="00E64559">
        <w:rPr>
          <w:b/>
          <w:bCs/>
        </w:rPr>
        <w:t>O que o gráfico mostra:</w:t>
      </w:r>
      <w:r w:rsidRPr="00E64559">
        <w:br/>
        <w:t>Distribui os cancelamentos de acordo com o tipo de contrato: mensal, anual ou bienal.</w:t>
      </w:r>
      <w:r w:rsidRPr="00E64559">
        <w:br/>
      </w:r>
      <w:r w:rsidRPr="00E64559">
        <w:rPr>
          <w:b/>
          <w:bCs/>
        </w:rPr>
        <w:t>Insight esperado:</w:t>
      </w:r>
      <w:r w:rsidRPr="00E64559">
        <w:br/>
        <w:t>Contratos mensais tendem a ter maior evasão, enquanto contratos de longo prazo retêm melhor os clientes.</w:t>
      </w:r>
    </w:p>
    <w:p w14:paraId="268BEAC7" w14:textId="77777777" w:rsidR="00E64559" w:rsidRPr="00E64559" w:rsidRDefault="00E64559" w:rsidP="00E64559">
      <w:r w:rsidRPr="00E64559">
        <w:pict w14:anchorId="00B02BCB">
          <v:rect id="_x0000_i1074" style="width:0;height:1.5pt" o:hralign="center" o:hrstd="t" o:hr="t" fillcolor="#a0a0a0" stroked="f"/>
        </w:pict>
      </w:r>
    </w:p>
    <w:p w14:paraId="60BA940E" w14:textId="77777777" w:rsidR="00E64559" w:rsidRPr="00E64559" w:rsidRDefault="00E64559" w:rsidP="00E64559">
      <w:pPr>
        <w:rPr>
          <w:b/>
          <w:bCs/>
        </w:rPr>
      </w:pPr>
      <w:r w:rsidRPr="00E64559">
        <w:rPr>
          <w:b/>
          <w:bCs/>
        </w:rPr>
        <w:t>1.3. Método de Pagamento</w:t>
      </w:r>
    </w:p>
    <w:p w14:paraId="70CECD07" w14:textId="77777777" w:rsidR="00E64559" w:rsidRPr="00E64559" w:rsidRDefault="00E64559" w:rsidP="00E64559">
      <w:r w:rsidRPr="00E64559">
        <w:rPr>
          <w:b/>
          <w:bCs/>
        </w:rPr>
        <w:t>O que o gráfico mostra:</w:t>
      </w:r>
      <w:r w:rsidRPr="00E64559">
        <w:br/>
        <w:t>Apresenta a evasão conforme o método de pagamento escolhido.</w:t>
      </w:r>
      <w:r w:rsidRPr="00E64559">
        <w:br/>
      </w:r>
      <w:r w:rsidRPr="00E64559">
        <w:rPr>
          <w:b/>
          <w:bCs/>
        </w:rPr>
        <w:t>Insight esperado:</w:t>
      </w:r>
      <w:r w:rsidRPr="00E64559">
        <w:br/>
        <w:t>Pagamentos via boleto eletrônico têm maior evasão, sugerindo menor fidelização.</w:t>
      </w:r>
    </w:p>
    <w:p w14:paraId="489C6D9E" w14:textId="77777777" w:rsidR="00E64559" w:rsidRPr="00E64559" w:rsidRDefault="00E64559" w:rsidP="00E64559">
      <w:r w:rsidRPr="00E64559">
        <w:pict w14:anchorId="018CC44C">
          <v:rect id="_x0000_i1075" style="width:0;height:1.5pt" o:hralign="center" o:hrstd="t" o:hr="t" fillcolor="#a0a0a0" stroked="f"/>
        </w:pict>
      </w:r>
    </w:p>
    <w:p w14:paraId="34262BC7" w14:textId="77777777" w:rsidR="00E64559" w:rsidRPr="00E64559" w:rsidRDefault="00E64559" w:rsidP="00E64559">
      <w:pPr>
        <w:rPr>
          <w:b/>
          <w:bCs/>
        </w:rPr>
      </w:pPr>
      <w:r w:rsidRPr="00E64559">
        <w:rPr>
          <w:b/>
          <w:bCs/>
        </w:rPr>
        <w:t>1.4. Serviços de Telefone</w:t>
      </w:r>
    </w:p>
    <w:p w14:paraId="376A41EB" w14:textId="77777777" w:rsidR="00E64559" w:rsidRPr="00E64559" w:rsidRDefault="00E64559" w:rsidP="00E64559">
      <w:r w:rsidRPr="00E64559">
        <w:rPr>
          <w:b/>
          <w:bCs/>
        </w:rPr>
        <w:t>O que o gráfico mostra:</w:t>
      </w:r>
      <w:r w:rsidRPr="00E64559">
        <w:br/>
        <w:t>Analisa a evasão de acordo com a contratação dos serviços de telefone e linhas múltiplas.</w:t>
      </w:r>
      <w:r w:rsidRPr="00E64559">
        <w:br/>
      </w:r>
      <w:r w:rsidRPr="00E64559">
        <w:rPr>
          <w:b/>
          <w:bCs/>
        </w:rPr>
        <w:t>Insight esperado:</w:t>
      </w:r>
      <w:r w:rsidRPr="00E64559">
        <w:br/>
        <w:t>Clientes com múltiplas linhas podem ter perfil mais fiel ou valor agregado ao plano.</w:t>
      </w:r>
    </w:p>
    <w:p w14:paraId="026F98EF" w14:textId="77777777" w:rsidR="00E64559" w:rsidRPr="00E64559" w:rsidRDefault="00E64559" w:rsidP="00E64559">
      <w:r w:rsidRPr="00E64559">
        <w:pict w14:anchorId="105337E8">
          <v:rect id="_x0000_i1076" style="width:0;height:1.5pt" o:hralign="center" o:hrstd="t" o:hr="t" fillcolor="#a0a0a0" stroked="f"/>
        </w:pict>
      </w:r>
    </w:p>
    <w:p w14:paraId="0E4AC405" w14:textId="77777777" w:rsidR="00E64559" w:rsidRPr="00E64559" w:rsidRDefault="00E64559" w:rsidP="00E64559">
      <w:pPr>
        <w:rPr>
          <w:b/>
          <w:bCs/>
        </w:rPr>
      </w:pPr>
      <w:r w:rsidRPr="00E64559">
        <w:rPr>
          <w:b/>
          <w:bCs/>
        </w:rPr>
        <w:t>1.5. Serviços de Internet</w:t>
      </w:r>
    </w:p>
    <w:p w14:paraId="654EBA53" w14:textId="77777777" w:rsidR="00E64559" w:rsidRPr="00E64559" w:rsidRDefault="00E64559" w:rsidP="00E64559">
      <w:r w:rsidRPr="00E64559">
        <w:rPr>
          <w:b/>
          <w:bCs/>
        </w:rPr>
        <w:t>O que o gráfico mostra:</w:t>
      </w:r>
      <w:r w:rsidRPr="00E64559">
        <w:br/>
        <w:t>Avalia como cada tipo de serviço de internet influencia na evasão, incluindo segurança, backup, proteção e suporte técnico.</w:t>
      </w:r>
      <w:r w:rsidRPr="00E64559">
        <w:br/>
      </w:r>
      <w:r w:rsidRPr="00E64559">
        <w:rPr>
          <w:b/>
          <w:bCs/>
        </w:rPr>
        <w:t>Insight esperado:</w:t>
      </w:r>
      <w:r w:rsidRPr="00E64559">
        <w:br/>
        <w:t>Clientes com serviços de segurança e suporte têm menor evasão — sinal de que serviços complementares aumentam retenção.</w:t>
      </w:r>
    </w:p>
    <w:p w14:paraId="184EF013" w14:textId="77777777" w:rsidR="00E64559" w:rsidRPr="00E64559" w:rsidRDefault="00E64559" w:rsidP="00E64559">
      <w:r w:rsidRPr="00E64559">
        <w:pict w14:anchorId="63948945">
          <v:rect id="_x0000_i1077" style="width:0;height:1.5pt" o:hralign="center" o:hrstd="t" o:hr="t" fillcolor="#a0a0a0" stroked="f"/>
        </w:pict>
      </w:r>
    </w:p>
    <w:p w14:paraId="275CCE4A" w14:textId="77777777" w:rsidR="00E64559" w:rsidRPr="00E64559" w:rsidRDefault="00E64559" w:rsidP="00E64559">
      <w:pPr>
        <w:rPr>
          <w:b/>
          <w:bCs/>
        </w:rPr>
      </w:pPr>
      <w:r w:rsidRPr="00E64559">
        <w:rPr>
          <w:b/>
          <w:bCs/>
        </w:rPr>
        <w:t>1.6. Serviços de Streaming</w:t>
      </w:r>
    </w:p>
    <w:p w14:paraId="2E62A801" w14:textId="77777777" w:rsidR="00E64559" w:rsidRPr="00E64559" w:rsidRDefault="00E64559" w:rsidP="00E64559">
      <w:r w:rsidRPr="00E64559">
        <w:rPr>
          <w:b/>
          <w:bCs/>
        </w:rPr>
        <w:t>O que o gráfico mostra:</w:t>
      </w:r>
      <w:r w:rsidRPr="00E64559">
        <w:br/>
        <w:t xml:space="preserve">Relaciona o uso de serviços de Streaming TV e Filmes com o </w:t>
      </w:r>
      <w:proofErr w:type="spellStart"/>
      <w:r w:rsidRPr="00E64559">
        <w:t>churn</w:t>
      </w:r>
      <w:proofErr w:type="spellEnd"/>
      <w:r w:rsidRPr="00E64559">
        <w:t>.</w:t>
      </w:r>
      <w:r w:rsidRPr="00E64559">
        <w:br/>
      </w:r>
      <w:r w:rsidRPr="00E64559">
        <w:rPr>
          <w:b/>
          <w:bCs/>
        </w:rPr>
        <w:t>Insight esperado:</w:t>
      </w:r>
      <w:r w:rsidRPr="00E64559">
        <w:br/>
        <w:t>Serviços de entretenimento podem indicar clientes mais engajados, com menor propensão a cancelar.</w:t>
      </w:r>
    </w:p>
    <w:p w14:paraId="19D3EDE8" w14:textId="77777777" w:rsidR="00E64559" w:rsidRPr="00E64559" w:rsidRDefault="00E64559" w:rsidP="00E64559">
      <w:r w:rsidRPr="00E64559">
        <w:pict w14:anchorId="54630048">
          <v:rect id="_x0000_i1078" style="width:0;height:1.5pt" o:hralign="center" o:hrstd="t" o:hr="t" fillcolor="#a0a0a0" stroked="f"/>
        </w:pict>
      </w:r>
    </w:p>
    <w:p w14:paraId="725A91F4" w14:textId="77777777" w:rsidR="00E64559" w:rsidRPr="00E64559" w:rsidRDefault="00E64559" w:rsidP="00E64559">
      <w:pPr>
        <w:rPr>
          <w:b/>
          <w:bCs/>
        </w:rPr>
      </w:pPr>
      <w:r w:rsidRPr="00E64559">
        <w:rPr>
          <w:b/>
          <w:bCs/>
        </w:rPr>
        <w:lastRenderedPageBreak/>
        <w:t>1.7. Casado (</w:t>
      </w:r>
      <w:proofErr w:type="spellStart"/>
      <w:r w:rsidRPr="00E64559">
        <w:rPr>
          <w:b/>
          <w:bCs/>
        </w:rPr>
        <w:t>Partner</w:t>
      </w:r>
      <w:proofErr w:type="spellEnd"/>
      <w:r w:rsidRPr="00E64559">
        <w:rPr>
          <w:b/>
          <w:bCs/>
        </w:rPr>
        <w:t>)</w:t>
      </w:r>
    </w:p>
    <w:p w14:paraId="179E3215" w14:textId="77777777" w:rsidR="00E64559" w:rsidRPr="00E64559" w:rsidRDefault="00E64559" w:rsidP="00E64559">
      <w:r w:rsidRPr="00E64559">
        <w:rPr>
          <w:b/>
          <w:bCs/>
        </w:rPr>
        <w:t>O que o gráfico mostra:</w:t>
      </w:r>
      <w:r w:rsidRPr="00E64559">
        <w:br/>
        <w:t>Compara evasão entre clientes casados e não casados.</w:t>
      </w:r>
      <w:r w:rsidRPr="00E64559">
        <w:br/>
      </w:r>
      <w:r w:rsidRPr="00E64559">
        <w:rPr>
          <w:b/>
          <w:bCs/>
        </w:rPr>
        <w:t>Insight esperado:</w:t>
      </w:r>
      <w:r w:rsidRPr="00E64559">
        <w:br/>
        <w:t>Clientes casados podem apresentar maior estabilidade e menor evasão.</w:t>
      </w:r>
    </w:p>
    <w:p w14:paraId="2AF40D99" w14:textId="77777777" w:rsidR="00E64559" w:rsidRPr="00E64559" w:rsidRDefault="00E64559" w:rsidP="00E64559">
      <w:r w:rsidRPr="00E64559">
        <w:pict w14:anchorId="750EB500">
          <v:rect id="_x0000_i1079" style="width:0;height:1.5pt" o:hralign="center" o:hrstd="t" o:hr="t" fillcolor="#a0a0a0" stroked="f"/>
        </w:pict>
      </w:r>
    </w:p>
    <w:p w14:paraId="6FBA625F" w14:textId="77777777" w:rsidR="00E64559" w:rsidRPr="00E64559" w:rsidRDefault="00E64559" w:rsidP="00E64559">
      <w:pPr>
        <w:rPr>
          <w:b/>
          <w:bCs/>
        </w:rPr>
      </w:pPr>
      <w:r w:rsidRPr="00E64559">
        <w:rPr>
          <w:b/>
          <w:bCs/>
        </w:rPr>
        <w:t>1.8. Possui Dependentes</w:t>
      </w:r>
    </w:p>
    <w:p w14:paraId="5C5CD4C4" w14:textId="77777777" w:rsidR="00E64559" w:rsidRPr="00E64559" w:rsidRDefault="00E64559" w:rsidP="00E64559">
      <w:r w:rsidRPr="00E64559">
        <w:rPr>
          <w:b/>
          <w:bCs/>
        </w:rPr>
        <w:t>O que o gráfico mostra:</w:t>
      </w:r>
      <w:r w:rsidRPr="00E64559">
        <w:br/>
        <w:t>Mostra a evasão de clientes com ou sem dependentes.</w:t>
      </w:r>
      <w:r w:rsidRPr="00E64559">
        <w:br/>
      </w:r>
      <w:r w:rsidRPr="00E64559">
        <w:rPr>
          <w:b/>
          <w:bCs/>
        </w:rPr>
        <w:t>Insight esperado:</w:t>
      </w:r>
      <w:r w:rsidRPr="00E64559">
        <w:br/>
        <w:t>Clientes com dependentes podem ter maior envolvimento com os serviços e menor evasão.</w:t>
      </w:r>
    </w:p>
    <w:p w14:paraId="705B3F96" w14:textId="77777777" w:rsidR="00E64559" w:rsidRPr="00E64559" w:rsidRDefault="00E64559" w:rsidP="00E64559">
      <w:r w:rsidRPr="00E64559">
        <w:pict w14:anchorId="5042C1F3">
          <v:rect id="_x0000_i1080" style="width:0;height:1.5pt" o:hralign="center" o:hrstd="t" o:hr="t" fillcolor="#a0a0a0" stroked="f"/>
        </w:pict>
      </w:r>
    </w:p>
    <w:p w14:paraId="77A35C45" w14:textId="77777777" w:rsidR="00E64559" w:rsidRPr="00E64559" w:rsidRDefault="00E64559" w:rsidP="00E64559">
      <w:pPr>
        <w:rPr>
          <w:b/>
          <w:bCs/>
        </w:rPr>
      </w:pPr>
      <w:r w:rsidRPr="00E64559">
        <w:rPr>
          <w:b/>
          <w:bCs/>
        </w:rPr>
        <w:t>1.9. Idoso</w:t>
      </w:r>
    </w:p>
    <w:p w14:paraId="5117A9CB" w14:textId="77777777" w:rsidR="00E64559" w:rsidRPr="00E64559" w:rsidRDefault="00E64559" w:rsidP="00E64559">
      <w:r w:rsidRPr="00E64559">
        <w:rPr>
          <w:b/>
          <w:bCs/>
        </w:rPr>
        <w:t>O que o gráfico mostra:</w:t>
      </w:r>
      <w:r w:rsidRPr="00E64559">
        <w:br/>
        <w:t xml:space="preserve">Taxa de </w:t>
      </w:r>
      <w:proofErr w:type="spellStart"/>
      <w:r w:rsidRPr="00E64559">
        <w:t>churn</w:t>
      </w:r>
      <w:proofErr w:type="spellEnd"/>
      <w:r w:rsidRPr="00E64559">
        <w:t xml:space="preserve"> entre clientes idosos e não idosos.</w:t>
      </w:r>
      <w:r w:rsidRPr="00E64559">
        <w:br/>
      </w:r>
      <w:r w:rsidRPr="00E64559">
        <w:rPr>
          <w:b/>
          <w:bCs/>
        </w:rPr>
        <w:t>Insight esperado:</w:t>
      </w:r>
      <w:r w:rsidRPr="00E64559">
        <w:br/>
        <w:t>Pode apontar que idosos são mais fiéis ou menos propensos a mudanças de serviço.</w:t>
      </w:r>
    </w:p>
    <w:p w14:paraId="1E0EB640" w14:textId="54F1F791" w:rsidR="00A9107F" w:rsidRDefault="00E64559">
      <w:r w:rsidRPr="00E64559">
        <w:pict w14:anchorId="6D28E54F">
          <v:rect id="_x0000_i1089" style="width:0;height:1.5pt" o:hralign="center" o:hrstd="t" o:hr="t" fillcolor="#a0a0a0" stroked="f"/>
        </w:pict>
      </w:r>
    </w:p>
    <w:p w14:paraId="37844A22" w14:textId="77777777" w:rsidR="00E64559" w:rsidRPr="00E64559" w:rsidRDefault="00E64559" w:rsidP="00E64559">
      <w:r w:rsidRPr="00E64559">
        <w:rPr>
          <w:b/>
          <w:bCs/>
        </w:rPr>
        <w:t>Sessão 2 - Análise de Variáveis Numéricas</w:t>
      </w:r>
      <w:r w:rsidRPr="00E64559">
        <w:t xml:space="preserve"> com os três gráficos corrigidos e funcionando perfeitamente:</w:t>
      </w:r>
    </w:p>
    <w:p w14:paraId="691CC760" w14:textId="77777777" w:rsidR="00E64559" w:rsidRPr="00E64559" w:rsidRDefault="00E64559" w:rsidP="00E64559">
      <w:pPr>
        <w:rPr>
          <w:b/>
          <w:bCs/>
        </w:rPr>
      </w:pPr>
      <w:r w:rsidRPr="00E64559">
        <w:rPr>
          <w:rFonts w:ascii="Segoe UI Emoji" w:hAnsi="Segoe UI Emoji" w:cs="Segoe UI Emoji"/>
          <w:b/>
          <w:bCs/>
        </w:rPr>
        <w:t>✅</w:t>
      </w:r>
      <w:r w:rsidRPr="00E64559">
        <w:rPr>
          <w:b/>
          <w:bCs/>
        </w:rPr>
        <w:t xml:space="preserve"> Gráficos Apresentados:</w:t>
      </w:r>
    </w:p>
    <w:p w14:paraId="1019A397" w14:textId="77777777" w:rsidR="00E64559" w:rsidRPr="00E64559" w:rsidRDefault="00E64559" w:rsidP="00E64559">
      <w:pPr>
        <w:numPr>
          <w:ilvl w:val="0"/>
          <w:numId w:val="1"/>
        </w:numPr>
      </w:pPr>
      <w:r w:rsidRPr="00E64559">
        <w:rPr>
          <w:b/>
          <w:bCs/>
        </w:rPr>
        <w:t xml:space="preserve">Gasto Mensal </w:t>
      </w:r>
      <w:proofErr w:type="spellStart"/>
      <w:r w:rsidRPr="00E64559">
        <w:rPr>
          <w:b/>
          <w:bCs/>
        </w:rPr>
        <w:t>vs</w:t>
      </w:r>
      <w:proofErr w:type="spellEnd"/>
      <w:r w:rsidRPr="00E64559">
        <w:rPr>
          <w:b/>
          <w:bCs/>
        </w:rPr>
        <w:t xml:space="preserve"> Evasão</w:t>
      </w:r>
    </w:p>
    <w:p w14:paraId="42A5990B" w14:textId="77777777" w:rsidR="00E64559" w:rsidRPr="00E64559" w:rsidRDefault="00E64559" w:rsidP="00E64559">
      <w:pPr>
        <w:numPr>
          <w:ilvl w:val="0"/>
          <w:numId w:val="1"/>
        </w:numPr>
      </w:pPr>
      <w:r w:rsidRPr="00E64559">
        <w:rPr>
          <w:b/>
          <w:bCs/>
        </w:rPr>
        <w:t xml:space="preserve">Gasto Total </w:t>
      </w:r>
      <w:proofErr w:type="spellStart"/>
      <w:r w:rsidRPr="00E64559">
        <w:rPr>
          <w:b/>
          <w:bCs/>
        </w:rPr>
        <w:t>vs</w:t>
      </w:r>
      <w:proofErr w:type="spellEnd"/>
      <w:r w:rsidRPr="00E64559">
        <w:rPr>
          <w:b/>
          <w:bCs/>
        </w:rPr>
        <w:t xml:space="preserve"> Evasão</w:t>
      </w:r>
    </w:p>
    <w:p w14:paraId="65ED15E2" w14:textId="77777777" w:rsidR="00E64559" w:rsidRPr="00E64559" w:rsidRDefault="00E64559" w:rsidP="00E64559">
      <w:pPr>
        <w:numPr>
          <w:ilvl w:val="0"/>
          <w:numId w:val="1"/>
        </w:numPr>
      </w:pPr>
      <w:r w:rsidRPr="00E64559">
        <w:rPr>
          <w:b/>
          <w:bCs/>
        </w:rPr>
        <w:t xml:space="preserve">Tempo de Contrato </w:t>
      </w:r>
      <w:proofErr w:type="spellStart"/>
      <w:r w:rsidRPr="00E64559">
        <w:rPr>
          <w:b/>
          <w:bCs/>
        </w:rPr>
        <w:t>vs</w:t>
      </w:r>
      <w:proofErr w:type="spellEnd"/>
      <w:r w:rsidRPr="00E64559">
        <w:rPr>
          <w:b/>
          <w:bCs/>
        </w:rPr>
        <w:t xml:space="preserve"> Evasão</w:t>
      </w:r>
    </w:p>
    <w:p w14:paraId="536D659A" w14:textId="77777777" w:rsidR="00E64559" w:rsidRPr="00E64559" w:rsidRDefault="00E64559" w:rsidP="00E64559">
      <w:pPr>
        <w:rPr>
          <w:b/>
          <w:bCs/>
        </w:rPr>
      </w:pPr>
      <w:r w:rsidRPr="00E64559">
        <w:rPr>
          <w:rFonts w:ascii="Segoe UI Emoji" w:hAnsi="Segoe UI Emoji" w:cs="Segoe UI Emoji"/>
          <w:b/>
          <w:bCs/>
        </w:rPr>
        <w:t>🧠</w:t>
      </w:r>
      <w:r w:rsidRPr="00E64559">
        <w:rPr>
          <w:b/>
          <w:bCs/>
        </w:rPr>
        <w:t xml:space="preserve"> Interpretação dos Gráficos:</w:t>
      </w:r>
    </w:p>
    <w:p w14:paraId="26DFB15E" w14:textId="77777777" w:rsidR="00E64559" w:rsidRPr="00E64559" w:rsidRDefault="00E64559" w:rsidP="00E64559">
      <w:pPr>
        <w:numPr>
          <w:ilvl w:val="0"/>
          <w:numId w:val="2"/>
        </w:numPr>
      </w:pPr>
      <w:r w:rsidRPr="00E64559">
        <w:rPr>
          <w:b/>
          <w:bCs/>
        </w:rPr>
        <w:t>Gasto Mensal</w:t>
      </w:r>
      <w:r w:rsidRPr="00E64559">
        <w:t>: Clientes que evadiram tendem a apresentar uma leve concentração em gastos mais elevados.</w:t>
      </w:r>
    </w:p>
    <w:p w14:paraId="6EA4369E" w14:textId="77777777" w:rsidR="00E64559" w:rsidRPr="00E64559" w:rsidRDefault="00E64559" w:rsidP="00E64559">
      <w:pPr>
        <w:numPr>
          <w:ilvl w:val="0"/>
          <w:numId w:val="2"/>
        </w:numPr>
      </w:pPr>
      <w:r w:rsidRPr="00E64559">
        <w:rPr>
          <w:b/>
          <w:bCs/>
        </w:rPr>
        <w:t>Gasto Total</w:t>
      </w:r>
      <w:r w:rsidRPr="00E64559">
        <w:t>: Clientes ativos acumulam maior gasto total, o que é esperado, já que ficaram mais tempo.</w:t>
      </w:r>
    </w:p>
    <w:p w14:paraId="2CD03294" w14:textId="77777777" w:rsidR="00E64559" w:rsidRPr="00E64559" w:rsidRDefault="00E64559" w:rsidP="00E64559">
      <w:pPr>
        <w:numPr>
          <w:ilvl w:val="0"/>
          <w:numId w:val="2"/>
        </w:numPr>
      </w:pPr>
      <w:r w:rsidRPr="00E64559">
        <w:rPr>
          <w:b/>
          <w:bCs/>
        </w:rPr>
        <w:t>Tempo de Contrato</w:t>
      </w:r>
      <w:r w:rsidRPr="00E64559">
        <w:t>: A evasão é significativamente maior nos primeiros meses de contrato — evidenciando um comportamento comum de saída precoce.</w:t>
      </w:r>
    </w:p>
    <w:p w14:paraId="3F3BD81A" w14:textId="77777777" w:rsidR="00E64559" w:rsidRDefault="00E64559"/>
    <w:sectPr w:rsidR="00E64559" w:rsidSect="00E6455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B132A"/>
    <w:multiLevelType w:val="multilevel"/>
    <w:tmpl w:val="B44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DF73D8"/>
    <w:multiLevelType w:val="multilevel"/>
    <w:tmpl w:val="EACC1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219518">
    <w:abstractNumId w:val="1"/>
  </w:num>
  <w:num w:numId="2" w16cid:durableId="129794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559"/>
    <w:rsid w:val="003C511A"/>
    <w:rsid w:val="00A9107F"/>
    <w:rsid w:val="00C65FE4"/>
    <w:rsid w:val="00E6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C9193"/>
  <w15:chartTrackingRefBased/>
  <w15:docId w15:val="{2437FD4A-008B-4681-9F0B-FD978F0F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4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4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45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4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45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4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4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4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4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45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45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45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455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4559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45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45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45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45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4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4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4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4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4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45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45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455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45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4559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455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Fernandes</dc:creator>
  <cp:keywords/>
  <dc:description/>
  <cp:lastModifiedBy>Manuel Fernandes</cp:lastModifiedBy>
  <cp:revision>1</cp:revision>
  <dcterms:created xsi:type="dcterms:W3CDTF">2025-07-24T04:46:00Z</dcterms:created>
  <dcterms:modified xsi:type="dcterms:W3CDTF">2025-07-24T04:48:00Z</dcterms:modified>
</cp:coreProperties>
</file>