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r>
        <w:rPr>
          <w:rFonts w:ascii="Arial" w:hAnsi="Arial"/>
          <w:b w:val="0"/>
          <w:color w:val="555555"/>
          <w:sz w:val="20"/>
        </w:rPr>
        <w:t>Revenue Innovation - BI</w:t>
      </w:r>
    </w:p>
    <w:p>
      <w:pPr>
        <w:spacing w:after="40"/>
      </w:pPr>
    </w:p>
    <w:p>
      <w:pPr>
        <w:spacing w:after="120"/>
      </w:pPr>
      <w:r>
        <w:rPr>
          <w:rFonts w:ascii="Arial" w:hAnsi="Arial"/>
          <w:b/>
          <w:color w:val="1F3864"/>
          <w:sz w:val="60"/>
        </w:rPr>
        <w:t>Proceso de Adversidad Hotelera</w:t>
      </w:r>
    </w:p>
    <w:p>
      <w:pPr>
        <w:spacing w:after="80"/>
      </w:pPr>
      <w:r>
        <w:rPr>
          <w:rFonts w:ascii="Arial" w:hAnsi="Arial"/>
          <w:b w:val="0"/>
          <w:color w:val="2E5EAA"/>
          <w:sz w:val="28"/>
        </w:rPr>
        <w:t>Como se mide la competitividad tarifaria de Despegar frente a OTAs</w:t>
      </w:r>
    </w:p>
    <w:p>
      <w:pPr>
        <w:spacing w:after="40"/>
      </w:pPr>
    </w:p>
    <w:p>
      <w:r>
        <w:rPr>
          <w:rFonts w:ascii="Arial" w:hAnsi="Arial"/>
          <w:b w:val="0"/>
          <w:color w:val="555555"/>
          <w:sz w:val="18"/>
        </w:rPr>
        <w:t>Version: 2026-08-05  |  Estado: Produccion  |  Owner: Revenue Innovation</w:t>
      </w:r>
    </w:p>
    <w:p>
      <w:r>
        <w:br w:type="page"/>
      </w:r>
    </w:p>
    <w:p>
      <w:pPr>
        <w:spacing w:before="400" w:after="120"/>
        <w:pBdr>
          <w:bottom w:val="single" w:sz="6" w:space="4" w:color="2E5EAA"/>
        </w:pBdr>
      </w:pPr>
      <w:r>
        <w:rPr>
          <w:rFonts w:ascii="Arial" w:hAnsi="Arial"/>
          <w:b/>
          <w:color w:val="1F3864"/>
          <w:sz w:val="32"/>
        </w:rPr>
        <w:t>Indice</w:t>
      </w:r>
    </w:p>
    <w:p>
      <w:pPr>
        <w:spacing w:after="60"/>
      </w:pPr>
      <w:r>
        <w:rPr>
          <w:rFonts w:ascii="Arial" w:hAnsi="Arial"/>
          <w:b/>
          <w:color w:val="1F3864"/>
          <w:sz w:val="20"/>
        </w:rPr>
        <w:t xml:space="preserve">1.  </w:t>
      </w:r>
      <w:r>
        <w:rPr>
          <w:rFonts w:ascii="Arial" w:hAnsi="Arial"/>
          <w:b w:val="0"/>
          <w:color w:val="1A1A2E"/>
          <w:sz w:val="20"/>
        </w:rPr>
        <w:t>Que es la Adversidad y por que se mide</w:t>
      </w:r>
    </w:p>
    <w:p>
      <w:pPr>
        <w:spacing w:after="60"/>
      </w:pPr>
      <w:r>
        <w:rPr>
          <w:rFonts w:ascii="Arial" w:hAnsi="Arial"/>
          <w:b/>
          <w:color w:val="1F3864"/>
          <w:sz w:val="20"/>
        </w:rPr>
        <w:t xml:space="preserve">2.  </w:t>
      </w:r>
      <w:r>
        <w:rPr>
          <w:rFonts w:ascii="Arial" w:hAnsi="Arial"/>
          <w:b w:val="0"/>
          <w:color w:val="1A1A2E"/>
          <w:sz w:val="20"/>
        </w:rPr>
        <w:t>Universo de medicion: mercados, competidores y contextos</w:t>
      </w:r>
    </w:p>
    <w:p>
      <w:pPr>
        <w:spacing w:after="60"/>
      </w:pPr>
      <w:r>
        <w:rPr>
          <w:rFonts w:ascii="Arial" w:hAnsi="Arial"/>
          <w:b/>
          <w:color w:val="1F3864"/>
          <w:sz w:val="20"/>
        </w:rPr>
        <w:t xml:space="preserve">3.  </w:t>
      </w:r>
      <w:r>
        <w:rPr>
          <w:rFonts w:ascii="Arial" w:hAnsi="Arial"/>
          <w:b w:val="0"/>
          <w:color w:val="1A1A2E"/>
          <w:sz w:val="20"/>
        </w:rPr>
        <w:t>Como funciona el crawling: de la busqueda al pricepoint</w:t>
      </w:r>
    </w:p>
    <w:p>
      <w:pPr>
        <w:spacing w:after="60"/>
      </w:pPr>
      <w:r>
        <w:rPr>
          <w:rFonts w:ascii="Arial" w:hAnsi="Arial"/>
          <w:b/>
          <w:color w:val="1F3864"/>
          <w:sz w:val="20"/>
        </w:rPr>
        <w:t xml:space="preserve">4.  </w:t>
      </w:r>
      <w:r>
        <w:rPr>
          <w:rFonts w:ascii="Arial" w:hAnsi="Arial"/>
          <w:b w:val="0"/>
          <w:color w:val="1A1A2E"/>
          <w:sz w:val="20"/>
        </w:rPr>
        <w:t>Clasificacion BML: como se determina si Despegar gana o pierde</w:t>
      </w:r>
    </w:p>
    <w:p>
      <w:pPr>
        <w:spacing w:after="60"/>
      </w:pPr>
      <w:r>
        <w:rPr>
          <w:rFonts w:ascii="Arial" w:hAnsi="Arial"/>
          <w:b/>
          <w:color w:val="1F3864"/>
          <w:sz w:val="20"/>
        </w:rPr>
        <w:t xml:space="preserve">5.  </w:t>
      </w:r>
      <w:r>
        <w:rPr>
          <w:rFonts w:ascii="Arial" w:hAnsi="Arial"/>
          <w:b w:val="0"/>
          <w:color w:val="1A1A2E"/>
          <w:sz w:val="20"/>
        </w:rPr>
        <w:t>El ponderador: por que no todos los pricepoints valen igual</w:t>
      </w:r>
    </w:p>
    <w:p>
      <w:pPr>
        <w:spacing w:after="60"/>
      </w:pPr>
      <w:r>
        <w:rPr>
          <w:rFonts w:ascii="Arial" w:hAnsi="Arial"/>
          <w:b/>
          <w:color w:val="1F3864"/>
          <w:sz w:val="20"/>
        </w:rPr>
        <w:t xml:space="preserve">6.  </w:t>
      </w:r>
      <w:r>
        <w:rPr>
          <w:rFonts w:ascii="Arial" w:hAnsi="Arial"/>
          <w:b w:val="0"/>
          <w:color w:val="1A1A2E"/>
          <w:sz w:val="20"/>
        </w:rPr>
        <w:t>Calculo del KPI oficial: formula y filtros obligatorios</w:t>
      </w:r>
    </w:p>
    <w:p>
      <w:pPr>
        <w:spacing w:after="60"/>
      </w:pPr>
      <w:r>
        <w:rPr>
          <w:rFonts w:ascii="Arial" w:hAnsi="Arial"/>
          <w:b/>
          <w:color w:val="1F3864"/>
          <w:sz w:val="20"/>
        </w:rPr>
        <w:t xml:space="preserve">7.  </w:t>
      </w:r>
      <w:r>
        <w:rPr>
          <w:rFonts w:ascii="Arial" w:hAnsi="Arial"/>
          <w:b w:val="0"/>
          <w:color w:val="1A1A2E"/>
          <w:sz w:val="20"/>
        </w:rPr>
        <w:t>Feeds: Revenue vs. TTPP</w:t>
      </w:r>
    </w:p>
    <w:p>
      <w:pPr>
        <w:spacing w:after="60"/>
      </w:pPr>
      <w:r>
        <w:rPr>
          <w:rFonts w:ascii="Arial" w:hAnsi="Arial"/>
          <w:b/>
          <w:color w:val="1F3864"/>
          <w:sz w:val="20"/>
        </w:rPr>
        <w:t xml:space="preserve">8.  </w:t>
      </w:r>
      <w:r>
        <w:rPr>
          <w:rFonts w:ascii="Arial" w:hAnsi="Arial"/>
          <w:b w:val="0"/>
          <w:color w:val="1A1A2E"/>
          <w:sz w:val="20"/>
        </w:rPr>
        <w:t>Como se reporta y quien lo consume</w:t>
      </w:r>
    </w:p>
    <w:p>
      <w:pPr>
        <w:spacing w:after="60"/>
      </w:pPr>
      <w:r>
        <w:rPr>
          <w:rFonts w:ascii="Arial" w:hAnsi="Arial"/>
          <w:b/>
          <w:color w:val="1F3864"/>
          <w:sz w:val="20"/>
        </w:rPr>
        <w:t xml:space="preserve">9.  </w:t>
      </w:r>
      <w:r>
        <w:rPr>
          <w:rFonts w:ascii="Arial" w:hAnsi="Arial"/>
          <w:b w:val="0"/>
          <w:color w:val="1A1A2E"/>
          <w:sz w:val="20"/>
        </w:rPr>
        <w:t>Cambios metodologicos y comparabilidad historica</w:t>
      </w:r>
    </w:p>
    <w:p>
      <w:pPr>
        <w:spacing w:after="60"/>
      </w:pPr>
      <w:r>
        <w:rPr>
          <w:rFonts w:ascii="Arial" w:hAnsi="Arial"/>
          <w:b/>
          <w:color w:val="1F3864"/>
          <w:sz w:val="20"/>
        </w:rPr>
        <w:t xml:space="preserve">10.  </w:t>
      </w:r>
      <w:r>
        <w:rPr>
          <w:rFonts w:ascii="Arial" w:hAnsi="Arial"/>
          <w:b w:val="0"/>
          <w:color w:val="1A1A2E"/>
          <w:sz w:val="20"/>
        </w:rPr>
        <w:t>SLA y calidad de datos</w:t>
      </w:r>
    </w:p>
    <w:p>
      <w:pPr>
        <w:spacing w:after="60"/>
      </w:pPr>
      <w:r>
        <w:rPr>
          <w:rFonts w:ascii="Arial" w:hAnsi="Arial"/>
          <w:b/>
          <w:color w:val="1F3864"/>
          <w:sz w:val="20"/>
        </w:rPr>
        <w:t xml:space="preserve">11.  </w:t>
      </w:r>
      <w:r>
        <w:rPr>
          <w:rFonts w:ascii="Arial" w:hAnsi="Arial"/>
          <w:b w:val="0"/>
          <w:color w:val="1A1A2E"/>
          <w:sz w:val="20"/>
        </w:rPr>
        <w:t>El Tipificador: analisis de causa raiz downstream</w:t>
      </w:r>
    </w:p>
    <w:p>
      <w:r>
        <w:br w:type="page"/>
      </w:r>
    </w:p>
    <w:p>
      <w:pPr>
        <w:spacing w:before="400" w:after="120"/>
        <w:pBdr>
          <w:bottom w:val="single" w:sz="6" w:space="4" w:color="2E5EAA"/>
        </w:pBdr>
      </w:pPr>
      <w:r>
        <w:rPr>
          <w:rFonts w:ascii="Arial" w:hAnsi="Arial"/>
          <w:b/>
          <w:color w:val="1F3864"/>
          <w:sz w:val="32"/>
        </w:rPr>
        <w:t>1. Que es la Adversidad y por que se mide</w:t>
      </w:r>
    </w:p>
    <w:p>
      <w:pPr>
        <w:spacing w:after="80"/>
      </w:pPr>
      <w:r>
        <w:rPr>
          <w:rFonts w:ascii="Arial" w:hAnsi="Arial"/>
          <w:b w:val="0"/>
          <w:color w:val="1A1A2E"/>
          <w:sz w:val="20"/>
        </w:rPr>
        <w:t>La Adversidad (adversity_rate) es el KPI corporativo de Revenue que mide cuanto pierde Despegar en competitividad tarifaria frente a OTAs competidoras dentro de la vertical de Hoteles.</w:t>
      </w:r>
    </w:p>
    <w:p>
      <w:pPr>
        <w:spacing w:after="80"/>
      </w:pPr>
      <w:r>
        <w:rPr>
          <w:rFonts w:ascii="Arial" w:hAnsi="Arial"/>
          <w:b w:val="0"/>
          <w:color w:val="1A1A2E"/>
          <w:sz w:val="20"/>
        </w:rPr>
        <w:t>En terminos simples: de todas las situaciones relevantes en las que Despegar compite contra otro canal de venta, en que porcentaje Despegar es mas caro?</w:t>
      </w:r>
    </w:p>
    <w:p>
      <w:pPr>
        <w:spacing w:after="40"/>
      </w:pPr>
    </w:p>
    <w:p>
      <w:pPr>
        <w:spacing w:after="80"/>
      </w:pPr>
      <w:r>
        <w:rPr>
          <w:rFonts w:ascii="Arial" w:hAnsi="Arial"/>
          <w:b/>
          <w:color w:val="1A1A2E"/>
          <w:sz w:val="20"/>
        </w:rPr>
        <w:t>Esta metrica es central para el negocio porque:</w:t>
      </w:r>
    </w:p>
    <w:p>
      <w:pPr>
        <w:pStyle w:val="ListBullet"/>
        <w:spacing w:after="40"/>
      </w:pPr>
      <w:r>
        <w:rPr>
          <w:rFonts w:ascii="Arial" w:hAnsi="Arial"/>
          <w:b w:val="0"/>
          <w:color w:val="1A1A2E"/>
          <w:sz w:val="20"/>
        </w:rPr>
        <w:t>Define cuanto descuento debe ofrecer Despegar para ser competitivo (y cuanto cuesta ese descuento en margen).</w:t>
      </w:r>
    </w:p>
    <w:p>
      <w:pPr>
        <w:pStyle w:val="ListBullet"/>
        <w:spacing w:after="40"/>
      </w:pPr>
      <w:r>
        <w:rPr>
          <w:rFonts w:ascii="Arial" w:hAnsi="Arial"/>
          <w:b w:val="0"/>
          <w:color w:val="1A1A2E"/>
          <w:sz w:val="20"/>
        </w:rPr>
        <w:t>Identifica que hoteles, mercados y tipos de viaje tienen mayor desventaja de precio.</w:t>
      </w:r>
    </w:p>
    <w:p>
      <w:pPr>
        <w:pStyle w:val="ListBullet"/>
        <w:spacing w:after="40"/>
      </w:pPr>
      <w:r>
        <w:rPr>
          <w:rFonts w:ascii="Arial" w:hAnsi="Arial"/>
          <w:b w:val="0"/>
          <w:color w:val="1A1A2E"/>
          <w:sz w:val="20"/>
        </w:rPr>
        <w:t>Guia las negociaciones con proveedores y hoteles.</w:t>
      </w:r>
    </w:p>
    <w:p>
      <w:pPr>
        <w:pStyle w:val="ListBullet"/>
        <w:spacing w:after="40"/>
      </w:pPr>
      <w:r>
        <w:rPr>
          <w:rFonts w:ascii="Arial" w:hAnsi="Arial"/>
          <w:b w:val="0"/>
          <w:color w:val="1A1A2E"/>
          <w:sz w:val="20"/>
        </w:rPr>
        <w:t>Es el insumo para herramientas de pricing automatico (Price Match, Smart Alerts).</w:t>
      </w:r>
    </w:p>
    <w:p>
      <w:pPr>
        <w:pStyle w:val="ListBullet"/>
        <w:spacing w:after="40"/>
      </w:pPr>
      <w:r>
        <w:rPr>
          <w:rFonts w:ascii="Arial" w:hAnsi="Arial"/>
          <w:b w:val="0"/>
          <w:color w:val="1A1A2E"/>
          <w:sz w:val="20"/>
        </w:rPr>
        <w:t>Es el indicador de seguimiento ejecutivo semanal del equipo de Revenue.</w:t>
      </w:r>
    </w:p>
    <w:p>
      <w:pPr>
        <w:spacing w:after="40"/>
      </w:pPr>
    </w:p>
    <w:tbl>
      <w:tblPr>
        <w:tblStyle w:val="TableGrid"/>
        <w:tblW w:type="auto" w:w="0"/>
        <w:jc w:val="left"/>
        <w:tblLook w:firstColumn="1" w:firstRow="1" w:lastColumn="0" w:lastRow="0" w:noHBand="0" w:noVBand="1" w:val="04A0"/>
      </w:tblPr>
      <w:tblGrid>
        <w:gridCol w:w="9412"/>
      </w:tblGrid>
      <w:tr>
        <w:tc>
          <w:tcPr>
            <w:tcW w:type="dxa" w:w="9412"/>
            <w:shd w:val="clear" w:color="auto" w:fill="FFF3CD"/>
            <w:tcBorders>
              <w:top w:val="single" w:sz="4" w:space="0" w:color="DDD3AD"/>
              <w:left w:val="single" w:sz="4" w:space="0" w:color="DDD3AD"/>
              <w:bottom w:val="single" w:sz="4" w:space="0" w:color="DDD3AD"/>
              <w:right w:val="single" w:sz="4" w:space="0" w:color="DDD3AD"/>
            </w:tcBorders>
            <w:tcW w:w="9412" w:type="dxa"/>
          </w:tcPr>
          <w:p>
            <w:pPr>
              <w:spacing w:before="80" w:after="80"/>
            </w:pPr>
            <w:r>
              <w:rPr>
                <w:rFonts w:ascii="Arial" w:hAnsi="Arial"/>
                <w:b w:val="0"/>
                <w:color w:val="926000"/>
                <w:sz w:val="19"/>
              </w:rPr>
              <w:t>La Adversidad NO mide si Despegar es caro en terminos absolutos. Mide si Despegar es mas caro que el competidor en las mismas condiciones de compra. Un hotel caro puede tener adversidad baja si el competidor cobra lo mismo.</w:t>
            </w:r>
          </w:p>
        </w:tc>
      </w:tr>
    </w:tbl>
    <w:p>
      <w:pPr>
        <w:spacing w:after="40"/>
      </w:pPr>
    </w:p>
    <w:p>
      <w:r>
        <w:br w:type="page"/>
      </w:r>
    </w:p>
    <w:p>
      <w:pPr>
        <w:spacing w:before="400" w:after="120"/>
        <w:pBdr>
          <w:bottom w:val="single" w:sz="6" w:space="4" w:color="2E5EAA"/>
        </w:pBdr>
      </w:pPr>
      <w:r>
        <w:rPr>
          <w:rFonts w:ascii="Arial" w:hAnsi="Arial"/>
          <w:b/>
          <w:color w:val="1F3864"/>
          <w:sz w:val="32"/>
        </w:rPr>
        <w:t>2. Universo de medicion: mercados, competidores y contextos</w:t>
      </w:r>
    </w:p>
    <w:p>
      <w:pPr>
        <w:spacing w:before="280" w:after="80"/>
      </w:pPr>
      <w:r>
        <w:rPr>
          <w:rFonts w:ascii="Arial" w:hAnsi="Arial"/>
          <w:b/>
          <w:color w:val="2E5EAA"/>
          <w:sz w:val="24"/>
        </w:rPr>
        <w:t>2.1 Mercados (dominios)</w:t>
      </w:r>
    </w:p>
    <w:p>
      <w:pPr>
        <w:spacing w:after="80"/>
      </w:pPr>
      <w:r>
        <w:rPr>
          <w:rFonts w:ascii="Arial" w:hAnsi="Arial"/>
          <w:b w:val="0"/>
          <w:color w:val="1A1A2E"/>
          <w:sz w:val="20"/>
        </w:rPr>
        <w:t>La medicion se realiza desde los siguientes puntos de venta (POS):</w:t>
      </w:r>
    </w:p>
    <w:tbl>
      <w:tblPr>
        <w:tblStyle w:val="TableGrid"/>
        <w:tblW w:type="auto" w:w="0"/>
        <w:jc w:val="left"/>
        <w:tblLook w:firstColumn="1" w:firstRow="1" w:lastColumn="0" w:lastRow="0" w:noHBand="0" w:noVBand="1" w:val="04A0"/>
      </w:tblPr>
      <w:tblGrid>
        <w:gridCol w:w="4706"/>
        <w:gridCol w:w="4706"/>
      </w:tblGrid>
      <w:tr>
        <w:tc>
          <w:tcPr>
            <w:tcW w:type="dxa" w:w="4706"/>
            <w:tcW w:w="170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Dominio</w:t>
            </w:r>
          </w:p>
        </w:tc>
        <w:tc>
          <w:tcPr>
            <w:tcW w:type="dxa" w:w="4706"/>
            <w:tcW w:w="771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Pais</w:t>
            </w:r>
          </w:p>
        </w:tc>
      </w:tr>
      <w:tr>
        <w:tc>
          <w:tcPr>
            <w:tcW w:type="dxa" w:w="4706"/>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AR</w:t>
            </w:r>
          </w:p>
        </w:tc>
        <w:tc>
          <w:tcPr>
            <w:tcW w:type="dxa" w:w="4706"/>
            <w:tcW w:w="771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Argentina</w:t>
            </w:r>
          </w:p>
        </w:tc>
      </w:tr>
      <w:tr>
        <w:tc>
          <w:tcPr>
            <w:tcW w:type="dxa" w:w="4706"/>
            <w:tcW w:w="170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BR</w:t>
            </w:r>
          </w:p>
        </w:tc>
        <w:tc>
          <w:tcPr>
            <w:tcW w:type="dxa" w:w="4706"/>
            <w:tcW w:w="771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Brasil</w:t>
            </w:r>
          </w:p>
        </w:tc>
      </w:tr>
      <w:tr>
        <w:tc>
          <w:tcPr>
            <w:tcW w:type="dxa" w:w="4706"/>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CL</w:t>
            </w:r>
          </w:p>
        </w:tc>
        <w:tc>
          <w:tcPr>
            <w:tcW w:type="dxa" w:w="4706"/>
            <w:tcW w:w="771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Chile</w:t>
            </w:r>
          </w:p>
        </w:tc>
      </w:tr>
      <w:tr>
        <w:tc>
          <w:tcPr>
            <w:tcW w:type="dxa" w:w="4706"/>
            <w:tcW w:w="170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CO</w:t>
            </w:r>
          </w:p>
        </w:tc>
        <w:tc>
          <w:tcPr>
            <w:tcW w:type="dxa" w:w="4706"/>
            <w:tcW w:w="771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Colombia</w:t>
            </w:r>
          </w:p>
        </w:tc>
      </w:tr>
      <w:tr>
        <w:tc>
          <w:tcPr>
            <w:tcW w:type="dxa" w:w="4706"/>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MX</w:t>
            </w:r>
          </w:p>
        </w:tc>
        <w:tc>
          <w:tcPr>
            <w:tcW w:type="dxa" w:w="4706"/>
            <w:tcW w:w="771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Mexico</w:t>
            </w:r>
          </w:p>
        </w:tc>
      </w:tr>
      <w:tr>
        <w:tc>
          <w:tcPr>
            <w:tcW w:type="dxa" w:w="4706"/>
            <w:tcW w:w="170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PE</w:t>
            </w:r>
          </w:p>
        </w:tc>
        <w:tc>
          <w:tcPr>
            <w:tcW w:type="dxa" w:w="4706"/>
            <w:tcW w:w="771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Peru</w:t>
            </w:r>
          </w:p>
        </w:tc>
      </w:tr>
    </w:tbl>
    <w:p>
      <w:pPr>
        <w:spacing w:after="40"/>
      </w:pPr>
    </w:p>
    <w:p>
      <w:pPr>
        <w:spacing w:before="280" w:after="80"/>
      </w:pPr>
      <w:r>
        <w:rPr>
          <w:rFonts w:ascii="Arial" w:hAnsi="Arial"/>
          <w:b/>
          <w:color w:val="2E5EAA"/>
          <w:sz w:val="24"/>
        </w:rPr>
        <w:t>2.2 Competidores por mercado</w:t>
      </w:r>
    </w:p>
    <w:tbl>
      <w:tblPr>
        <w:tblStyle w:val="TableGrid"/>
        <w:tblW w:type="auto" w:w="0"/>
        <w:jc w:val="left"/>
        <w:tblLook w:firstColumn="1" w:firstRow="1" w:lastColumn="0" w:lastRow="0" w:noHBand="0" w:noVBand="1" w:val="04A0"/>
      </w:tblPr>
      <w:tblGrid>
        <w:gridCol w:w="4706"/>
        <w:gridCol w:w="4706"/>
      </w:tblGrid>
      <w:tr>
        <w:tc>
          <w:tcPr>
            <w:tcW w:type="dxa" w:w="4706"/>
            <w:tcW w:w="170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Dominio</w:t>
            </w:r>
          </w:p>
        </w:tc>
        <w:tc>
          <w:tcPr>
            <w:tcW w:type="dxa" w:w="4706"/>
            <w:tcW w:w="771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Competidores medidos</w:t>
            </w:r>
          </w:p>
        </w:tc>
      </w:tr>
      <w:tr>
        <w:tc>
          <w:tcPr>
            <w:tcW w:type="dxa" w:w="4706"/>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AR</w:t>
            </w:r>
          </w:p>
        </w:tc>
        <w:tc>
          <w:tcPr>
            <w:tcW w:type="dxa" w:w="4706"/>
            <w:tcW w:w="771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Booking, Almundo</w:t>
            </w:r>
          </w:p>
        </w:tc>
      </w:tr>
      <w:tr>
        <w:tc>
          <w:tcPr>
            <w:tcW w:type="dxa" w:w="4706"/>
            <w:tcW w:w="170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BR</w:t>
            </w:r>
          </w:p>
        </w:tc>
        <w:tc>
          <w:tcPr>
            <w:tcW w:type="dxa" w:w="4706"/>
            <w:tcW w:w="771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Booking, Hoteis.com, Expedia</w:t>
            </w:r>
          </w:p>
        </w:tc>
      </w:tr>
      <w:tr>
        <w:tc>
          <w:tcPr>
            <w:tcW w:type="dxa" w:w="4706"/>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CL</w:t>
            </w:r>
          </w:p>
        </w:tc>
        <w:tc>
          <w:tcPr>
            <w:tcW w:type="dxa" w:w="4706"/>
            <w:tcW w:w="771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Booking</w:t>
            </w:r>
          </w:p>
        </w:tc>
      </w:tr>
      <w:tr>
        <w:tc>
          <w:tcPr>
            <w:tcW w:type="dxa" w:w="4706"/>
            <w:tcW w:w="170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CO</w:t>
            </w:r>
          </w:p>
        </w:tc>
        <w:tc>
          <w:tcPr>
            <w:tcW w:type="dxa" w:w="4706"/>
            <w:tcW w:w="771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Booking, TiquetesBaratos, ViajesExito</w:t>
            </w:r>
          </w:p>
        </w:tc>
      </w:tr>
      <w:tr>
        <w:tc>
          <w:tcPr>
            <w:tcW w:type="dxa" w:w="4706"/>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MX</w:t>
            </w:r>
          </w:p>
        </w:tc>
        <w:tc>
          <w:tcPr>
            <w:tcW w:type="dxa" w:w="4706"/>
            <w:tcW w:w="771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Booking, PriceTravel, Expedia, Hoteis.com</w:t>
            </w:r>
          </w:p>
        </w:tc>
      </w:tr>
    </w:tbl>
    <w:p>
      <w:pPr>
        <w:spacing w:after="40"/>
      </w:pPr>
    </w:p>
    <w:p>
      <w:pPr>
        <w:spacing w:before="280" w:after="80"/>
      </w:pPr>
      <w:r>
        <w:rPr>
          <w:rFonts w:ascii="Arial" w:hAnsi="Arial"/>
          <w:b/>
          <w:color w:val="2E5EAA"/>
          <w:sz w:val="24"/>
        </w:rPr>
        <w:t>2.3 Contextos de medicion</w:t>
      </w:r>
    </w:p>
    <w:p>
      <w:pPr>
        <w:spacing w:after="80"/>
      </w:pPr>
      <w:r>
        <w:rPr>
          <w:rFonts w:ascii="Arial" w:hAnsi="Arial"/>
          <w:b w:val="0"/>
          <w:color w:val="1A1A2E"/>
          <w:sz w:val="20"/>
        </w:rPr>
        <w:t>Booking se mide bajo multiples contextos de acceso que reflejan distintos niveles de descuento disponibles para el usuario:</w:t>
      </w:r>
    </w:p>
    <w:tbl>
      <w:tblPr>
        <w:tblStyle w:val="TableGrid"/>
        <w:tblW w:type="auto" w:w="0"/>
        <w:jc w:val="left"/>
        <w:tblLook w:firstColumn="1" w:firstRow="1" w:lastColumn="0" w:lastRow="0" w:noHBand="0" w:noVBand="1" w:val="04A0"/>
      </w:tblPr>
      <w:tblGrid>
        <w:gridCol w:w="3137"/>
        <w:gridCol w:w="3137"/>
        <w:gridCol w:w="3137"/>
      </w:tblGrid>
      <w:tr>
        <w:tc>
          <w:tcPr>
            <w:tcW w:type="dxa" w:w="3137"/>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Contexto</w:t>
            </w:r>
          </w:p>
        </w:tc>
        <w:tc>
          <w:tcPr>
            <w:tcW w:type="dxa" w:w="3137"/>
            <w:tcW w:w="5386"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Descripcion</w:t>
            </w:r>
          </w:p>
        </w:tc>
        <w:tc>
          <w:tcPr>
            <w:tcW w:type="dxa" w:w="3137"/>
            <w:tcW w:w="204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Es OKR oficial?</w:t>
            </w:r>
          </w:p>
        </w:tc>
      </w:tr>
      <w:tr>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Public</w:t>
            </w:r>
          </w:p>
        </w:tc>
        <w:tc>
          <w:tcPr>
            <w:tcW w:type="dxa" w:w="3137"/>
            <w:tcW w:w="5386"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Sin login. Precio visible para cualquier usuario.</w:t>
            </w:r>
          </w:p>
        </w:tc>
        <w:tc>
          <w:tcPr>
            <w:tcW w:type="dxa" w:w="3137"/>
            <w:tcW w:w="204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w:t>
            </w:r>
          </w:p>
        </w:tc>
      </w:tr>
      <w:tr>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Genius 1</w:t>
            </w:r>
          </w:p>
        </w:tc>
        <w:tc>
          <w:tcPr>
            <w:tcW w:type="dxa" w:w="3137"/>
            <w:tcW w:w="5386"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Usuario logueado con nivel Genius 1 de Booking.</w:t>
            </w:r>
          </w:p>
        </w:tc>
        <w:tc>
          <w:tcPr>
            <w:tcW w:type="dxa" w:w="3137"/>
            <w:tcW w:w="204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Si - benchmark principal</w:t>
            </w:r>
          </w:p>
        </w:tc>
      </w:tr>
      <w:tr>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Genius 2</w:t>
            </w:r>
          </w:p>
        </w:tc>
        <w:tc>
          <w:tcPr>
            <w:tcW w:type="dxa" w:w="3137"/>
            <w:tcW w:w="5386"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Usuario logueado con nivel Genius 2.</w:t>
            </w:r>
          </w:p>
        </w:tc>
        <w:tc>
          <w:tcPr>
            <w:tcW w:type="dxa" w:w="3137"/>
            <w:tcW w:w="204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 (martes)</w:t>
            </w:r>
          </w:p>
        </w:tc>
      </w:tr>
      <w:tr>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Genius 3</w:t>
            </w:r>
          </w:p>
        </w:tc>
        <w:tc>
          <w:tcPr>
            <w:tcW w:type="dxa" w:w="3137"/>
            <w:tcW w:w="5386"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Usuario logueado con nivel Genius 3.</w:t>
            </w:r>
          </w:p>
        </w:tc>
        <w:tc>
          <w:tcPr>
            <w:tcW w:type="dxa" w:w="3137"/>
            <w:tcW w:w="204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 (martes)</w:t>
            </w:r>
          </w:p>
        </w:tc>
      </w:tr>
    </w:tbl>
    <w:p>
      <w:pPr>
        <w:spacing w:after="40"/>
      </w:pPr>
    </w:p>
    <w:p>
      <w:pPr>
        <w:spacing w:after="80"/>
      </w:pPr>
      <w:r>
        <w:rPr>
          <w:rFonts w:ascii="Arial" w:hAnsi="Arial"/>
          <w:b w:val="0"/>
          <w:color w:val="1A1A2E"/>
          <w:sz w:val="20"/>
        </w:rPr>
        <w:t>El resto de los competidores (Almundo, Expedia, etc.) se miden solo en contexto Public, ya que no tienen programas de fidelidad equivalentes.</w:t>
      </w:r>
    </w:p>
    <w:p>
      <w:pPr>
        <w:spacing w:before="280" w:after="80"/>
      </w:pPr>
      <w:r>
        <w:rPr>
          <w:rFonts w:ascii="Arial" w:hAnsi="Arial"/>
          <w:b/>
          <w:color w:val="2E5EAA"/>
          <w:sz w:val="24"/>
        </w:rPr>
        <w:t>2.4 Frecuencia de medicion</w:t>
      </w:r>
    </w:p>
    <w:tbl>
      <w:tblPr>
        <w:tblStyle w:val="TableGrid"/>
        <w:tblW w:type="auto" w:w="0"/>
        <w:jc w:val="left"/>
        <w:tblLook w:firstColumn="1" w:firstRow="1" w:lastColumn="0" w:lastRow="0" w:noHBand="0" w:noVBand="1" w:val="04A0"/>
      </w:tblPr>
      <w:tblGrid>
        <w:gridCol w:w="3137"/>
        <w:gridCol w:w="3137"/>
        <w:gridCol w:w="3137"/>
      </w:tblGrid>
      <w:tr>
        <w:tc>
          <w:tcPr>
            <w:tcW w:type="dxa" w:w="3137"/>
            <w:tcW w:w="3402"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Reporte</w:t>
            </w:r>
          </w:p>
        </w:tc>
        <w:tc>
          <w:tcPr>
            <w:tcW w:type="dxa" w:w="3137"/>
            <w:tcW w:w="3969"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Frecuencia</w:t>
            </w:r>
          </w:p>
        </w:tc>
        <w:tc>
          <w:tcPr>
            <w:tcW w:type="dxa" w:w="3137"/>
            <w:tcW w:w="204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Incluido en KPI oficial?</w:t>
            </w:r>
          </w:p>
        </w:tc>
      </w:tr>
      <w:tr>
        <w:tc>
          <w:tcPr>
            <w:tcW w:type="dxa" w:w="3137"/>
            <w:tcW w:w="340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Booking Public</w:t>
            </w:r>
          </w:p>
        </w:tc>
        <w:tc>
          <w:tcPr>
            <w:tcW w:type="dxa" w:w="3137"/>
            <w:tcW w:w="396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Diaria</w:t>
            </w:r>
          </w:p>
        </w:tc>
        <w:tc>
          <w:tcPr>
            <w:tcW w:type="dxa" w:w="3137"/>
            <w:tcW w:w="204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w:t>
            </w:r>
          </w:p>
        </w:tc>
      </w:tr>
      <w:tr>
        <w:tc>
          <w:tcPr>
            <w:tcW w:type="dxa" w:w="3137"/>
            <w:tcW w:w="3402"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Booking Genius 1</w:t>
            </w:r>
          </w:p>
        </w:tc>
        <w:tc>
          <w:tcPr>
            <w:tcW w:type="dxa" w:w="3137"/>
            <w:tcW w:w="3969"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Diaria</w:t>
            </w:r>
          </w:p>
        </w:tc>
        <w:tc>
          <w:tcPr>
            <w:tcW w:type="dxa" w:w="3137"/>
            <w:tcW w:w="204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Si</w:t>
            </w:r>
          </w:p>
        </w:tc>
      </w:tr>
      <w:tr>
        <w:tc>
          <w:tcPr>
            <w:tcW w:type="dxa" w:w="3137"/>
            <w:tcW w:w="340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PriceTravel (MX)</w:t>
            </w:r>
          </w:p>
        </w:tc>
        <w:tc>
          <w:tcPr>
            <w:tcW w:type="dxa" w:w="3137"/>
            <w:tcW w:w="396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Diaria</w:t>
            </w:r>
          </w:p>
        </w:tc>
        <w:tc>
          <w:tcPr>
            <w:tcW w:type="dxa" w:w="3137"/>
            <w:tcW w:w="204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w:t>
            </w:r>
          </w:p>
        </w:tc>
      </w:tr>
      <w:tr>
        <w:tc>
          <w:tcPr>
            <w:tcW w:type="dxa" w:w="3137"/>
            <w:tcW w:w="3402"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Booking Genius 2 y Genius 3</w:t>
            </w:r>
          </w:p>
        </w:tc>
        <w:tc>
          <w:tcPr>
            <w:tcW w:type="dxa" w:w="3137"/>
            <w:tcW w:w="3969"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Martes</w:t>
            </w:r>
          </w:p>
        </w:tc>
        <w:tc>
          <w:tcPr>
            <w:tcW w:type="dxa" w:w="3137"/>
            <w:tcW w:w="204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w:t>
            </w:r>
          </w:p>
        </w:tc>
      </w:tr>
      <w:tr>
        <w:tc>
          <w:tcPr>
            <w:tcW w:type="dxa" w:w="3137"/>
            <w:tcW w:w="340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Resto de competidores</w:t>
            </w:r>
          </w:p>
        </w:tc>
        <w:tc>
          <w:tcPr>
            <w:tcW w:type="dxa" w:w="3137"/>
            <w:tcW w:w="396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Lunes</w:t>
            </w:r>
          </w:p>
        </w:tc>
        <w:tc>
          <w:tcPr>
            <w:tcW w:type="dxa" w:w="3137"/>
            <w:tcW w:w="204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w:t>
            </w:r>
          </w:p>
        </w:tc>
      </w:tr>
    </w:tbl>
    <w:p>
      <w:r>
        <w:br w:type="page"/>
      </w:r>
    </w:p>
    <w:p>
      <w:pPr>
        <w:spacing w:before="400" w:after="120"/>
        <w:pBdr>
          <w:bottom w:val="single" w:sz="6" w:space="4" w:color="2E5EAA"/>
        </w:pBdr>
      </w:pPr>
      <w:r>
        <w:rPr>
          <w:rFonts w:ascii="Arial" w:hAnsi="Arial"/>
          <w:b/>
          <w:color w:val="1F3864"/>
          <w:sz w:val="32"/>
        </w:rPr>
        <w:t>3. Como funciona el crawling: de la busqueda al pricepoint</w:t>
      </w:r>
    </w:p>
    <w:p>
      <w:pPr>
        <w:spacing w:before="280" w:after="80"/>
      </w:pPr>
      <w:r>
        <w:rPr>
          <w:rFonts w:ascii="Arial" w:hAnsi="Arial"/>
          <w:b/>
          <w:color w:val="2E5EAA"/>
          <w:sz w:val="24"/>
        </w:rPr>
        <w:t>3.1 Que es un pricepoint</w:t>
      </w:r>
    </w:p>
    <w:p>
      <w:pPr>
        <w:spacing w:after="80"/>
      </w:pPr>
      <w:r>
        <w:rPr>
          <w:rFonts w:ascii="Arial" w:hAnsi="Arial"/>
          <w:b w:val="0"/>
          <w:color w:val="1A1A2E"/>
          <w:sz w:val="20"/>
        </w:rPr>
        <w:t>Un pricepoint es la unidad minima de medicion competitiva. Representa una combinacion especifica de condiciones de compra:</w:t>
      </w:r>
    </w:p>
    <w:tbl>
      <w:tblPr>
        <w:tblStyle w:val="TableGrid"/>
        <w:tblW w:type="auto" w:w="0"/>
        <w:jc w:val="left"/>
        <w:tblLook w:firstColumn="1" w:firstRow="1" w:lastColumn="0" w:lastRow="0" w:noHBand="0" w:noVBand="1" w:val="04A0"/>
      </w:tblPr>
      <w:tblGrid>
        <w:gridCol w:w="4706"/>
        <w:gridCol w:w="4706"/>
      </w:tblGrid>
      <w:tr>
        <w:tc>
          <w:tcPr>
            <w:tcW w:type="dxa" w:w="4706"/>
            <w:tcW w:w="2268"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Dimension</w:t>
            </w:r>
          </w:p>
        </w:tc>
        <w:tc>
          <w:tcPr>
            <w:tcW w:type="dxa" w:w="4706"/>
            <w:tcW w:w="714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Descripcion</w:t>
            </w:r>
          </w:p>
        </w:tc>
      </w:tr>
      <w:tr>
        <w:tc>
          <w:tcPr>
            <w:tcW w:type="dxa" w:w="4706"/>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Hotel</w:t>
            </w:r>
          </w:p>
        </w:tc>
        <w:tc>
          <w:tcPr>
            <w:tcW w:type="dxa" w:w="4706"/>
            <w:tcW w:w="714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alojamiento especifico bajo analisis</w:t>
            </w:r>
          </w:p>
        </w:tc>
      </w:tr>
      <w:tr>
        <w:tc>
          <w:tcPr>
            <w:tcW w:type="dxa" w:w="4706"/>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Dominio (POS)</w:t>
            </w:r>
          </w:p>
        </w:tc>
        <w:tc>
          <w:tcPr>
            <w:tcW w:type="dxa" w:w="4706"/>
            <w:tcW w:w="714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mercado desde el cual se simula la busqueda (AR, BR, MX, etc.)</w:t>
            </w:r>
          </w:p>
        </w:tc>
      </w:tr>
      <w:tr>
        <w:tc>
          <w:tcPr>
            <w:tcW w:type="dxa" w:w="4706"/>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AP (Advance Purchase)</w:t>
            </w:r>
          </w:p>
        </w:tc>
        <w:tc>
          <w:tcPr>
            <w:tcW w:type="dxa" w:w="4706"/>
            <w:tcW w:w="714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Dias de anterioridad entre la busqueda y el check-in</w:t>
            </w:r>
          </w:p>
        </w:tc>
      </w:tr>
      <w:tr>
        <w:tc>
          <w:tcPr>
            <w:tcW w:type="dxa" w:w="4706"/>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LOS (Length of Stay)</w:t>
            </w:r>
          </w:p>
        </w:tc>
        <w:tc>
          <w:tcPr>
            <w:tcW w:type="dxa" w:w="4706"/>
            <w:tcW w:w="714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Cantidad de noches de estadia</w:t>
            </w:r>
          </w:p>
        </w:tc>
      </w:tr>
      <w:tr>
        <w:tc>
          <w:tcPr>
            <w:tcW w:type="dxa" w:w="4706"/>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Proveedor</w:t>
            </w:r>
          </w:p>
        </w:tc>
        <w:tc>
          <w:tcPr>
            <w:tcW w:type="dxa" w:w="4706"/>
            <w:tcW w:w="714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proveedor interno de Despegar que gano la competencia de tarifas</w:t>
            </w:r>
          </w:p>
        </w:tc>
      </w:tr>
    </w:tbl>
    <w:p>
      <w:pPr>
        <w:spacing w:after="40"/>
      </w:pPr>
    </w:p>
    <w:p>
      <w:pPr>
        <w:spacing w:after="80"/>
      </w:pPr>
      <w:r>
        <w:rPr>
          <w:rFonts w:ascii="Arial" w:hAnsi="Arial"/>
          <w:b w:val="0"/>
          <w:color w:val="1A1A2E"/>
          <w:sz w:val="20"/>
        </w:rPr>
        <w:t>Cada pricepoint tiene un identificador unico (pricepoint_id) construido como la concatenacion de: reporte + dominio + fecha_crawleo + hotel_id + LOS + AP + proveedor.</w:t>
      </w:r>
    </w:p>
    <w:p>
      <w:pPr>
        <w:spacing w:after="40"/>
      </w:pPr>
    </w:p>
    <w:p>
      <w:pPr>
        <w:spacing w:before="280" w:after="80"/>
      </w:pPr>
      <w:r>
        <w:rPr>
          <w:rFonts w:ascii="Arial" w:hAnsi="Arial"/>
          <w:b/>
          <w:color w:val="2E5EAA"/>
          <w:sz w:val="24"/>
        </w:rPr>
        <w:t>3.2 Como se ejecuta el crawling</w:t>
      </w:r>
    </w:p>
    <w:p>
      <w:pPr>
        <w:spacing w:after="80"/>
      </w:pPr>
      <w:r>
        <w:rPr>
          <w:rFonts w:ascii="Arial" w:hAnsi="Arial"/>
          <w:b w:val="0"/>
          <w:color w:val="1A1A2E"/>
          <w:sz w:val="20"/>
        </w:rPr>
        <w:t>El proceso de medicion simula busquedas reales en el sitio del competidor y en la API de Despegar bajo las mismas condiciones:</w:t>
      </w:r>
    </w:p>
    <w:p>
      <w:pPr>
        <w:spacing w:after="40"/>
      </w:pPr>
    </w:p>
    <w:p>
      <w:pPr>
        <w:spacing w:before="200" w:after="60"/>
      </w:pPr>
      <w:r>
        <w:rPr>
          <w:rFonts w:ascii="Arial" w:hAnsi="Arial"/>
          <w:b/>
          <w:color w:val="1A1A2E"/>
          <w:sz w:val="22"/>
        </w:rPr>
        <w:t>Paso 1 - Definicion del universo</w:t>
      </w:r>
    </w:p>
    <w:p>
      <w:pPr>
        <w:spacing w:after="80"/>
      </w:pPr>
      <w:r>
        <w:rPr>
          <w:rFonts w:ascii="Arial" w:hAnsi="Arial"/>
          <w:b w:val="0"/>
          <w:color w:val="1A1A2E"/>
          <w:sz w:val="20"/>
        </w:rPr>
        <w:t>El sistema toma el conjunto de hoteles y condiciones de compra (AP, LOS, dominio) definidos en el feed. Este universo determina que pricepoints se van a medir ese dia.</w:t>
      </w:r>
    </w:p>
    <w:p>
      <w:pPr>
        <w:spacing w:after="40"/>
      </w:pPr>
    </w:p>
    <w:p>
      <w:pPr>
        <w:spacing w:before="200" w:after="60"/>
      </w:pPr>
      <w:r>
        <w:rPr>
          <w:rFonts w:ascii="Arial" w:hAnsi="Arial"/>
          <w:b/>
          <w:color w:val="1A1A2E"/>
          <w:sz w:val="22"/>
        </w:rPr>
        <w:t>Paso 2 - Crawling de Despegar</w:t>
      </w:r>
    </w:p>
    <w:p>
      <w:pPr>
        <w:spacing w:after="80"/>
      </w:pPr>
      <w:r>
        <w:rPr>
          <w:rFonts w:ascii="Arial" w:hAnsi="Arial"/>
          <w:b w:val="0"/>
          <w:color w:val="1A1A2E"/>
          <w:sz w:val="20"/>
        </w:rPr>
        <w:t>Se consulta la API de Despegar para obtener la mejor oferta disponible para cada combinacion. El sistema registra el proveedor ganador, el precio PP (prepago), el precio PAD (pago en destino), todos los fees y descuentos aplicados.</w:t>
      </w:r>
    </w:p>
    <w:p>
      <w:pPr>
        <w:spacing w:after="40"/>
      </w:pPr>
    </w:p>
    <w:p>
      <w:pPr>
        <w:spacing w:before="200" w:after="60"/>
      </w:pPr>
      <w:r>
        <w:rPr>
          <w:rFonts w:ascii="Arial" w:hAnsi="Arial"/>
          <w:b/>
          <w:color w:val="1A1A2E"/>
          <w:sz w:val="22"/>
        </w:rPr>
        <w:t>Paso 3 - Crawling del competidor</w:t>
      </w:r>
    </w:p>
    <w:p>
      <w:pPr>
        <w:spacing w:after="80"/>
      </w:pPr>
      <w:r>
        <w:rPr>
          <w:rFonts w:ascii="Arial" w:hAnsi="Arial"/>
          <w:b w:val="0"/>
          <w:color w:val="1A1A2E"/>
          <w:sz w:val="20"/>
        </w:rPr>
        <w:t>Se simula una busqueda en el sitio del competidor (Booking, Expedia, etc.) bajo el contexto correspondiente (Public, Genius 1, etc.). Se registran precio, fees, descuentos incluyendo Booking Pays si aplica.</w:t>
      </w:r>
    </w:p>
    <w:p>
      <w:pPr>
        <w:spacing w:after="40"/>
      </w:pPr>
    </w:p>
    <w:p>
      <w:pPr>
        <w:spacing w:before="200" w:after="60"/>
      </w:pPr>
      <w:r>
        <w:rPr>
          <w:rFonts w:ascii="Arial" w:hAnsi="Arial"/>
          <w:b/>
          <w:color w:val="1A1A2E"/>
          <w:sz w:val="22"/>
        </w:rPr>
        <w:t>Paso 4 - Construccion del pricepoint</w:t>
      </w:r>
    </w:p>
    <w:p>
      <w:pPr>
        <w:spacing w:after="80"/>
      </w:pPr>
      <w:r>
        <w:rPr>
          <w:rFonts w:ascii="Arial" w:hAnsi="Arial"/>
          <w:b w:val="0"/>
          <w:color w:val="1A1A2E"/>
          <w:sz w:val="20"/>
        </w:rPr>
        <w:t>Con ambos precios disponibles se construye el registro del pricepoint, se calcula la variacion de precio y se asigna la clasificacion BML. Se registra la disponibilidad de cada parte.</w:t>
      </w:r>
    </w:p>
    <w:p>
      <w:pPr>
        <w:spacing w:after="40"/>
      </w:pPr>
    </w:p>
    <w:p>
      <w:pPr>
        <w:spacing w:before="200" w:after="60"/>
      </w:pPr>
      <w:r>
        <w:rPr>
          <w:rFonts w:ascii="Arial" w:hAnsi="Arial"/>
          <w:b/>
          <w:color w:val="1A1A2E"/>
          <w:sz w:val="22"/>
        </w:rPr>
        <w:t>Paso 5 - Carga al data lake</w:t>
      </w:r>
    </w:p>
    <w:p>
      <w:pPr>
        <w:spacing w:after="80"/>
      </w:pPr>
      <w:r>
        <w:rPr>
          <w:rFonts w:ascii="Arial" w:hAnsi="Arial"/>
          <w:b w:val="0"/>
          <w:color w:val="1A1A2E"/>
          <w:sz w:val="20"/>
        </w:rPr>
        <w:t>Los pricepoints se almacenan en la tabla lake.bi_rev_adversity_hotels_h y sus tablas satelite (_s_rates para detalle de precios, _s_roompack para atributos de habitacion).</w:t>
      </w:r>
    </w:p>
    <w:p>
      <w:pPr>
        <w:spacing w:after="40"/>
      </w:pPr>
    </w:p>
    <w:tbl>
      <w:tblPr>
        <w:tblStyle w:val="TableGrid"/>
        <w:tblW w:type="auto" w:w="0"/>
        <w:jc w:val="left"/>
        <w:tblLook w:firstColumn="1" w:firstRow="1" w:lastColumn="0" w:lastRow="0" w:noHBand="0" w:noVBand="1" w:val="04A0"/>
      </w:tblPr>
      <w:tblGrid>
        <w:gridCol w:w="9412"/>
      </w:tblGrid>
      <w:tr>
        <w:tc>
          <w:tcPr>
            <w:tcW w:type="dxa" w:w="9412"/>
            <w:shd w:val="clear" w:color="auto" w:fill="FFF3CD"/>
            <w:tcBorders>
              <w:top w:val="single" w:sz="4" w:space="0" w:color="DDD3AD"/>
              <w:left w:val="single" w:sz="4" w:space="0" w:color="DDD3AD"/>
              <w:bottom w:val="single" w:sz="4" w:space="0" w:color="DDD3AD"/>
              <w:right w:val="single" w:sz="4" w:space="0" w:color="DDD3AD"/>
            </w:tcBorders>
            <w:tcW w:w="9412" w:type="dxa"/>
          </w:tcPr>
          <w:p>
            <w:pPr>
              <w:spacing w:before="80" w:after="80"/>
            </w:pPr>
            <w:r>
              <w:rPr>
                <w:rFonts w:ascii="Arial" w:hAnsi="Arial"/>
                <w:b w:val="0"/>
                <w:color w:val="926000"/>
                <w:sz w:val="19"/>
              </w:rPr>
              <w:t>La disponibilidad es critica: si Despegar o el competidor no tienen oferta para ese pricepoint, el campo availability toma un valor distinto de 'Both'. Estos casos son excluidos del KPI oficial porque no hay comparacion posible.</w:t>
            </w:r>
          </w:p>
        </w:tc>
      </w:tr>
    </w:tbl>
    <w:p>
      <w:pPr>
        <w:spacing w:after="40"/>
      </w:pPr>
    </w:p>
    <w:p>
      <w:r>
        <w:br w:type="page"/>
      </w:r>
    </w:p>
    <w:p>
      <w:pPr>
        <w:spacing w:before="400" w:after="120"/>
        <w:pBdr>
          <w:bottom w:val="single" w:sz="6" w:space="4" w:color="2E5EAA"/>
        </w:pBdr>
      </w:pPr>
      <w:r>
        <w:rPr>
          <w:rFonts w:ascii="Arial" w:hAnsi="Arial"/>
          <w:b/>
          <w:color w:val="1F3864"/>
          <w:sz w:val="32"/>
        </w:rPr>
        <w:t>4. Clasificacion BML: como se determina si Despegar gana o pierde</w:t>
      </w:r>
    </w:p>
    <w:p>
      <w:pPr>
        <w:spacing w:after="80"/>
      </w:pPr>
      <w:r>
        <w:rPr>
          <w:rFonts w:ascii="Arial" w:hAnsi="Arial"/>
          <w:b w:val="0"/>
          <w:color w:val="1A1A2E"/>
          <w:sz w:val="20"/>
        </w:rPr>
        <w:t>Una vez que se tienen los precios de Despegar y el competidor para el mismo pricepoint, el sistema calcula la variacion porcentual y asigna una clasificacion BML (Beat / Meet / Lose).</w:t>
      </w:r>
    </w:p>
    <w:p>
      <w:pPr>
        <w:spacing w:after="40"/>
      </w:pPr>
    </w:p>
    <w:tbl>
      <w:tblPr>
        <w:tblStyle w:val="TableGrid"/>
        <w:tblW w:type="auto" w:w="0"/>
        <w:jc w:val="left"/>
        <w:tblLook w:firstColumn="1" w:firstRow="1" w:lastColumn="0" w:lastRow="0" w:noHBand="0" w:noVBand="1" w:val="04A0"/>
      </w:tblPr>
      <w:tblGrid>
        <w:gridCol w:w="3137"/>
        <w:gridCol w:w="3137"/>
        <w:gridCol w:w="3137"/>
      </w:tblGrid>
      <w:tr>
        <w:tc>
          <w:tcPr>
            <w:tcW w:type="dxa" w:w="3137"/>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Clasificacion</w:t>
            </w:r>
          </w:p>
        </w:tc>
        <w:tc>
          <w:tcPr>
            <w:tcW w:type="dxa" w:w="3137"/>
            <w:tcW w:w="3402"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Condicion</w:t>
            </w:r>
          </w:p>
        </w:tc>
        <w:tc>
          <w:tcPr>
            <w:tcW w:type="dxa" w:w="3137"/>
            <w:tcW w:w="402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Interpretacion</w:t>
            </w:r>
          </w:p>
        </w:tc>
      </w:tr>
      <w:tr>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BEAT</w:t>
            </w:r>
          </w:p>
        </w:tc>
        <w:tc>
          <w:tcPr>
            <w:tcW w:type="dxa" w:w="3137"/>
            <w:tcW w:w="340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Despegar es mas de 1% mas barato que el competidor</w:t>
            </w:r>
          </w:p>
        </w:tc>
        <w:tc>
          <w:tcPr>
            <w:tcW w:type="dxa" w:w="3137"/>
            <w:tcW w:w="402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Despegar gana en precio</w:t>
            </w:r>
          </w:p>
        </w:tc>
      </w:tr>
      <w:tr>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MEET</w:t>
            </w:r>
          </w:p>
        </w:tc>
        <w:tc>
          <w:tcPr>
            <w:tcW w:type="dxa" w:w="3137"/>
            <w:tcW w:w="3402"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La diferencia es de mas/menos 1% o menos</w:t>
            </w:r>
          </w:p>
        </w:tc>
        <w:tc>
          <w:tcPr>
            <w:tcW w:type="dxa" w:w="3137"/>
            <w:tcW w:w="402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Paridad - situacion competitiva aceptable</w:t>
            </w:r>
          </w:p>
        </w:tc>
      </w:tr>
      <w:tr>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LOSE</w:t>
            </w:r>
          </w:p>
        </w:tc>
        <w:tc>
          <w:tcPr>
            <w:tcW w:type="dxa" w:w="3137"/>
            <w:tcW w:w="340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Despegar es mas de 1% mas caro que el competidor</w:t>
            </w:r>
          </w:p>
        </w:tc>
        <w:tc>
          <w:tcPr>
            <w:tcW w:type="dxa" w:w="3137"/>
            <w:tcW w:w="402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Despegar pierde - cuenta contra el KPI</w:t>
            </w:r>
          </w:p>
        </w:tc>
      </w:tr>
    </w:tbl>
    <w:p>
      <w:pPr>
        <w:spacing w:after="40"/>
      </w:pPr>
    </w:p>
    <w:p>
      <w:pPr>
        <w:spacing w:before="280" w:after="80"/>
      </w:pPr>
      <w:r>
        <w:rPr>
          <w:rFonts w:ascii="Arial" w:hAnsi="Arial"/>
          <w:b/>
          <w:color w:val="2E5EAA"/>
          <w:sz w:val="24"/>
        </w:rPr>
        <w:t>4.1 Dos versiones del BML</w:t>
      </w:r>
    </w:p>
    <w:p>
      <w:pPr>
        <w:spacing w:after="80"/>
      </w:pPr>
      <w:r>
        <w:rPr>
          <w:rFonts w:ascii="Arial" w:hAnsi="Arial"/>
          <w:b w:val="0"/>
          <w:color w:val="1A1A2E"/>
          <w:sz w:val="20"/>
        </w:rPr>
        <w:t>El BML se calcula sobre dos precios distintos, dando origen a dos versiones de la metrica:</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tcW w:w="1417"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Version</w:t>
            </w:r>
          </w:p>
        </w:tc>
        <w:tc>
          <w:tcPr>
            <w:tcW w:type="dxa" w:w="2353"/>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Campo</w:t>
            </w:r>
          </w:p>
        </w:tc>
        <w:tc>
          <w:tcPr>
            <w:tcW w:type="dxa" w:w="2353"/>
            <w:tcW w:w="368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Precio de comparacion</w:t>
            </w:r>
          </w:p>
        </w:tc>
        <w:tc>
          <w:tcPr>
            <w:tcW w:type="dxa" w:w="2353"/>
            <w:tcW w:w="232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Uso principal</w:t>
            </w:r>
          </w:p>
        </w:tc>
      </w:tr>
      <w:tr>
        <w:tc>
          <w:tcPr>
            <w:tcW w:type="dxa" w:w="2353"/>
            <w:tcW w:w="141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Base</w:t>
            </w:r>
          </w:p>
        </w:tc>
        <w:tc>
          <w:tcPr>
            <w:tcW w:type="dxa" w:w="2353"/>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basebml</w:t>
            </w:r>
          </w:p>
        </w:tc>
        <w:tc>
          <w:tcPr>
            <w:tcW w:type="dxa" w:w="2353"/>
            <w:tcW w:w="368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Precio base: tarifa del hotel sin fees adicionales ni descuentos de Despegar</w:t>
            </w:r>
          </w:p>
        </w:tc>
        <w:tc>
          <w:tcPr>
            <w:tcW w:type="dxa" w:w="2353"/>
            <w:tcW w:w="232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Sourcing / Travel Partners (negociaciones hoteleras)</w:t>
            </w:r>
          </w:p>
        </w:tc>
      </w:tr>
      <w:tr>
        <w:tc>
          <w:tcPr>
            <w:tcW w:type="dxa" w:w="2353"/>
            <w:tcW w:w="141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Final</w:t>
            </w:r>
          </w:p>
        </w:tc>
        <w:tc>
          <w:tcPr>
            <w:tcW w:type="dxa" w:w="2353"/>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finalbml</w:t>
            </w:r>
          </w:p>
        </w:tc>
        <w:tc>
          <w:tcPr>
            <w:tcW w:type="dxa" w:w="2353"/>
            <w:tcW w:w="368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Precio total: incluye todos los fees, descuentos de Despegar y Booking Pays</w:t>
            </w:r>
          </w:p>
        </w:tc>
        <w:tc>
          <w:tcPr>
            <w:tcW w:type="dxa" w:w="2353"/>
            <w:tcW w:w="232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KPI corporativo oficial de Revenue</w:t>
            </w:r>
          </w:p>
        </w:tc>
      </w:tr>
    </w:tbl>
    <w:p>
      <w:pPr>
        <w:spacing w:after="40"/>
      </w:pPr>
    </w:p>
    <w:tbl>
      <w:tblPr>
        <w:tblStyle w:val="TableGrid"/>
        <w:tblW w:type="auto" w:w="0"/>
        <w:jc w:val="left"/>
        <w:tblLook w:firstColumn="1" w:firstRow="1" w:lastColumn="0" w:lastRow="0" w:noHBand="0" w:noVBand="1" w:val="04A0"/>
      </w:tblPr>
      <w:tblGrid>
        <w:gridCol w:w="9412"/>
      </w:tblGrid>
      <w:tr>
        <w:tc>
          <w:tcPr>
            <w:tcW w:type="dxa" w:w="9412"/>
            <w:shd w:val="clear" w:color="auto" w:fill="FFF3CD"/>
            <w:tcBorders>
              <w:top w:val="single" w:sz="4" w:space="0" w:color="DDD3AD"/>
              <w:left w:val="single" w:sz="4" w:space="0" w:color="DDD3AD"/>
              <w:bottom w:val="single" w:sz="4" w:space="0" w:color="DDD3AD"/>
              <w:right w:val="single" w:sz="4" w:space="0" w:color="DDD3AD"/>
            </w:tcBorders>
            <w:tcW w:w="9412" w:type="dxa"/>
          </w:tcPr>
          <w:p>
            <w:pPr>
              <w:spacing w:before="80" w:after="80"/>
            </w:pPr>
            <w:r>
              <w:rPr>
                <w:rFonts w:ascii="Arial" w:hAnsi="Arial"/>
                <w:b w:val="0"/>
                <w:color w:val="926000"/>
                <w:sz w:val="19"/>
              </w:rPr>
              <w:t>Regla clave: el KPI corporativo SIEMPRE usa finalbml. El campo basebml es de uso operativo para Sourcing y Travel Partners. Mezclarlos produce resultados incorrectos.</w:t>
            </w:r>
          </w:p>
        </w:tc>
      </w:tr>
    </w:tbl>
    <w:p>
      <w:pPr>
        <w:spacing w:after="40"/>
      </w:pPr>
    </w:p>
    <w:p>
      <w:pPr>
        <w:spacing w:before="280" w:after="80"/>
      </w:pPr>
      <w:r>
        <w:rPr>
          <w:rFonts w:ascii="Arial" w:hAnsi="Arial"/>
          <w:b/>
          <w:color w:val="2E5EAA"/>
          <w:sz w:val="24"/>
        </w:rPr>
        <w:t>4.2 El rol de Booking Pays</w:t>
      </w:r>
    </w:p>
    <w:p>
      <w:pPr>
        <w:spacing w:after="80"/>
      </w:pPr>
      <w:r>
        <w:rPr>
          <w:rFonts w:ascii="Arial" w:hAnsi="Arial"/>
          <w:b w:val="0"/>
          <w:color w:val="1A1A2E"/>
          <w:sz w:val="20"/>
        </w:rPr>
        <w:t>Booking.com puede subsidiar parte del precio visible al usuario sin que el hotel cambie su tarifa. Este monto (campo booking_pays en la tabla de rates) se incluye en el total_price_competitor.</w:t>
      </w:r>
    </w:p>
    <w:p>
      <w:pPr>
        <w:spacing w:after="80"/>
      </w:pPr>
      <w:r>
        <w:rPr>
          <w:rFonts w:ascii="Arial" w:hAnsi="Arial"/>
          <w:b w:val="0"/>
          <w:color w:val="1A1A2E"/>
          <w:sz w:val="20"/>
        </w:rPr>
        <w:t>Por eso el finalbml ya contempla esta ventaja de Booking: Despegar compite contra el precio que efectivamente ve el usuario, incluyendo el subsidio.</w:t>
      </w:r>
    </w:p>
    <w:p>
      <w:r>
        <w:br w:type="page"/>
      </w:r>
    </w:p>
    <w:p>
      <w:pPr>
        <w:spacing w:before="400" w:after="120"/>
        <w:pBdr>
          <w:bottom w:val="single" w:sz="6" w:space="4" w:color="2E5EAA"/>
        </w:pBdr>
      </w:pPr>
      <w:r>
        <w:rPr>
          <w:rFonts w:ascii="Arial" w:hAnsi="Arial"/>
          <w:b/>
          <w:color w:val="1F3864"/>
          <w:sz w:val="32"/>
        </w:rPr>
        <w:t>5. El ponderador: por que no todos los pricepoints valen igual</w:t>
      </w:r>
    </w:p>
    <w:p>
      <w:pPr>
        <w:spacing w:after="80"/>
      </w:pPr>
      <w:r>
        <w:rPr>
          <w:rFonts w:ascii="Arial" w:hAnsi="Arial"/>
          <w:b w:val="0"/>
          <w:color w:val="1A1A2E"/>
          <w:sz w:val="20"/>
        </w:rPr>
        <w:t>La adversidad no es un promedio simple de pricepoints. Cada pricepoint tiene asignado un ponderador (campo weight) que representa su importancia relativa dentro del mercado.</w:t>
      </w:r>
    </w:p>
    <w:p>
      <w:pPr>
        <w:spacing w:after="40"/>
      </w:pPr>
    </w:p>
    <w:p>
      <w:pPr>
        <w:spacing w:after="80"/>
      </w:pPr>
      <w:r>
        <w:rPr>
          <w:rFonts w:ascii="Arial" w:hAnsi="Arial"/>
          <w:b/>
          <w:color w:val="1A1A2E"/>
          <w:sz w:val="20"/>
        </w:rPr>
        <w:t>El ponderador se construye combinando dos senales:</w:t>
      </w:r>
    </w:p>
    <w:p>
      <w:pPr>
        <w:pStyle w:val="ListBullet"/>
        <w:spacing w:after="40"/>
      </w:pPr>
      <w:r>
        <w:rPr>
          <w:rFonts w:ascii="Arial" w:hAnsi="Arial"/>
          <w:b w:val="0"/>
          <w:color w:val="1A1A2E"/>
          <w:sz w:val="20"/>
        </w:rPr>
        <w:t>Representatividad de GB (Good Base) propio: que tan frecuente es ese hotel/AP/LOS en la demanda real de Despegar.</w:t>
      </w:r>
    </w:p>
    <w:p>
      <w:pPr>
        <w:pStyle w:val="ListBullet"/>
        <w:spacing w:after="40"/>
      </w:pPr>
      <w:r>
        <w:rPr>
          <w:rFonts w:ascii="Arial" w:hAnsi="Arial"/>
          <w:b w:val="0"/>
          <w:color w:val="1A1A2E"/>
          <w:sz w:val="20"/>
        </w:rPr>
        <w:t>Relevancia inferida de Booking: estimacion de cuanto le importa ese pricepoint a Booking, inferida a partir de senales de reviews hoteleras.</w:t>
      </w:r>
    </w:p>
    <w:p>
      <w:pPr>
        <w:spacing w:after="40"/>
      </w:pPr>
    </w:p>
    <w:p>
      <w:pPr>
        <w:spacing w:after="80"/>
      </w:pPr>
      <w:r>
        <w:rPr>
          <w:rFonts w:ascii="Arial" w:hAnsi="Arial"/>
          <w:b/>
          <w:color w:val="1A1A2E"/>
          <w:sz w:val="20"/>
        </w:rPr>
        <w:t>Impacto en el calculo:</w:t>
      </w:r>
    </w:p>
    <w:p>
      <w:pPr>
        <w:spacing w:after="80"/>
      </w:pPr>
      <w:r>
        <w:rPr>
          <w:rFonts w:ascii="Arial" w:hAnsi="Arial"/>
          <w:b w:val="0"/>
          <w:color w:val="1A1A2E"/>
          <w:sz w:val="20"/>
        </w:rPr>
        <w:t>Un pricepoint con weight alto tiene mas influencia en la tasa de adversidad final. Si un hotel muy relevante pierde, impacta mas el KPI que si pierde un hotel de baja demanda.</w:t>
      </w:r>
    </w:p>
    <w:p>
      <w:pPr>
        <w:spacing w:after="40"/>
      </w:pPr>
    </w:p>
    <w:tbl>
      <w:tblPr>
        <w:tblStyle w:val="TableGrid"/>
        <w:tblW w:type="auto" w:w="0"/>
        <w:jc w:val="left"/>
        <w:tblLook w:firstColumn="1" w:firstRow="1" w:lastColumn="0" w:lastRow="0" w:noHBand="0" w:noVBand="1" w:val="04A0"/>
      </w:tblPr>
      <w:tblGrid>
        <w:gridCol w:w="9412"/>
      </w:tblGrid>
      <w:tr>
        <w:tc>
          <w:tcPr>
            <w:tcW w:type="dxa" w:w="9412"/>
            <w:shd w:val="clear" w:color="auto" w:fill="FDE8E8"/>
            <w:tcBorders>
              <w:top w:val="single" w:sz="4" w:space="0" w:color="DDE8E8"/>
              <w:left w:val="single" w:sz="4" w:space="0" w:color="DDE8E8"/>
              <w:bottom w:val="single" w:sz="4" w:space="0" w:color="DDE8E8"/>
              <w:right w:val="single" w:sz="4" w:space="0" w:color="DDE8E8"/>
            </w:tcBorders>
            <w:tcW w:w="9412" w:type="dxa"/>
          </w:tcPr>
          <w:p>
            <w:pPr>
              <w:spacing w:before="80" w:after="80"/>
            </w:pPr>
            <w:r>
              <w:rPr>
                <w:rFonts w:ascii="Arial" w:hAnsi="Arial"/>
                <w:b w:val="0"/>
                <w:color w:val="B00020"/>
                <w:sz w:val="19"/>
              </w:rPr>
              <w:t>AVISO - Cambio metodologico: El 2026-05-04 se actualizo la metodologia del ponderador. El nuevo modelo incorpora senales de relevancia de Booking mas precisas. Esto genero un impacto estructural de hasta +3 puntos porcentuales en la adversidad. Las series antes y despues de esa fecha NO son directamente comparables.</w:t>
            </w:r>
          </w:p>
        </w:tc>
      </w:tr>
    </w:tbl>
    <w:p>
      <w:pPr>
        <w:spacing w:after="40"/>
      </w:pPr>
    </w:p>
    <w:p>
      <w:r>
        <w:br w:type="page"/>
      </w:r>
    </w:p>
    <w:p>
      <w:pPr>
        <w:spacing w:before="400" w:after="120"/>
        <w:pBdr>
          <w:bottom w:val="single" w:sz="6" w:space="4" w:color="2E5EAA"/>
        </w:pBdr>
      </w:pPr>
      <w:r>
        <w:rPr>
          <w:rFonts w:ascii="Arial" w:hAnsi="Arial"/>
          <w:b/>
          <w:color w:val="1F3864"/>
          <w:sz w:val="32"/>
        </w:rPr>
        <w:t>6. Calculo del KPI oficial: formula y filtros obligatorios</w:t>
      </w:r>
    </w:p>
    <w:p>
      <w:pPr>
        <w:spacing w:before="280" w:after="80"/>
      </w:pPr>
      <w:r>
        <w:rPr>
          <w:rFonts w:ascii="Arial" w:hAnsi="Arial"/>
          <w:b/>
          <w:color w:val="2E5EAA"/>
          <w:sz w:val="24"/>
        </w:rPr>
        <w:t>6.1 Formula</w:t>
      </w:r>
    </w:p>
    <w:p>
      <w:pPr>
        <w:spacing w:after="80"/>
      </w:pPr>
      <w:r>
        <w:rPr>
          <w:rFonts w:ascii="Arial" w:hAnsi="Arial"/>
          <w:b w:val="0"/>
          <w:color w:val="1A1A2E"/>
          <w:sz w:val="20"/>
        </w:rPr>
        <w:t>La formula de adversidad final es:</w:t>
      </w:r>
    </w:p>
    <w:p>
      <w:pPr>
        <w:spacing w:after="80"/>
      </w:pPr>
      <w:r>
        <w:rPr>
          <w:rFonts w:ascii="Courier New" w:hAnsi="Courier New"/>
          <w:b w:val="0"/>
          <w:color w:val="1F3864"/>
          <w:sz w:val="20"/>
        </w:rPr>
        <w:t>adversidad_final = SUM(CASE WHEN finalbml = 'LOSE' THEN weight ELSE 0 END) / SUM(weight)</w:t>
      </w:r>
    </w:p>
    <w:p>
      <w:pPr>
        <w:spacing w:after="40"/>
      </w:pPr>
    </w:p>
    <w:p>
      <w:pPr>
        <w:spacing w:after="80"/>
      </w:pPr>
      <w:r>
        <w:rPr>
          <w:rFonts w:ascii="Arial" w:hAnsi="Arial"/>
          <w:b w:val="0"/>
          <w:color w:val="1A1A2E"/>
          <w:sz w:val="20"/>
        </w:rPr>
        <w:t>En lenguaje de negocio: de todo el peso ponderado del universo OKR, que fraccion corresponde a pricepoints donde Despegar pierde?</w:t>
      </w:r>
    </w:p>
    <w:p>
      <w:pPr>
        <w:spacing w:after="80"/>
      </w:pPr>
      <w:r>
        <w:rPr>
          <w:rFonts w:ascii="Arial" w:hAnsi="Arial"/>
          <w:b w:val="0"/>
          <w:color w:val="1A1A2E"/>
          <w:sz w:val="20"/>
        </w:rPr>
        <w:t>El resultado es un numero entre 0 y 1 (se suele expresar en porcentaje). Un valor de 0.35 significa que el 35% del peso ponderado del universo corresponde a pricepoints donde Despegar es mas caro que Booking.</w:t>
      </w:r>
    </w:p>
    <w:p>
      <w:pPr>
        <w:spacing w:after="40"/>
      </w:pPr>
    </w:p>
    <w:p>
      <w:pPr>
        <w:spacing w:before="280" w:after="80"/>
      </w:pPr>
      <w:r>
        <w:rPr>
          <w:rFonts w:ascii="Arial" w:hAnsi="Arial"/>
          <w:b/>
          <w:color w:val="2E5EAA"/>
          <w:sz w:val="24"/>
        </w:rPr>
        <w:t>6.2 Filtros obligatorios</w:t>
      </w:r>
    </w:p>
    <w:p>
      <w:pPr>
        <w:spacing w:after="80"/>
      </w:pPr>
      <w:r>
        <w:rPr>
          <w:rFonts w:ascii="Arial" w:hAnsi="Arial"/>
          <w:b w:val="0"/>
          <w:color w:val="1A1A2E"/>
          <w:sz w:val="20"/>
        </w:rPr>
        <w:t>Para obtener el KPI oficial deben aplicarse exactamente estos cinco filtros. Cualquier variacion produce una metrica distinta que no debe reportarse como la adversidad oficial:</w:t>
      </w:r>
    </w:p>
    <w:p>
      <w:pPr>
        <w:spacing w:after="40"/>
      </w:pPr>
    </w:p>
    <w:tbl>
      <w:tblPr>
        <w:tblStyle w:val="TableGrid"/>
        <w:tblW w:type="auto" w:w="0"/>
        <w:jc w:val="left"/>
        <w:tblLook w:firstColumn="1" w:firstRow="1" w:lastColumn="0" w:lastRow="0" w:noHBand="0" w:noVBand="1" w:val="04A0"/>
      </w:tblPr>
      <w:tblGrid>
        <w:gridCol w:w="3137"/>
        <w:gridCol w:w="3137"/>
        <w:gridCol w:w="3137"/>
      </w:tblGrid>
      <w:tr>
        <w:tc>
          <w:tcPr>
            <w:tcW w:type="dxa" w:w="3137"/>
            <w:tcW w:w="2268"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Filtro</w:t>
            </w:r>
          </w:p>
        </w:tc>
        <w:tc>
          <w:tcPr>
            <w:tcW w:type="dxa" w:w="3137"/>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Valor</w:t>
            </w:r>
          </w:p>
        </w:tc>
        <w:tc>
          <w:tcPr>
            <w:tcW w:type="dxa" w:w="3137"/>
            <w:tcW w:w="5159"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Por que es obligatorio</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availability</w:t>
            </w:r>
          </w:p>
        </w:tc>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Both</w:t>
            </w:r>
          </w:p>
        </w:tc>
        <w:tc>
          <w:tcPr>
            <w:tcW w:type="dxa" w:w="3137"/>
            <w:tcW w:w="515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Solo se comparan pricepoints donde ambos tienen disponibilidad. Sin este filtro se incluyen casos donde la comparacion es imposible.</w:t>
            </w:r>
          </w:p>
        </w:tc>
      </w:tr>
      <w:tr>
        <w:tc>
          <w:tcPr>
            <w:tcW w:type="dxa" w:w="3137"/>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report_day_of_week</w:t>
            </w:r>
          </w:p>
        </w:tc>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Tuesday</w:t>
            </w:r>
          </w:p>
        </w:tc>
        <w:tc>
          <w:tcPr>
            <w:tcW w:type="dxa" w:w="3137"/>
            <w:tcW w:w="5159"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martes es el dia de benchmark oficial. Garantiza comparabilidad temporal entre semanas.</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name_report</w:t>
            </w:r>
          </w:p>
        </w:tc>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Booking Genius L1</w:t>
            </w:r>
          </w:p>
        </w:tc>
        <w:tc>
          <w:tcPr>
            <w:tcW w:type="dxa" w:w="3137"/>
            <w:tcW w:w="515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reporte oficial es Booking en contexto Genius 1. Es el benchmark de competitividad mas relevante estrategicamente.</w:t>
            </w:r>
          </w:p>
        </w:tc>
      </w:tr>
      <w:tr>
        <w:tc>
          <w:tcPr>
            <w:tcW w:type="dxa" w:w="3137"/>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pp_is_okr</w:t>
            </w:r>
          </w:p>
        </w:tc>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1</w:t>
            </w:r>
          </w:p>
        </w:tc>
        <w:tc>
          <w:tcPr>
            <w:tcW w:type="dxa" w:w="3137"/>
            <w:tcW w:w="5159"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Solo se incluyen pricepoints del universo OKR, definido como el subconjunto relevante para el seguimiento ejecutivo.</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source_feed</w:t>
            </w:r>
          </w:p>
        </w:tc>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Revenue</w:t>
            </w:r>
          </w:p>
        </w:tc>
        <w:tc>
          <w:tcPr>
            <w:tcW w:type="dxa" w:w="3137"/>
            <w:tcW w:w="515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Solo el feed de Revenue. El feed TTPP es complementario y no forma parte del KPI corporativo.</w:t>
            </w:r>
          </w:p>
        </w:tc>
      </w:tr>
    </w:tbl>
    <w:p>
      <w:pPr>
        <w:spacing w:after="40"/>
      </w:pPr>
    </w:p>
    <w:p>
      <w:pPr>
        <w:spacing w:before="280" w:after="80"/>
      </w:pPr>
      <w:r>
        <w:rPr>
          <w:rFonts w:ascii="Arial" w:hAnsi="Arial"/>
          <w:b/>
          <w:color w:val="2E5EAA"/>
          <w:sz w:val="24"/>
        </w:rPr>
        <w:t>6.3 Equivalencias con el modelo legacy</w:t>
      </w:r>
    </w:p>
    <w:p>
      <w:pPr>
        <w:spacing w:after="80"/>
      </w:pPr>
      <w:r>
        <w:rPr>
          <w:rFonts w:ascii="Arial" w:hAnsi="Arial"/>
          <w:b w:val="0"/>
          <w:color w:val="1A1A2E"/>
          <w:sz w:val="20"/>
        </w:rPr>
        <w:t>La tabla legacy (lake.bi_rev_adversas_hoteles_pon, ahora DEPRECADA) usaba nombres de campo distintos:</w:t>
      </w:r>
    </w:p>
    <w:tbl>
      <w:tblPr>
        <w:tblStyle w:val="TableGrid"/>
        <w:tblW w:type="auto" w:w="0"/>
        <w:jc w:val="left"/>
        <w:tblLook w:firstColumn="1" w:firstRow="1" w:lastColumn="0" w:lastRow="0" w:noHBand="0" w:noVBand="1" w:val="04A0"/>
      </w:tblPr>
      <w:tblGrid>
        <w:gridCol w:w="3137"/>
        <w:gridCol w:w="3137"/>
        <w:gridCol w:w="3137"/>
      </w:tblGrid>
      <w:tr>
        <w:tc>
          <w:tcPr>
            <w:tcW w:type="dxa" w:w="3137"/>
            <w:tcW w:w="283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Concepto</w:t>
            </w:r>
          </w:p>
        </w:tc>
        <w:tc>
          <w:tcPr>
            <w:tcW w:type="dxa" w:w="3137"/>
            <w:tcW w:w="283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Campo legacy</w:t>
            </w:r>
          </w:p>
        </w:tc>
        <w:tc>
          <w:tcPr>
            <w:tcW w:type="dxa" w:w="3137"/>
            <w:tcW w:w="3742"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Campo nuevo modelo</w:t>
            </w:r>
          </w:p>
        </w:tc>
      </w:tr>
      <w:tr>
        <w:tc>
          <w:tcPr>
            <w:tcW w:type="dxa" w:w="3137"/>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Disponibilidad</w:t>
            </w:r>
          </w:p>
        </w:tc>
        <w:tc>
          <w:tcPr>
            <w:tcW w:type="dxa" w:w="3137"/>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disponibilidad = 'Ambos'</w:t>
            </w:r>
          </w:p>
        </w:tc>
        <w:tc>
          <w:tcPr>
            <w:tcW w:type="dxa" w:w="3137"/>
            <w:tcW w:w="374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availability = 'Both'</w:t>
            </w:r>
          </w:p>
        </w:tc>
      </w:tr>
      <w:tr>
        <w:tc>
          <w:tcPr>
            <w:tcW w:type="dxa" w:w="3137"/>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Dia de benchmark</w:t>
            </w:r>
          </w:p>
        </w:tc>
        <w:tc>
          <w:tcPr>
            <w:tcW w:type="dxa" w:w="3137"/>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dia_semana_reporte = 'Tuesday'</w:t>
            </w:r>
          </w:p>
        </w:tc>
        <w:tc>
          <w:tcPr>
            <w:tcW w:type="dxa" w:w="3137"/>
            <w:tcW w:w="3742"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report_day_of_week = 'Tuesday'</w:t>
            </w:r>
          </w:p>
        </w:tc>
      </w:tr>
      <w:tr>
        <w:tc>
          <w:tcPr>
            <w:tcW w:type="dxa" w:w="3137"/>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Nombre del reporte</w:t>
            </w:r>
          </w:p>
        </w:tc>
        <w:tc>
          <w:tcPr>
            <w:tcW w:type="dxa" w:w="3137"/>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nombre_reporte = 'Booking Genius L1'</w:t>
            </w:r>
          </w:p>
        </w:tc>
        <w:tc>
          <w:tcPr>
            <w:tcW w:type="dxa" w:w="3137"/>
            <w:tcW w:w="374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name_report = 'Booking Genius L1'</w:t>
            </w:r>
          </w:p>
        </w:tc>
      </w:tr>
      <w:tr>
        <w:tc>
          <w:tcPr>
            <w:tcW w:type="dxa" w:w="3137"/>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Ponderador</w:t>
            </w:r>
          </w:p>
        </w:tc>
        <w:tc>
          <w:tcPr>
            <w:tcW w:type="dxa" w:w="3137"/>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ponderador</w:t>
            </w:r>
          </w:p>
        </w:tc>
        <w:tc>
          <w:tcPr>
            <w:tcW w:type="dxa" w:w="3137"/>
            <w:tcW w:w="3742"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weight</w:t>
            </w:r>
          </w:p>
        </w:tc>
      </w:tr>
      <w:tr>
        <w:tc>
          <w:tcPr>
            <w:tcW w:type="dxa" w:w="3137"/>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Fecha de crawleo</w:t>
            </w:r>
          </w:p>
        </w:tc>
        <w:tc>
          <w:tcPr>
            <w:tcW w:type="dxa" w:w="3137"/>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fecha_crawleo</w:t>
            </w:r>
          </w:p>
        </w:tc>
        <w:tc>
          <w:tcPr>
            <w:tcW w:type="dxa" w:w="3137"/>
            <w:tcW w:w="3742"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crawling_date</w:t>
            </w:r>
          </w:p>
        </w:tc>
      </w:tr>
    </w:tbl>
    <w:p>
      <w:r>
        <w:br w:type="page"/>
      </w:r>
    </w:p>
    <w:p>
      <w:pPr>
        <w:spacing w:before="400" w:after="120"/>
        <w:pBdr>
          <w:bottom w:val="single" w:sz="6" w:space="4" w:color="2E5EAA"/>
        </w:pBdr>
      </w:pPr>
      <w:r>
        <w:rPr>
          <w:rFonts w:ascii="Arial" w:hAnsi="Arial"/>
          <w:b/>
          <w:color w:val="1F3864"/>
          <w:sz w:val="32"/>
        </w:rPr>
        <w:t>7. Feeds: Revenue vs. TTPP</w:t>
      </w:r>
    </w:p>
    <w:p>
      <w:pPr>
        <w:spacing w:after="80"/>
      </w:pPr>
      <w:r>
        <w:rPr>
          <w:rFonts w:ascii="Arial" w:hAnsi="Arial"/>
          <w:b w:val="0"/>
          <w:color w:val="1A1A2E"/>
          <w:sz w:val="20"/>
        </w:rPr>
        <w:t>El sistema opera con dos feeds paralelos que cubren universos distintos de pricepoints:</w:t>
      </w:r>
    </w:p>
    <w:p>
      <w:pPr>
        <w:spacing w:after="40"/>
      </w:pP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tcW w:w="1417"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Feed</w:t>
            </w:r>
          </w:p>
        </w:tc>
        <w:tc>
          <w:tcPr>
            <w:tcW w:type="dxa" w:w="1882"/>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Universo</w:t>
            </w:r>
          </w:p>
        </w:tc>
        <w:tc>
          <w:tcPr>
            <w:tcW w:type="dxa" w:w="1882"/>
            <w:tcW w:w="1417"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Frecuencia</w:t>
            </w:r>
          </w:p>
        </w:tc>
        <w:tc>
          <w:tcPr>
            <w:tcW w:type="dxa" w:w="1882"/>
            <w:tcW w:w="170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Forma parte del KPI oficial?</w:t>
            </w:r>
          </w:p>
        </w:tc>
        <w:tc>
          <w:tcPr>
            <w:tcW w:type="dxa" w:w="1882"/>
            <w:tcW w:w="289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Uso principal</w:t>
            </w:r>
          </w:p>
        </w:tc>
      </w:tr>
      <w:tr>
        <w:tc>
          <w:tcPr>
            <w:tcW w:type="dxa" w:w="1882"/>
            <w:tcW w:w="141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Revenue</w:t>
            </w:r>
          </w:p>
        </w:tc>
        <w:tc>
          <w:tcPr>
            <w:tcW w:type="dxa" w:w="1882"/>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~39K pricepoints OKR</w:t>
            </w:r>
          </w:p>
        </w:tc>
        <w:tc>
          <w:tcPr>
            <w:tcW w:type="dxa" w:w="1882"/>
            <w:tcW w:w="141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Diaria</w:t>
            </w:r>
          </w:p>
        </w:tc>
        <w:tc>
          <w:tcPr>
            <w:tcW w:type="dxa" w:w="1882"/>
            <w:tcW w:w="170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Si</w:t>
            </w:r>
          </w:p>
        </w:tc>
        <w:tc>
          <w:tcPr>
            <w:tcW w:type="dxa" w:w="1882"/>
            <w:tcW w:w="289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KPI corporativo, reportes ejecutivos, seguimiento semanal</w:t>
            </w:r>
          </w:p>
        </w:tc>
      </w:tr>
      <w:tr>
        <w:tc>
          <w:tcPr>
            <w:tcW w:type="dxa" w:w="1882"/>
            <w:tcW w:w="141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TTPP</w:t>
            </w:r>
          </w:p>
        </w:tc>
        <w:tc>
          <w:tcPr>
            <w:tcW w:type="dxa" w:w="1882"/>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~24K pricepoints adicionales</w:t>
            </w:r>
          </w:p>
        </w:tc>
        <w:tc>
          <w:tcPr>
            <w:tcW w:type="dxa" w:w="1882"/>
            <w:tcW w:w="141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Domingos y martes</w:t>
            </w:r>
          </w:p>
        </w:tc>
        <w:tc>
          <w:tcPr>
            <w:tcW w:type="dxa" w:w="1882"/>
            <w:tcW w:w="170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No</w:t>
            </w:r>
          </w:p>
        </w:tc>
        <w:tc>
          <w:tcPr>
            <w:tcW w:type="dxa" w:w="1882"/>
            <w:tcW w:w="289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Complemento operativo para Travel Partners y Sourcing</w:t>
            </w:r>
          </w:p>
        </w:tc>
      </w:tr>
    </w:tbl>
    <w:p>
      <w:pPr>
        <w:spacing w:after="40"/>
      </w:pPr>
    </w:p>
    <w:p>
      <w:pPr>
        <w:spacing w:after="80"/>
      </w:pPr>
      <w:r>
        <w:rPr>
          <w:rFonts w:ascii="Arial" w:hAnsi="Arial"/>
          <w:b w:val="0"/>
          <w:color w:val="1A1A2E"/>
          <w:sz w:val="20"/>
        </w:rPr>
        <w:t>El feed de Revenue es la fuente oficial. El feed TTPP agrega cobertura operativa sobre hoteles y condiciones que no estan en el universo OKR, util para la gestion diaria de Sourcing pero excluido del KPI que se reporta a management.</w:t>
      </w:r>
    </w:p>
    <w:p>
      <w:r>
        <w:br w:type="page"/>
      </w:r>
    </w:p>
    <w:p>
      <w:pPr>
        <w:spacing w:before="400" w:after="120"/>
        <w:pBdr>
          <w:bottom w:val="single" w:sz="6" w:space="4" w:color="2E5EAA"/>
        </w:pBdr>
      </w:pPr>
      <w:r>
        <w:rPr>
          <w:rFonts w:ascii="Arial" w:hAnsi="Arial"/>
          <w:b/>
          <w:color w:val="1F3864"/>
          <w:sz w:val="32"/>
        </w:rPr>
        <w:t>8. Como se reporta y quien lo consume</w:t>
      </w:r>
    </w:p>
    <w:p>
      <w:pPr>
        <w:spacing w:before="280" w:after="80"/>
      </w:pPr>
      <w:r>
        <w:rPr>
          <w:rFonts w:ascii="Arial" w:hAnsi="Arial"/>
          <w:b/>
          <w:color w:val="2E5EAA"/>
          <w:sz w:val="24"/>
        </w:rPr>
        <w:t>8.1 SLA de disponibilidad</w:t>
      </w:r>
    </w:p>
    <w:tbl>
      <w:tblPr>
        <w:tblStyle w:val="TableGrid"/>
        <w:tblW w:type="auto" w:w="0"/>
        <w:jc w:val="left"/>
        <w:tblLook w:firstColumn="1" w:firstRow="1" w:lastColumn="0" w:lastRow="0" w:noHBand="0" w:noVBand="1" w:val="04A0"/>
      </w:tblPr>
      <w:tblGrid>
        <w:gridCol w:w="4706"/>
        <w:gridCol w:w="4706"/>
      </w:tblGrid>
      <w:tr>
        <w:tc>
          <w:tcPr>
            <w:tcW w:type="dxa" w:w="4706"/>
            <w:tcW w:w="283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Estado</w:t>
            </w:r>
          </w:p>
        </w:tc>
        <w:tc>
          <w:tcPr>
            <w:tcW w:type="dxa" w:w="4706"/>
            <w:tcW w:w="6577"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Horario (hora Argentina)</w:t>
            </w:r>
          </w:p>
        </w:tc>
      </w:tr>
      <w:tr>
        <w:tc>
          <w:tcPr>
            <w:tcW w:type="dxa" w:w="4706"/>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Esperado (normal)</w:t>
            </w:r>
          </w:p>
        </w:tc>
        <w:tc>
          <w:tcPr>
            <w:tcW w:type="dxa" w:w="4706"/>
            <w:tcW w:w="657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Antes de las 09:00 AM</w:t>
            </w:r>
          </w:p>
        </w:tc>
      </w:tr>
      <w:tr>
        <w:tc>
          <w:tcPr>
            <w:tcW w:type="dxa" w:w="4706"/>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Demorado (alerta)</w:t>
            </w:r>
          </w:p>
        </w:tc>
        <w:tc>
          <w:tcPr>
            <w:tcW w:type="dxa" w:w="4706"/>
            <w:tcW w:w="657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Entre las 09:00 AM y las 12:00 PM</w:t>
            </w:r>
          </w:p>
        </w:tc>
      </w:tr>
      <w:tr>
        <w:tc>
          <w:tcPr>
            <w:tcW w:type="dxa" w:w="4706"/>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Incidente</w:t>
            </w:r>
          </w:p>
        </w:tc>
        <w:tc>
          <w:tcPr>
            <w:tcW w:type="dxa" w:w="4706"/>
            <w:tcW w:w="657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Despues de las 12:00 PM</w:t>
            </w:r>
          </w:p>
        </w:tc>
      </w:tr>
    </w:tbl>
    <w:p>
      <w:pPr>
        <w:spacing w:after="40"/>
      </w:pPr>
    </w:p>
    <w:p>
      <w:pPr>
        <w:spacing w:before="280" w:after="80"/>
      </w:pPr>
      <w:r>
        <w:rPr>
          <w:rFonts w:ascii="Arial" w:hAnsi="Arial"/>
          <w:b/>
          <w:color w:val="2E5EAA"/>
          <w:sz w:val="24"/>
        </w:rPr>
        <w:t>8.2 Equipos consumidores y uso</w:t>
      </w:r>
    </w:p>
    <w:tbl>
      <w:tblPr>
        <w:tblStyle w:val="TableGrid"/>
        <w:tblW w:type="auto" w:w="0"/>
        <w:jc w:val="left"/>
        <w:tblLook w:firstColumn="1" w:firstRow="1" w:lastColumn="0" w:lastRow="0" w:noHBand="0" w:noVBand="1" w:val="04A0"/>
      </w:tblPr>
      <w:tblGrid>
        <w:gridCol w:w="3137"/>
        <w:gridCol w:w="3137"/>
        <w:gridCol w:w="3137"/>
      </w:tblGrid>
      <w:tr>
        <w:tc>
          <w:tcPr>
            <w:tcW w:type="dxa" w:w="3137"/>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Equipo</w:t>
            </w:r>
          </w:p>
        </w:tc>
        <w:tc>
          <w:tcPr>
            <w:tcW w:type="dxa" w:w="3137"/>
            <w:tcW w:w="1984"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Version que usan</w:t>
            </w:r>
          </w:p>
        </w:tc>
        <w:tc>
          <w:tcPr>
            <w:tcW w:type="dxa" w:w="3137"/>
            <w:tcW w:w="5443"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Para que</w:t>
            </w:r>
          </w:p>
        </w:tc>
      </w:tr>
      <w:tr>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Revenue</w:t>
            </w:r>
          </w:p>
        </w:tc>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adversidad_final (finalbml)</w:t>
            </w:r>
          </w:p>
        </w:tc>
        <w:tc>
          <w:tcPr>
            <w:tcW w:type="dxa" w:w="3137"/>
            <w:tcW w:w="5443"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KPI corporativo, seguimiento ejecutivo semanal, objetivos anuales</w:t>
            </w:r>
          </w:p>
        </w:tc>
      </w:tr>
      <w:tr>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Sourcing / Travel Partners</w:t>
            </w:r>
          </w:p>
        </w:tc>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adversidad_base (basebml)</w:t>
            </w:r>
          </w:p>
        </w:tc>
        <w:tc>
          <w:tcPr>
            <w:tcW w:type="dxa" w:w="3137"/>
            <w:tcW w:w="5443"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Gestion operativa de tarifas, priorizacion de negociaciones hoteleras</w:t>
            </w:r>
          </w:p>
        </w:tc>
      </w:tr>
      <w:tr>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Planning</w:t>
            </w:r>
          </w:p>
        </w:tc>
        <w:tc>
          <w:tcPr>
            <w:tcW w:type="dxa" w:w="3137"/>
            <w:tcW w:w="1984"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adversidad_final</w:t>
            </w:r>
          </w:p>
        </w:tc>
        <w:tc>
          <w:tcPr>
            <w:tcW w:type="dxa" w:w="3137"/>
            <w:tcW w:w="5443"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Seguimiento de objetivos y forecasting</w:t>
            </w:r>
          </w:p>
        </w:tc>
      </w:tr>
      <w:tr>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Accommodations</w:t>
            </w:r>
          </w:p>
        </w:tc>
        <w:tc>
          <w:tcPr>
            <w:tcW w:type="dxa" w:w="3137"/>
            <w:tcW w:w="1984"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Ambas</w:t>
            </w:r>
          </w:p>
        </w:tc>
        <w:tc>
          <w:tcPr>
            <w:tcW w:type="dxa" w:w="3137"/>
            <w:tcW w:w="5443"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Diagnostico de hoteles, priorizacion de portafolio</w:t>
            </w:r>
          </w:p>
        </w:tc>
      </w:tr>
    </w:tbl>
    <w:p>
      <w:pPr>
        <w:spacing w:after="40"/>
      </w:pPr>
    </w:p>
    <w:p>
      <w:pPr>
        <w:spacing w:before="280" w:after="80"/>
      </w:pPr>
      <w:r>
        <w:rPr>
          <w:rFonts w:ascii="Arial" w:hAnsi="Arial"/>
          <w:b/>
          <w:color w:val="2E5EAA"/>
          <w:sz w:val="24"/>
        </w:rPr>
        <w:t>8.3 Herramientas de reporte</w:t>
      </w:r>
    </w:p>
    <w:p>
      <w:pPr>
        <w:pStyle w:val="ListBullet"/>
        <w:spacing w:after="40"/>
      </w:pPr>
      <w:r>
        <w:rPr>
          <w:rFonts w:ascii="Arial" w:hAnsi="Arial"/>
          <w:b w:val="0"/>
          <w:color w:val="1A1A2E"/>
          <w:sz w:val="20"/>
        </w:rPr>
        <w:t>Metabase: tableros de seguimiento semanal por dominio, hotel y competidor.</w:t>
      </w:r>
    </w:p>
    <w:p>
      <w:pPr>
        <w:pStyle w:val="ListBullet"/>
        <w:spacing w:after="40"/>
      </w:pPr>
      <w:r>
        <w:rPr>
          <w:rFonts w:ascii="Arial" w:hAnsi="Arial"/>
          <w:b w:val="0"/>
          <w:color w:val="1A1A2E"/>
          <w:sz w:val="20"/>
        </w:rPr>
        <w:t>Reportes ejecutivos: resumen de adversidad semanal enviado a management.</w:t>
      </w:r>
    </w:p>
    <w:p>
      <w:pPr>
        <w:pStyle w:val="ListBullet"/>
        <w:spacing w:after="40"/>
      </w:pPr>
      <w:r>
        <w:rPr>
          <w:rFonts w:ascii="Arial" w:hAnsi="Arial"/>
          <w:b w:val="0"/>
          <w:color w:val="1A1A2E"/>
          <w:sz w:val="20"/>
        </w:rPr>
        <w:t>Consultas SQL directas al data lake: para analisis ad-hoc y validaciones.</w:t>
      </w:r>
    </w:p>
    <w:p>
      <w:r>
        <w:br w:type="page"/>
      </w:r>
    </w:p>
    <w:p>
      <w:pPr>
        <w:spacing w:before="400" w:after="120"/>
        <w:pBdr>
          <w:bottom w:val="single" w:sz="6" w:space="4" w:color="2E5EAA"/>
        </w:pBdr>
      </w:pPr>
      <w:r>
        <w:rPr>
          <w:rFonts w:ascii="Arial" w:hAnsi="Arial"/>
          <w:b/>
          <w:color w:val="1F3864"/>
          <w:sz w:val="32"/>
        </w:rPr>
        <w:t>9. Cambios metodologicos y comparabilidad historica</w:t>
      </w:r>
    </w:p>
    <w:tbl>
      <w:tblPr>
        <w:tblStyle w:val="TableGrid"/>
        <w:tblW w:type="auto" w:w="0"/>
        <w:jc w:val="left"/>
        <w:tblLook w:firstColumn="1" w:firstRow="1" w:lastColumn="0" w:lastRow="0" w:noHBand="0" w:noVBand="1" w:val="04A0"/>
      </w:tblPr>
      <w:tblGrid>
        <w:gridCol w:w="9412"/>
      </w:tblGrid>
      <w:tr>
        <w:tc>
          <w:tcPr>
            <w:tcW w:type="dxa" w:w="9412"/>
            <w:shd w:val="clear" w:color="auto" w:fill="FDE8E8"/>
            <w:tcBorders>
              <w:top w:val="single" w:sz="4" w:space="0" w:color="DDE8E8"/>
              <w:left w:val="single" w:sz="4" w:space="0" w:color="DDE8E8"/>
              <w:bottom w:val="single" w:sz="4" w:space="0" w:color="DDE8E8"/>
              <w:right w:val="single" w:sz="4" w:space="0" w:color="DDE8E8"/>
            </w:tcBorders>
            <w:tcW w:w="9412" w:type="dxa"/>
          </w:tcPr>
          <w:p>
            <w:pPr>
              <w:spacing w:before="80" w:after="80"/>
            </w:pPr>
            <w:r>
              <w:rPr>
                <w:rFonts w:ascii="Arial" w:hAnsi="Arial"/>
                <w:b w:val="0"/>
                <w:color w:val="B00020"/>
                <w:sz w:val="19"/>
              </w:rPr>
              <w:t>AVISO CRITICO: Las series de adversidad antes y despues del 2026-05-04 NO son directamente comparables. Todo analisis de tendencia historica que cruce esa fecha debe incluir esta advertencia explicitamente.</w:t>
            </w:r>
          </w:p>
        </w:tc>
      </w:tr>
    </w:tbl>
    <w:p>
      <w:pPr>
        <w:spacing w:after="40"/>
      </w:pPr>
    </w:p>
    <w:p>
      <w:pPr>
        <w:spacing w:after="40"/>
      </w:pPr>
    </w:p>
    <w:p>
      <w:pPr>
        <w:spacing w:before="280" w:after="80"/>
      </w:pPr>
      <w:r>
        <w:rPr>
          <w:rFonts w:ascii="Arial" w:hAnsi="Arial"/>
          <w:b/>
          <w:color w:val="2E5EAA"/>
          <w:sz w:val="24"/>
        </w:rPr>
        <w:t>Cambio del 2026-05-04: nuevo feed + ponderador actualizado</w:t>
      </w:r>
    </w:p>
    <w:tbl>
      <w:tblPr>
        <w:tblStyle w:val="TableGrid"/>
        <w:tblW w:type="auto" w:w="0"/>
        <w:jc w:val="left"/>
        <w:tblLook w:firstColumn="1" w:firstRow="1" w:lastColumn="0" w:lastRow="0" w:noHBand="0" w:noVBand="1" w:val="04A0"/>
      </w:tblPr>
      <w:tblGrid>
        <w:gridCol w:w="4706"/>
        <w:gridCol w:w="4706"/>
      </w:tblGrid>
      <w:tr>
        <w:tc>
          <w:tcPr>
            <w:tcW w:type="dxa" w:w="4706"/>
            <w:tcW w:w="283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Que cambio</w:t>
            </w:r>
          </w:p>
        </w:tc>
        <w:tc>
          <w:tcPr>
            <w:tcW w:type="dxa" w:w="4706"/>
            <w:tcW w:w="6577"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Detalle</w:t>
            </w:r>
          </w:p>
        </w:tc>
      </w:tr>
      <w:tr>
        <w:tc>
          <w:tcPr>
            <w:tcW w:type="dxa" w:w="4706"/>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Nuevo feed de Revenue</w:t>
            </w:r>
          </w:p>
        </w:tc>
        <w:tc>
          <w:tcPr>
            <w:tcW w:type="dxa" w:w="4706"/>
            <w:tcW w:w="657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Se amplio y refresco el universo de hoteles y pricepoints relevantes para la medicion.</w:t>
            </w:r>
          </w:p>
        </w:tc>
      </w:tr>
      <w:tr>
        <w:tc>
          <w:tcPr>
            <w:tcW w:type="dxa" w:w="4706"/>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Nueva metodologia del ponderador</w:t>
            </w:r>
          </w:p>
        </w:tc>
        <w:tc>
          <w:tcPr>
            <w:tcW w:type="dxa" w:w="4706"/>
            <w:tcW w:w="657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Se incorporo una representacion mas precisa de relevancia de mercado y de GB, incluyendo senales de reviews de Booking.</w:t>
            </w:r>
          </w:p>
        </w:tc>
      </w:tr>
      <w:tr>
        <w:tc>
          <w:tcPr>
            <w:tcW w:type="dxa" w:w="4706"/>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Impacto esperado</w:t>
            </w:r>
          </w:p>
        </w:tc>
        <w:tc>
          <w:tcPr>
            <w:tcW w:type="dxa" w:w="4706"/>
            <w:tcW w:w="657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Hasta +3 puntos porcentuales de incremento estructural en la adversidad reportada.</w:t>
            </w:r>
          </w:p>
        </w:tc>
      </w:tr>
      <w:tr>
        <w:tc>
          <w:tcPr>
            <w:tcW w:type="dxa" w:w="4706"/>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Causa del impacto</w:t>
            </w:r>
          </w:p>
        </w:tc>
        <w:tc>
          <w:tcPr>
            <w:tcW w:type="dxa" w:w="4706"/>
            <w:tcW w:w="657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cambio no refleja una caida real de competitividad sino una medicion mas representativa del mercado.</w:t>
            </w:r>
          </w:p>
        </w:tc>
      </w:tr>
      <w:tr>
        <w:tc>
          <w:tcPr>
            <w:tcW w:type="dxa" w:w="4706"/>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Estado</w:t>
            </w:r>
          </w:p>
        </w:tc>
        <w:tc>
          <w:tcPr>
            <w:tcW w:type="dxa" w:w="4706"/>
            <w:tcW w:w="657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Aplicado en produccion. Aprobado por Damian Latronico (Revenue Manager).</w:t>
            </w:r>
          </w:p>
        </w:tc>
      </w:tr>
    </w:tbl>
    <w:p>
      <w:pPr>
        <w:spacing w:after="40"/>
      </w:pPr>
    </w:p>
    <w:p>
      <w:pPr>
        <w:spacing w:after="80"/>
      </w:pPr>
      <w:r>
        <w:rPr>
          <w:rFonts w:ascii="Arial" w:hAnsi="Arial"/>
          <w:b/>
          <w:color w:val="1A1A2E"/>
          <w:sz w:val="20"/>
        </w:rPr>
        <w:t>Recomendacion para comparaciones historicas:</w:t>
      </w:r>
    </w:p>
    <w:p>
      <w:pPr>
        <w:pStyle w:val="ListBullet"/>
        <w:spacing w:after="40"/>
      </w:pPr>
      <w:r>
        <w:rPr>
          <w:rFonts w:ascii="Arial" w:hAnsi="Arial"/>
          <w:b w:val="0"/>
          <w:color w:val="1A1A2E"/>
          <w:sz w:val="20"/>
        </w:rPr>
        <w:t>Separar los periodos pre y post 2026-05-04 en cualquier analisis de tendencia.</w:t>
      </w:r>
    </w:p>
    <w:p>
      <w:pPr>
        <w:pStyle w:val="ListBullet"/>
        <w:spacing w:after="40"/>
      </w:pPr>
      <w:r>
        <w:rPr>
          <w:rFonts w:ascii="Arial" w:hAnsi="Arial"/>
          <w:b w:val="0"/>
          <w:color w:val="1A1A2E"/>
          <w:sz w:val="20"/>
        </w:rPr>
        <w:t>No tratar el salto del 2026-05-04 como deterioro de competitividad.</w:t>
      </w:r>
    </w:p>
    <w:p>
      <w:pPr>
        <w:pStyle w:val="ListBullet"/>
        <w:spacing w:after="40"/>
      </w:pPr>
      <w:r>
        <w:rPr>
          <w:rFonts w:ascii="Arial" w:hAnsi="Arial"/>
          <w:b w:val="0"/>
          <w:color w:val="1A1A2E"/>
          <w:sz w:val="20"/>
        </w:rPr>
        <w:t>Para comparar YoY, usar solo el periodo post-cambio vs. el mismo periodo del anio anterior una vez que haya suficiente historia.</w:t>
      </w:r>
    </w:p>
    <w:p>
      <w:r>
        <w:br w:type="page"/>
      </w:r>
    </w:p>
    <w:p>
      <w:pPr>
        <w:spacing w:before="400" w:after="120"/>
        <w:pBdr>
          <w:bottom w:val="single" w:sz="6" w:space="4" w:color="2E5EAA"/>
        </w:pBdr>
      </w:pPr>
      <w:r>
        <w:rPr>
          <w:rFonts w:ascii="Arial" w:hAnsi="Arial"/>
          <w:b/>
          <w:color w:val="1F3864"/>
          <w:sz w:val="32"/>
        </w:rPr>
        <w:t>10. SLA y calidad de datos</w:t>
      </w:r>
    </w:p>
    <w:p>
      <w:pPr>
        <w:spacing w:before="280" w:after="80"/>
      </w:pPr>
      <w:r>
        <w:rPr>
          <w:rFonts w:ascii="Arial" w:hAnsi="Arial"/>
          <w:b/>
          <w:color w:val="2E5EAA"/>
          <w:sz w:val="24"/>
        </w:rPr>
        <w:t>10.1 Volumenes esperados</w:t>
      </w:r>
    </w:p>
    <w:tbl>
      <w:tblPr>
        <w:tblStyle w:val="TableGrid"/>
        <w:tblW w:type="auto" w:w="0"/>
        <w:jc w:val="left"/>
        <w:tblLook w:firstColumn="1" w:firstRow="1" w:lastColumn="0" w:lastRow="0" w:noHBand="0" w:noVBand="1" w:val="04A0"/>
      </w:tblPr>
      <w:tblGrid>
        <w:gridCol w:w="4706"/>
        <w:gridCol w:w="4706"/>
      </w:tblGrid>
      <w:tr>
        <w:tc>
          <w:tcPr>
            <w:tcW w:type="dxa" w:w="4706"/>
            <w:tcW w:w="3969"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Feed</w:t>
            </w:r>
          </w:p>
        </w:tc>
        <w:tc>
          <w:tcPr>
            <w:tcW w:type="dxa" w:w="4706"/>
            <w:tcW w:w="5443"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Pricepoints esperados</w:t>
            </w:r>
          </w:p>
        </w:tc>
      </w:tr>
      <w:tr>
        <w:tc>
          <w:tcPr>
            <w:tcW w:type="dxa" w:w="4706"/>
            <w:tcW w:w="3969"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Revenue (universo OKR oficial)</w:t>
            </w:r>
          </w:p>
        </w:tc>
        <w:tc>
          <w:tcPr>
            <w:tcW w:type="dxa" w:w="4706"/>
            <w:tcW w:w="5443"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~39.000 pricepoints</w:t>
            </w:r>
          </w:p>
        </w:tc>
      </w:tr>
      <w:tr>
        <w:tc>
          <w:tcPr>
            <w:tcW w:type="dxa" w:w="4706"/>
            <w:tcW w:w="3969"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TTPP (complemento operativo)</w:t>
            </w:r>
          </w:p>
        </w:tc>
        <w:tc>
          <w:tcPr>
            <w:tcW w:type="dxa" w:w="4706"/>
            <w:tcW w:w="5443"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~24.000 pricepoints adicionales</w:t>
            </w:r>
          </w:p>
        </w:tc>
      </w:tr>
    </w:tbl>
    <w:p>
      <w:pPr>
        <w:spacing w:after="40"/>
      </w:pPr>
    </w:p>
    <w:p>
      <w:pPr>
        <w:spacing w:before="280" w:after="80"/>
      </w:pPr>
      <w:r>
        <w:rPr>
          <w:rFonts w:ascii="Arial" w:hAnsi="Arial"/>
          <w:b/>
          <w:color w:val="2E5EAA"/>
          <w:sz w:val="24"/>
        </w:rPr>
        <w:t>10.2 Validaciones obligatorias antes de publicar</w:t>
      </w:r>
    </w:p>
    <w:p>
      <w:pPr>
        <w:pStyle w:val="ListBullet"/>
        <w:spacing w:after="40"/>
      </w:pPr>
      <w:r>
        <w:rPr>
          <w:rFonts w:ascii="Arial" w:hAnsi="Arial"/>
          <w:b w:val="0"/>
          <w:color w:val="1A1A2E"/>
          <w:sz w:val="20"/>
        </w:rPr>
        <w:t>Volumen total dentro del +/- 5% del historico. Desviaciones mayores requieren investigacion antes de publicar.</w:t>
      </w:r>
    </w:p>
    <w:p>
      <w:pPr>
        <w:pStyle w:val="ListBullet"/>
        <w:spacing w:after="40"/>
      </w:pPr>
      <w:r>
        <w:rPr>
          <w:rFonts w:ascii="Arial" w:hAnsi="Arial"/>
          <w:b w:val="0"/>
          <w:color w:val="1A1A2E"/>
          <w:sz w:val="20"/>
        </w:rPr>
        <w:t>Presencia de todos los mercados. Un dominio ausente invalida el reporte.</w:t>
      </w:r>
    </w:p>
    <w:p>
      <w:pPr>
        <w:pStyle w:val="ListBullet"/>
        <w:spacing w:after="40"/>
      </w:pPr>
      <w:r>
        <w:rPr>
          <w:rFonts w:ascii="Arial" w:hAnsi="Arial"/>
          <w:b w:val="0"/>
          <w:color w:val="1A1A2E"/>
          <w:sz w:val="20"/>
        </w:rPr>
        <w:t>Presencia de todos los competidores y contextos esperados.</w:t>
      </w:r>
    </w:p>
    <w:p>
      <w:pPr>
        <w:pStyle w:val="ListBullet"/>
        <w:spacing w:after="40"/>
      </w:pPr>
      <w:r>
        <w:rPr>
          <w:rFonts w:ascii="Arial" w:hAnsi="Arial"/>
          <w:b w:val="0"/>
          <w:color w:val="1A1A2E"/>
          <w:sz w:val="20"/>
        </w:rPr>
        <w:t>Ratio de disponibilidad (casos 'Both') dentro de rangos historicos esperados.</w:t>
      </w:r>
    </w:p>
    <w:p>
      <w:pPr>
        <w:pStyle w:val="ListBullet"/>
        <w:spacing w:after="40"/>
      </w:pPr>
      <w:r>
        <w:rPr>
          <w:rFonts w:ascii="Arial" w:hAnsi="Arial"/>
          <w:b w:val="0"/>
          <w:color w:val="1A1A2E"/>
          <w:sz w:val="20"/>
        </w:rPr>
        <w:t>Ausencia de hoteles o pricepoints duplicados.</w:t>
      </w:r>
    </w:p>
    <w:p>
      <w:pPr>
        <w:spacing w:after="40"/>
      </w:pPr>
    </w:p>
    <w:p>
      <w:pPr>
        <w:spacing w:before="280" w:after="80"/>
      </w:pPr>
      <w:r>
        <w:rPr>
          <w:rFonts w:ascii="Arial" w:hAnsi="Arial"/>
          <w:b/>
          <w:color w:val="2E5EAA"/>
          <w:sz w:val="24"/>
        </w:rPr>
        <w:t>10.3 Criterio de incidente</w:t>
      </w:r>
    </w:p>
    <w:p>
      <w:pPr>
        <w:spacing w:after="80"/>
      </w:pPr>
      <w:r>
        <w:rPr>
          <w:rFonts w:ascii="Arial" w:hAnsi="Arial"/>
          <w:b w:val="0"/>
          <w:color w:val="1A1A2E"/>
          <w:sz w:val="20"/>
        </w:rPr>
        <w:t>Se considera incidente cuando:</w:t>
      </w:r>
    </w:p>
    <w:p>
      <w:pPr>
        <w:pStyle w:val="ListBullet"/>
        <w:spacing w:after="40"/>
      </w:pPr>
      <w:r>
        <w:rPr>
          <w:rFonts w:ascii="Arial" w:hAnsi="Arial"/>
          <w:b w:val="0"/>
          <w:color w:val="1A1A2E"/>
          <w:sz w:val="20"/>
        </w:rPr>
        <w:t>El feed no esta disponible despues de las 12:00 PM hora Argentina.</w:t>
      </w:r>
    </w:p>
    <w:p>
      <w:pPr>
        <w:pStyle w:val="ListBullet"/>
        <w:spacing w:after="40"/>
      </w:pPr>
      <w:r>
        <w:rPr>
          <w:rFonts w:ascii="Arial" w:hAnsi="Arial"/>
          <w:b w:val="0"/>
          <w:color w:val="1A1A2E"/>
          <w:sz w:val="20"/>
        </w:rPr>
        <w:t>El volumen de pricepoints cae mas de un 5% sin explicacion conocida.</w:t>
      </w:r>
    </w:p>
    <w:p>
      <w:pPr>
        <w:pStyle w:val="ListBullet"/>
        <w:spacing w:after="40"/>
      </w:pPr>
      <w:r>
        <w:rPr>
          <w:rFonts w:ascii="Arial" w:hAnsi="Arial"/>
          <w:b w:val="0"/>
          <w:color w:val="1A1A2E"/>
          <w:sz w:val="20"/>
        </w:rPr>
        <w:t>Falta algun mercado, competidor o contexto completo.</w:t>
      </w:r>
    </w:p>
    <w:p>
      <w:pPr>
        <w:pStyle w:val="ListBullet"/>
        <w:spacing w:after="40"/>
      </w:pPr>
      <w:r>
        <w:rPr>
          <w:rFonts w:ascii="Arial" w:hAnsi="Arial"/>
          <w:b w:val="0"/>
          <w:color w:val="1A1A2E"/>
          <w:sz w:val="20"/>
        </w:rPr>
        <w:t>La adversidad reportada tiene un salto mayor a 3pp sin cambio metodologico documentado.</w:t>
      </w:r>
    </w:p>
    <w:p>
      <w:r>
        <w:br w:type="page"/>
      </w:r>
    </w:p>
    <w:p>
      <w:pPr>
        <w:spacing w:before="400" w:after="120"/>
        <w:pBdr>
          <w:bottom w:val="single" w:sz="6" w:space="4" w:color="2E5EAA"/>
        </w:pBdr>
      </w:pPr>
      <w:r>
        <w:rPr>
          <w:rFonts w:ascii="Arial" w:hAnsi="Arial"/>
          <w:b/>
          <w:color w:val="1F3864"/>
          <w:sz w:val="32"/>
        </w:rPr>
        <w:t>11. El Tipificador: analisis de causa raiz downstream</w:t>
      </w:r>
    </w:p>
    <w:p>
      <w:pPr>
        <w:spacing w:after="80"/>
      </w:pPr>
      <w:r>
        <w:rPr>
          <w:rFonts w:ascii="Arial" w:hAnsi="Arial"/>
          <w:b w:val="0"/>
          <w:color w:val="1A1A2E"/>
          <w:sz w:val="20"/>
        </w:rPr>
        <w:t>El Tipificador de Competitividad Hotelera es un pipeline downstream que toma los pricepoints clasificados como LOSE y determina por que Despegar perdio en cada caso.</w:t>
      </w:r>
    </w:p>
    <w:p>
      <w:pPr>
        <w:spacing w:after="40"/>
      </w:pPr>
    </w:p>
    <w:p>
      <w:pPr>
        <w:spacing w:after="80"/>
      </w:pPr>
      <w:r>
        <w:rPr>
          <w:rFonts w:ascii="Arial" w:hAnsi="Arial"/>
          <w:b w:val="0"/>
          <w:color w:val="1A1A2E"/>
          <w:sz w:val="20"/>
        </w:rPr>
        <w:t>Es importante distinguir los dos niveles del proceso:</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tcW w:w="1417"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Nivel</w:t>
            </w:r>
          </w:p>
        </w:tc>
        <w:tc>
          <w:tcPr>
            <w:tcW w:type="dxa" w:w="2353"/>
            <w:tcW w:w="283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Que mide</w:t>
            </w:r>
          </w:p>
        </w:tc>
        <w:tc>
          <w:tcPr>
            <w:tcW w:type="dxa" w:w="2353"/>
            <w:tcW w:w="255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Output principal</w:t>
            </w:r>
          </w:p>
        </w:tc>
        <w:tc>
          <w:tcPr>
            <w:tcW w:type="dxa" w:w="2353"/>
            <w:tcW w:w="2891"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Tabla</w:t>
            </w:r>
          </w:p>
        </w:tc>
      </w:tr>
      <w:tr>
        <w:tc>
          <w:tcPr>
            <w:tcW w:type="dxa" w:w="2353"/>
            <w:tcW w:w="1417"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Adversidad</w:t>
            </w:r>
          </w:p>
        </w:tc>
        <w:tc>
          <w:tcPr>
            <w:tcW w:type="dxa" w:w="2353"/>
            <w:tcW w:w="283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Cuanto pierde Despegar (tasa agregada)</w:t>
            </w:r>
          </w:p>
        </w:tc>
        <w:tc>
          <w:tcPr>
            <w:tcW w:type="dxa" w:w="2353"/>
            <w:tcW w:w="255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adversidad_final por dominio/semana</w:t>
            </w:r>
          </w:p>
        </w:tc>
        <w:tc>
          <w:tcPr>
            <w:tcW w:type="dxa" w:w="2353"/>
            <w:tcW w:w="2891"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lake.bi_rev_adversity_hotels_h</w:t>
            </w:r>
          </w:p>
        </w:tc>
      </w:tr>
      <w:tr>
        <w:tc>
          <w:tcPr>
            <w:tcW w:type="dxa" w:w="2353"/>
            <w:tcW w:w="1417"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Tipificador</w:t>
            </w:r>
          </w:p>
        </w:tc>
        <w:tc>
          <w:tcPr>
            <w:tcW w:type="dxa" w:w="2353"/>
            <w:tcW w:w="283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Por que pierde Despegar en cada caso</w:t>
            </w:r>
          </w:p>
        </w:tc>
        <w:tc>
          <w:tcPr>
            <w:tcW w:type="dxa" w:w="2353"/>
            <w:tcW w:w="255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root_cause por pricepoint</w:t>
            </w:r>
          </w:p>
        </w:tc>
        <w:tc>
          <w:tcPr>
            <w:tcW w:type="dxa" w:w="2353"/>
            <w:tcW w:w="2891"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lake.bi_rev_tipificador</w:t>
            </w:r>
          </w:p>
        </w:tc>
      </w:tr>
    </w:tbl>
    <w:p>
      <w:pPr>
        <w:spacing w:after="40"/>
      </w:pPr>
    </w:p>
    <w:p>
      <w:pPr>
        <w:spacing w:before="280" w:after="80"/>
      </w:pPr>
      <w:r>
        <w:rPr>
          <w:rFonts w:ascii="Arial" w:hAnsi="Arial"/>
          <w:b/>
          <w:color w:val="2E5EAA"/>
          <w:sz w:val="24"/>
        </w:rPr>
        <w:t>11.1 Causas raiz clasificadas</w:t>
      </w:r>
    </w:p>
    <w:tbl>
      <w:tblPr>
        <w:tblStyle w:val="TableGrid"/>
        <w:tblW w:type="auto" w:w="0"/>
        <w:jc w:val="left"/>
        <w:tblLook w:firstColumn="1" w:firstRow="1" w:lastColumn="0" w:lastRow="0" w:noHBand="0" w:noVBand="1" w:val="04A0"/>
      </w:tblPr>
      <w:tblGrid>
        <w:gridCol w:w="3137"/>
        <w:gridCol w:w="3137"/>
        <w:gridCol w:w="3137"/>
      </w:tblGrid>
      <w:tr>
        <w:tc>
          <w:tcPr>
            <w:tcW w:type="dxa" w:w="3137"/>
            <w:tcW w:w="2268"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Causa raiz</w:t>
            </w:r>
          </w:p>
        </w:tc>
        <w:tc>
          <w:tcPr>
            <w:tcW w:type="dxa" w:w="3137"/>
            <w:tcW w:w="3685"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Descripcion ejecutiva</w:t>
            </w:r>
          </w:p>
        </w:tc>
        <w:tc>
          <w:tcPr>
            <w:tcW w:type="dxa" w:w="3137"/>
            <w:tcW w:w="3458" w:type="dxa"/>
            <w:shd w:val="clear" w:color="auto" w:fill="1F3864"/>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color w:val="FFFFFF"/>
                <w:sz w:val="18"/>
              </w:rPr>
              <w:t>Implicancia operativa</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Sin disponibilidad Despegar</w:t>
            </w:r>
          </w:p>
        </w:tc>
        <w:tc>
          <w:tcPr>
            <w:tcW w:type="dxa" w:w="3137"/>
            <w:tcW w:w="368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Despegar no tenia oferta disponible para ese pricepoint.</w:t>
            </w:r>
          </w:p>
        </w:tc>
        <w:tc>
          <w:tcPr>
            <w:tcW w:type="dxa" w:w="3137"/>
            <w:tcW w:w="345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Problema de cobertura de producto o proveedor.</w:t>
            </w:r>
          </w:p>
        </w:tc>
      </w:tr>
      <w:tr>
        <w:tc>
          <w:tcPr>
            <w:tcW w:type="dxa" w:w="3137"/>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Roompack diferente</w:t>
            </w:r>
          </w:p>
        </w:tc>
        <w:tc>
          <w:tcPr>
            <w:tcW w:type="dxa" w:w="3137"/>
            <w:tcW w:w="368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La habitacion o condiciones que ofrece Despegar son distintas a las del competidor.</w:t>
            </w:r>
          </w:p>
        </w:tc>
        <w:tc>
          <w:tcPr>
            <w:tcW w:type="dxa" w:w="3137"/>
            <w:tcW w:w="345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producto no es comparable; puede no ser adversidad real.</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Booking Pays</w:t>
            </w:r>
          </w:p>
        </w:tc>
        <w:tc>
          <w:tcPr>
            <w:tcW w:type="dxa" w:w="3137"/>
            <w:tcW w:w="368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La ventaja del competidor se explica por un subsidio de Booking, no por la tarifa del hotel.</w:t>
            </w:r>
          </w:p>
        </w:tc>
        <w:tc>
          <w:tcPr>
            <w:tcW w:type="dxa" w:w="3137"/>
            <w:tcW w:w="345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Problema de politica comercial de Booking, no de tarifa.</w:t>
            </w:r>
          </w:p>
        </w:tc>
      </w:tr>
      <w:tr>
        <w:tc>
          <w:tcPr>
            <w:tcW w:type="dxa" w:w="3137"/>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Partner Offer</w:t>
            </w:r>
          </w:p>
        </w:tc>
        <w:tc>
          <w:tcPr>
            <w:tcW w:type="dxa" w:w="3137"/>
            <w:tcW w:w="368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hotel negoció una tarifa exclusiva con Booking no disponible en otros canales.</w:t>
            </w:r>
          </w:p>
        </w:tc>
        <w:tc>
          <w:tcPr>
            <w:tcW w:type="dxa" w:w="3137"/>
            <w:tcW w:w="345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Requiere gestion de paridad contractual con el hotelero.</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Descuento del competidor</w:t>
            </w:r>
          </w:p>
        </w:tc>
        <w:tc>
          <w:tcPr>
            <w:tcW w:type="dxa" w:w="3137"/>
            <w:tcW w:w="368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competidor aplica un descuento que Despegar no tiene para ese caso.</w:t>
            </w:r>
          </w:p>
        </w:tc>
        <w:tc>
          <w:tcPr>
            <w:tcW w:type="dxa" w:w="3137"/>
            <w:tcW w:w="345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Evaluar price match o descuento comercial.</w:t>
            </w:r>
          </w:p>
        </w:tc>
      </w:tr>
      <w:tr>
        <w:tc>
          <w:tcPr>
            <w:tcW w:type="dxa" w:w="3137"/>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Tarifa base del hotel</w:t>
            </w:r>
          </w:p>
        </w:tc>
        <w:tc>
          <w:tcPr>
            <w:tcW w:type="dxa" w:w="3137"/>
            <w:tcW w:w="368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La tarifa de alojamiento pura del hotel es mas cara en Despegar que en Booking.</w:t>
            </w:r>
          </w:p>
        </w:tc>
        <w:tc>
          <w:tcPr>
            <w:tcW w:type="dxa" w:w="3137"/>
            <w:tcW w:w="345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Negociacion con el proveedor / hotel para mejorar tarifa.</w:t>
            </w:r>
          </w:p>
        </w:tc>
      </w:tr>
      <w:tr>
        <w:tc>
          <w:tcPr>
            <w:tcW w:type="dxa" w:w="3137"/>
            <w:tcW w:w="226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Fee adicional</w:t>
            </w:r>
          </w:p>
        </w:tc>
        <w:tc>
          <w:tcPr>
            <w:tcW w:type="dxa" w:w="3137"/>
            <w:tcW w:w="3685"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Despegar cobra un fee extra que el competidor no cobra o cobra menos.</w:t>
            </w:r>
          </w:p>
        </w:tc>
        <w:tc>
          <w:tcPr>
            <w:tcW w:type="dxa" w:w="3137"/>
            <w:tcW w:w="3458" w:type="dxa"/>
            <w:shd w:val="clear" w:color="auto" w:fill="FFFFFF"/>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Revision de estructura de fees en SINAI.</w:t>
            </w:r>
          </w:p>
        </w:tc>
      </w:tr>
      <w:tr>
        <w:tc>
          <w:tcPr>
            <w:tcW w:type="dxa" w:w="3137"/>
            <w:tcW w:w="226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Courier New" w:hAnsi="Courier New"/>
                <w:b w:val="0"/>
                <w:color w:val="1A1A2E"/>
                <w:sz w:val="17"/>
              </w:rPr>
              <w:t>Tarifa indirecta</w:t>
            </w:r>
          </w:p>
        </w:tc>
        <w:tc>
          <w:tcPr>
            <w:tcW w:type="dxa" w:w="3137"/>
            <w:tcW w:w="3685"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El mejor proveedor disponible en el mercado es mas barato que Despegar.</w:t>
            </w:r>
          </w:p>
        </w:tc>
        <w:tc>
          <w:tcPr>
            <w:tcW w:type="dxa" w:w="3137"/>
            <w:tcW w:w="3458" w:type="dxa"/>
            <w:shd w:val="clear" w:color="auto" w:fill="F7F7F7"/>
            <w:tcBorders>
              <w:top w:val="single" w:sz="4" w:space="0" w:color="CCCCCC"/>
              <w:left w:val="single" w:sz="4" w:space="0" w:color="CCCCCC"/>
              <w:bottom w:val="single" w:sz="4" w:space="0" w:color="CCCCCC"/>
              <w:right w:val="single" w:sz="4" w:space="0" w:color="CCCCCC"/>
            </w:tcBorders>
          </w:tcPr>
          <w:p>
            <w:pPr>
              <w:spacing w:before="20" w:after="20"/>
            </w:pPr>
            <w:r>
              <w:rPr>
                <w:rFonts w:ascii="Arial" w:hAnsi="Arial"/>
                <w:b w:val="0"/>
                <w:color w:val="1A1A2E"/>
                <w:sz w:val="17"/>
              </w:rPr>
              <w:t>Optimizacion de seleccion de proveedor o tarifa de costo.</w:t>
            </w:r>
          </w:p>
        </w:tc>
      </w:tr>
    </w:tbl>
    <w:p>
      <w:pPr>
        <w:spacing w:after="40"/>
      </w:pPr>
    </w:p>
    <w:p>
      <w:pPr>
        <w:spacing w:before="280" w:after="80"/>
      </w:pPr>
      <w:r>
        <w:rPr>
          <w:rFonts w:ascii="Arial" w:hAnsi="Arial"/>
          <w:b/>
          <w:color w:val="2E5EAA"/>
          <w:sz w:val="24"/>
        </w:rPr>
        <w:t>11.2 Como usar el Tipificador</w:t>
      </w:r>
    </w:p>
    <w:p>
      <w:pPr>
        <w:spacing w:after="80"/>
      </w:pPr>
      <w:r>
        <w:rPr>
          <w:rFonts w:ascii="Arial" w:hAnsi="Arial"/>
          <w:b w:val="0"/>
          <w:color w:val="1A1A2E"/>
          <w:sz w:val="20"/>
        </w:rPr>
        <w:t>El join entre la tabla de adversidad y el tipificador se hace por pricepoint_id:</w:t>
      </w:r>
    </w:p>
    <w:p>
      <w:pPr>
        <w:spacing w:after="80"/>
      </w:pPr>
      <w:r>
        <w:rPr>
          <w:rFonts w:ascii="Courier New" w:hAnsi="Courier New"/>
          <w:b w:val="0"/>
          <w:color w:val="1F3864"/>
          <w:sz w:val="18"/>
        </w:rPr>
        <w:t>SELECT h.domain, h.year, h.month, t.root_cause, SUM(h.weight) as peso</w:t>
      </w:r>
    </w:p>
    <w:p>
      <w:pPr>
        <w:spacing w:after="80"/>
      </w:pPr>
      <w:r>
        <w:rPr>
          <w:rFonts w:ascii="Courier New" w:hAnsi="Courier New"/>
          <w:b w:val="0"/>
          <w:color w:val="1F3864"/>
          <w:sz w:val="18"/>
        </w:rPr>
        <w:t>FROM lake.bi_rev_adversity_hotels_h h</w:t>
      </w:r>
    </w:p>
    <w:p>
      <w:pPr>
        <w:spacing w:after="80"/>
      </w:pPr>
      <w:r>
        <w:rPr>
          <w:rFonts w:ascii="Courier New" w:hAnsi="Courier New"/>
          <w:b w:val="0"/>
          <w:color w:val="1F3864"/>
          <w:sz w:val="18"/>
        </w:rPr>
        <w:t>JOIN lake.bi_rev_tipificador t ON h.pricepoint_id = t.pricepoint_id</w:t>
      </w:r>
    </w:p>
    <w:p>
      <w:pPr>
        <w:spacing w:after="80"/>
      </w:pPr>
      <w:r>
        <w:rPr>
          <w:rFonts w:ascii="Courier New" w:hAnsi="Courier New"/>
          <w:b w:val="0"/>
          <w:color w:val="1F3864"/>
          <w:sz w:val="18"/>
        </w:rPr>
        <w:t>WHERE h.finalbml = 'LOSE' -- y filtros OKR habituales</w:t>
      </w:r>
    </w:p>
    <w:p>
      <w:pPr>
        <w:spacing w:after="80"/>
      </w:pPr>
      <w:r>
        <w:rPr>
          <w:rFonts w:ascii="Courier New" w:hAnsi="Courier New"/>
          <w:b w:val="0"/>
          <w:color w:val="1F3864"/>
          <w:sz w:val="18"/>
        </w:rPr>
        <w:t>GROUP BY h.domain, h.year, h.month, t.root_cause</w:t>
      </w:r>
    </w:p>
    <w:p>
      <w:pPr>
        <w:spacing w:after="40"/>
      </w:pPr>
    </w:p>
    <w:p>
      <w:pPr>
        <w:spacing w:after="80"/>
      </w:pPr>
      <w:r>
        <w:rPr>
          <w:rFonts w:ascii="Arial" w:hAnsi="Arial"/>
          <w:b w:val="0"/>
          <w:color w:val="1A1A2E"/>
          <w:sz w:val="20"/>
        </w:rPr>
        <w:t>Este join permite entender no solo cuanta adversidad tiene cada mercado sino a que causas se atribuye, lo que habilita decisiones comerciales mas precisas.</w:t>
      </w:r>
    </w:p>
    <w:p>
      <w:pPr>
        <w:spacing w:after="40"/>
      </w:pPr>
    </w:p>
    <w:p>
      <w:pPr>
        <w:spacing w:after="40"/>
      </w:pPr>
    </w:p>
    <w:p>
      <w:pPr>
        <w:pBdr>
          <w:top w:val="single" w:sz="4" w:space="4" w:color="CCCCCC"/>
        </w:pBdr>
      </w:pPr>
      <w:r>
        <w:rPr>
          <w:rFonts w:ascii="Arial" w:hAnsi="Arial"/>
          <w:b w:val="0"/>
          <w:color w:val="555555"/>
          <w:sz w:val="17"/>
        </w:rPr>
        <w:t>Generado a partir de la documentacion canonica en data/raw/ - segunda version: incluye proceso completo de medicion, calculo y consumo de la metrica de Adversidad Hotelera.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