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1"/>
        <w:rPr>
          <w:sz w:val="41"/>
        </w:rPr>
      </w:pPr>
    </w:p>
    <w:p>
      <w:pPr>
        <w:pStyle w:val="Title"/>
        <w:spacing w:line="312" w:lineRule="auto"/>
        <w:rPr>
          <w:rFonts w:ascii="Cambria" w:hAnsi="Cambria"/>
        </w:rPr>
      </w:pPr>
      <w:r>
        <w:rPr/>
        <w:t>Fiscal Consolidations in Commodity-Exporting Countries:</w:t>
      </w:r>
      <w:r>
        <w:rPr>
          <w:spacing w:val="34"/>
        </w:rPr>
        <w:t> </w:t>
      </w:r>
      <w:r>
        <w:rPr/>
        <w:t>A</w:t>
      </w:r>
      <w:r>
        <w:rPr>
          <w:spacing w:val="-1"/>
        </w:rPr>
        <w:t> </w:t>
      </w:r>
      <w:r>
        <w:rPr/>
        <w:t>Small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Economy</w:t>
      </w:r>
      <w:r>
        <w:rPr>
          <w:spacing w:val="-1"/>
        </w:rPr>
        <w:t> </w:t>
      </w:r>
      <w:r>
        <w:rPr/>
        <w:t>DSGE</w:t>
      </w:r>
      <w:r>
        <w:rPr>
          <w:spacing w:val="-1"/>
        </w:rPr>
        <w:t> </w:t>
      </w:r>
      <w:r>
        <w:rPr/>
        <w:t>Perspective</w:t>
      </w:r>
      <w:r>
        <w:rPr>
          <w:rFonts w:ascii="Cambria" w:hAnsi="Cambria"/>
          <w:vertAlign w:val="superscript"/>
        </w:rPr>
        <w:t>∗</w:t>
      </w:r>
    </w:p>
    <w:p>
      <w:pPr>
        <w:tabs>
          <w:tab w:pos="4531" w:val="left" w:leader="none"/>
          <w:tab w:pos="7551" w:val="left" w:leader="none"/>
        </w:tabs>
        <w:spacing w:line="600" w:lineRule="auto" w:before="297"/>
        <w:ind w:left="462" w:right="732" w:firstLine="0"/>
        <w:jc w:val="center"/>
        <w:rPr>
          <w:sz w:val="28"/>
        </w:rPr>
      </w:pPr>
      <w:r>
        <w:rPr>
          <w:w w:val="105"/>
          <w:sz w:val="28"/>
        </w:rPr>
        <w:t>Manuel </w:t>
      </w:r>
      <w:r>
        <w:rPr>
          <w:spacing w:val="14"/>
          <w:sz w:val="28"/>
        </w:rPr>
        <w:t>Gonz</w:t>
      </w:r>
      <w:r>
        <w:rPr>
          <w:spacing w:val="-127"/>
          <w:w w:val="107"/>
          <w:sz w:val="28"/>
        </w:rPr>
        <w:t>a</w:t>
      </w:r>
      <w:r>
        <w:rPr>
          <w:spacing w:val="14"/>
          <w:w w:val="145"/>
          <w:sz w:val="28"/>
        </w:rPr>
        <w:t>´</w:t>
      </w:r>
      <w:r>
        <w:rPr>
          <w:spacing w:val="14"/>
          <w:w w:val="94"/>
          <w:sz w:val="28"/>
        </w:rPr>
        <w:t>l</w:t>
      </w:r>
      <w:r>
        <w:rPr>
          <w:spacing w:val="14"/>
          <w:sz w:val="28"/>
        </w:rPr>
        <w:t>ez-</w:t>
      </w:r>
      <w:r>
        <w:rPr>
          <w:w w:val="105"/>
          <w:sz w:val="28"/>
        </w:rPr>
        <w:t>Astudillo</w:t>
      </w:r>
      <w:r>
        <w:rPr>
          <w:rFonts w:ascii="Trebuchet MS" w:hAnsi="Trebuchet MS"/>
          <w:w w:val="105"/>
          <w:sz w:val="28"/>
          <w:vertAlign w:val="superscript"/>
        </w:rPr>
        <w:t>†</w:t>
      </w:r>
      <w:r>
        <w:rPr>
          <w:rFonts w:ascii="Trebuchet MS" w:hAnsi="Trebuchet MS"/>
          <w:sz w:val="28"/>
          <w:vertAlign w:val="baseline"/>
        </w:rPr>
        <w:tab/>
      </w:r>
      <w:r>
        <w:rPr>
          <w:w w:val="105"/>
          <w:sz w:val="28"/>
          <w:vertAlign w:val="baseline"/>
        </w:rPr>
        <w:t>Juan Guerra-Salas</w:t>
      </w:r>
      <w:r>
        <w:rPr>
          <w:rFonts w:ascii="Trebuchet MS" w:hAnsi="Trebuchet MS"/>
          <w:w w:val="105"/>
          <w:sz w:val="28"/>
          <w:vertAlign w:val="superscript"/>
        </w:rPr>
        <w:t>‡</w:t>
      </w:r>
      <w:r>
        <w:rPr>
          <w:rFonts w:ascii="Trebuchet MS" w:hAnsi="Trebuchet MS"/>
          <w:sz w:val="28"/>
          <w:vertAlign w:val="baseline"/>
        </w:rPr>
        <w:tab/>
      </w:r>
      <w:r>
        <w:rPr>
          <w:w w:val="105"/>
          <w:sz w:val="28"/>
          <w:vertAlign w:val="baseline"/>
        </w:rPr>
        <w:t>Avi </w:t>
      </w:r>
      <w:r>
        <w:rPr>
          <w:w w:val="105"/>
          <w:sz w:val="28"/>
          <w:vertAlign w:val="baseline"/>
        </w:rPr>
        <w:t>Lipton</w:t>
      </w:r>
      <w:r>
        <w:rPr>
          <w:rFonts w:ascii="Trebuchet MS" w:hAnsi="Trebuchet MS"/>
          <w:w w:val="105"/>
          <w:sz w:val="28"/>
          <w:vertAlign w:val="superscript"/>
        </w:rPr>
        <w:t>§</w:t>
      </w:r>
      <w:r>
        <w:rPr>
          <w:rFonts w:ascii="Trebuchet MS" w:hAnsi="Trebuchet MS"/>
          <w:w w:val="105"/>
          <w:sz w:val="28"/>
          <w:vertAlign w:val="baseline"/>
        </w:rPr>
        <w:t> </w:t>
      </w:r>
      <w:r>
        <w:rPr>
          <w:w w:val="105"/>
          <w:sz w:val="28"/>
          <w:vertAlign w:val="baseline"/>
        </w:rPr>
        <w:t>October 16, 2025</w:t>
      </w:r>
    </w:p>
    <w:p>
      <w:pPr>
        <w:pStyle w:val="BodyText"/>
        <w:spacing w:before="60"/>
        <w:rPr>
          <w:sz w:val="28"/>
        </w:rPr>
      </w:pPr>
    </w:p>
    <w:p>
      <w:pPr>
        <w:spacing w:before="1"/>
        <w:ind w:left="0" w:right="358" w:firstLine="0"/>
        <w:jc w:val="center"/>
        <w:rPr>
          <w:rFonts w:ascii="Georgia"/>
          <w:b/>
          <w:sz w:val="22"/>
        </w:rPr>
      </w:pPr>
      <w:r>
        <w:rPr>
          <w:rFonts w:ascii="Georgia"/>
          <w:b/>
          <w:spacing w:val="-2"/>
          <w:sz w:val="22"/>
        </w:rPr>
        <w:t>Abstract</w:t>
      </w:r>
    </w:p>
    <w:p>
      <w:pPr>
        <w:pStyle w:val="BodyText"/>
        <w:spacing w:before="132"/>
        <w:rPr>
          <w:rFonts w:ascii="Georgia"/>
          <w:b/>
        </w:rPr>
      </w:pPr>
    </w:p>
    <w:p>
      <w:pPr>
        <w:pStyle w:val="BodyText"/>
        <w:spacing w:line="256" w:lineRule="auto"/>
        <w:ind w:left="585" w:right="941" w:firstLine="327"/>
        <w:jc w:val="both"/>
      </w:pPr>
      <w:r>
        <w:rPr>
          <w:w w:val="105"/>
        </w:rPr>
        <w:t>Fiscal</w:t>
      </w:r>
      <w:r>
        <w:rPr>
          <w:w w:val="105"/>
        </w:rPr>
        <w:t> consolidation</w:t>
      </w:r>
      <w:r>
        <w:rPr>
          <w:w w:val="105"/>
        </w:rPr>
        <w:t> in</w:t>
      </w:r>
      <w:r>
        <w:rPr>
          <w:w w:val="105"/>
        </w:rPr>
        <w:t> commodity-exporting</w:t>
      </w:r>
      <w:r>
        <w:rPr>
          <w:w w:val="105"/>
        </w:rPr>
        <w:t> economies</w:t>
      </w:r>
      <w:r>
        <w:rPr>
          <w:w w:val="105"/>
        </w:rPr>
        <w:t> is</w:t>
      </w:r>
      <w:r>
        <w:rPr>
          <w:w w:val="105"/>
        </w:rPr>
        <w:t> inherently</w:t>
      </w:r>
      <w:r>
        <w:rPr>
          <w:w w:val="105"/>
        </w:rPr>
        <w:t> uncertain because</w:t>
      </w:r>
      <w:r>
        <w:rPr>
          <w:spacing w:val="-9"/>
          <w:w w:val="105"/>
        </w:rPr>
        <w:t> </w:t>
      </w:r>
      <w:r>
        <w:rPr>
          <w:w w:val="105"/>
        </w:rPr>
        <w:t>fiscal</w:t>
      </w:r>
      <w:r>
        <w:rPr>
          <w:spacing w:val="-9"/>
          <w:w w:val="105"/>
        </w:rPr>
        <w:t> </w:t>
      </w:r>
      <w:r>
        <w:rPr>
          <w:w w:val="105"/>
        </w:rPr>
        <w:t>revenues</w:t>
      </w:r>
      <w:r>
        <w:rPr>
          <w:spacing w:val="-9"/>
          <w:w w:val="105"/>
        </w:rPr>
        <w:t> </w:t>
      </w:r>
      <w:r>
        <w:rPr>
          <w:w w:val="105"/>
        </w:rPr>
        <w:t>could</w:t>
      </w:r>
      <w:r>
        <w:rPr>
          <w:spacing w:val="-9"/>
          <w:w w:val="105"/>
        </w:rPr>
        <w:t> </w:t>
      </w:r>
      <w:r>
        <w:rPr>
          <w:w w:val="105"/>
        </w:rPr>
        <w:t>depend</w:t>
      </w:r>
      <w:r>
        <w:rPr>
          <w:spacing w:val="-9"/>
          <w:w w:val="105"/>
        </w:rPr>
        <w:t> </w:t>
      </w:r>
      <w:r>
        <w:rPr>
          <w:w w:val="105"/>
        </w:rPr>
        <w:t>heavily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volatile</w:t>
      </w:r>
      <w:r>
        <w:rPr>
          <w:spacing w:val="-9"/>
          <w:w w:val="105"/>
        </w:rPr>
        <w:t> </w:t>
      </w:r>
      <w:r>
        <w:rPr>
          <w:w w:val="105"/>
        </w:rPr>
        <w:t>international</w:t>
      </w:r>
      <w:r>
        <w:rPr>
          <w:spacing w:val="-9"/>
          <w:w w:val="105"/>
        </w:rPr>
        <w:t> </w:t>
      </w:r>
      <w:r>
        <w:rPr>
          <w:w w:val="105"/>
        </w:rPr>
        <w:t>commodity</w:t>
      </w:r>
      <w:r>
        <w:rPr>
          <w:spacing w:val="-9"/>
          <w:w w:val="105"/>
        </w:rPr>
        <w:t> </w:t>
      </w:r>
      <w:r>
        <w:rPr>
          <w:w w:val="105"/>
        </w:rPr>
        <w:t>prices. This</w:t>
      </w:r>
      <w:r>
        <w:rPr>
          <w:w w:val="105"/>
        </w:rPr>
        <w:t> paper</w:t>
      </w:r>
      <w:r>
        <w:rPr>
          <w:w w:val="105"/>
        </w:rPr>
        <w:t> develops</w:t>
      </w:r>
      <w:r>
        <w:rPr>
          <w:w w:val="105"/>
        </w:rPr>
        <w:t> a</w:t>
      </w:r>
      <w:r>
        <w:rPr>
          <w:w w:val="105"/>
        </w:rPr>
        <w:t> small</w:t>
      </w:r>
      <w:r>
        <w:rPr>
          <w:w w:val="105"/>
        </w:rPr>
        <w:t> open</w:t>
      </w:r>
      <w:r>
        <w:rPr>
          <w:w w:val="105"/>
        </w:rPr>
        <w:t> economy</w:t>
      </w:r>
      <w:r>
        <w:rPr>
          <w:w w:val="105"/>
        </w:rPr>
        <w:t> Dynamic</w:t>
      </w:r>
      <w:r>
        <w:rPr>
          <w:w w:val="105"/>
        </w:rPr>
        <w:t> Stochastic</w:t>
      </w:r>
      <w:r>
        <w:rPr>
          <w:w w:val="105"/>
        </w:rPr>
        <w:t> General</w:t>
      </w:r>
      <w:r>
        <w:rPr>
          <w:w w:val="105"/>
        </w:rPr>
        <w:t> Equilibrium (SOE</w:t>
      </w:r>
      <w:r>
        <w:rPr>
          <w:w w:val="105"/>
        </w:rPr>
        <w:t> DSGE)</w:t>
      </w:r>
      <w:r>
        <w:rPr>
          <w:w w:val="105"/>
        </w:rPr>
        <w:t> model</w:t>
      </w:r>
      <w:r>
        <w:rPr>
          <w:w w:val="105"/>
        </w:rPr>
        <w:t> to</w:t>
      </w:r>
      <w:r>
        <w:rPr>
          <w:w w:val="105"/>
        </w:rPr>
        <w:t> quantify</w:t>
      </w:r>
      <w:r>
        <w:rPr>
          <w:w w:val="105"/>
        </w:rPr>
        <w:t> how</w:t>
      </w:r>
      <w:r>
        <w:rPr>
          <w:w w:val="105"/>
        </w:rPr>
        <w:t> deviations</w:t>
      </w:r>
      <w:r>
        <w:rPr>
          <w:w w:val="105"/>
        </w:rPr>
        <w:t> in</w:t>
      </w:r>
      <w:r>
        <w:rPr>
          <w:w w:val="105"/>
        </w:rPr>
        <w:t> commodity</w:t>
      </w:r>
      <w:r>
        <w:rPr>
          <w:w w:val="105"/>
        </w:rPr>
        <w:t> revenues</w:t>
      </w:r>
      <w:r>
        <w:rPr>
          <w:w w:val="105"/>
        </w:rPr>
        <w:t> affect consolidation</w:t>
      </w:r>
      <w:r>
        <w:rPr>
          <w:w w:val="105"/>
        </w:rPr>
        <w:t> outcomes,</w:t>
      </w:r>
      <w:r>
        <w:rPr>
          <w:w w:val="105"/>
        </w:rPr>
        <w:t> capturing</w:t>
      </w:r>
      <w:r>
        <w:rPr>
          <w:w w:val="105"/>
        </w:rPr>
        <w:t> key</w:t>
      </w:r>
      <w:r>
        <w:rPr>
          <w:w w:val="105"/>
        </w:rPr>
        <w:t> fiscal</w:t>
      </w:r>
      <w:r>
        <w:rPr>
          <w:w w:val="105"/>
        </w:rPr>
        <w:t> instruments</w:t>
      </w:r>
      <w:r>
        <w:rPr>
          <w:w w:val="105"/>
        </w:rPr>
        <w:t> such</w:t>
      </w:r>
      <w:r>
        <w:rPr>
          <w:w w:val="105"/>
        </w:rPr>
        <w:t> as</w:t>
      </w:r>
      <w:r>
        <w:rPr>
          <w:w w:val="105"/>
        </w:rPr>
        <w:t> distortionary</w:t>
      </w:r>
      <w:r>
        <w:rPr>
          <w:w w:val="105"/>
        </w:rPr>
        <w:t> taxes, public spending, and external borrowing.</w:t>
      </w:r>
      <w:r>
        <w:rPr>
          <w:spacing w:val="40"/>
          <w:w w:val="105"/>
        </w:rPr>
        <w:t> </w:t>
      </w:r>
      <w:r>
        <w:rPr>
          <w:w w:val="105"/>
        </w:rPr>
        <w:t>The model is calibrated and estimated using Ecuador’s 2020–2025 IMF-supported program, an illustrative case of an oil-dependent economy</w:t>
      </w:r>
      <w:r>
        <w:rPr>
          <w:spacing w:val="40"/>
          <w:w w:val="105"/>
        </w:rPr>
        <w:t> </w:t>
      </w:r>
      <w:r>
        <w:rPr>
          <w:w w:val="105"/>
        </w:rPr>
        <w:t>pursuing</w:t>
      </w:r>
      <w:r>
        <w:rPr>
          <w:spacing w:val="40"/>
          <w:w w:val="105"/>
        </w:rPr>
        <w:t> </w:t>
      </w:r>
      <w:r>
        <w:rPr>
          <w:w w:val="105"/>
        </w:rPr>
        <w:t>fiscal</w:t>
      </w:r>
      <w:r>
        <w:rPr>
          <w:spacing w:val="40"/>
          <w:w w:val="105"/>
        </w:rPr>
        <w:t> </w:t>
      </w:r>
      <w:r>
        <w:rPr>
          <w:w w:val="105"/>
        </w:rPr>
        <w:t>adjustment</w:t>
      </w:r>
      <w:r>
        <w:rPr>
          <w:spacing w:val="40"/>
          <w:w w:val="105"/>
        </w:rPr>
        <w:t> </w:t>
      </w:r>
      <w:r>
        <w:rPr>
          <w:w w:val="105"/>
        </w:rPr>
        <w:t>under</w:t>
      </w:r>
      <w:r>
        <w:rPr>
          <w:spacing w:val="40"/>
          <w:w w:val="105"/>
        </w:rPr>
        <w:t> </w:t>
      </w:r>
      <w:r>
        <w:rPr>
          <w:w w:val="105"/>
        </w:rPr>
        <w:t>external</w:t>
      </w:r>
      <w:r>
        <w:rPr>
          <w:spacing w:val="40"/>
          <w:w w:val="105"/>
        </w:rPr>
        <w:t> </w:t>
      </w:r>
      <w:r>
        <w:rPr>
          <w:w w:val="105"/>
        </w:rPr>
        <w:t>assistance.</w:t>
      </w:r>
      <w:r>
        <w:rPr>
          <w:spacing w:val="80"/>
          <w:w w:val="105"/>
        </w:rPr>
        <w:t> </w:t>
      </w:r>
      <w:r>
        <w:rPr>
          <w:w w:val="105"/>
        </w:rPr>
        <w:t>Simulation</w:t>
      </w:r>
      <w:r>
        <w:rPr>
          <w:spacing w:val="40"/>
          <w:w w:val="105"/>
        </w:rPr>
        <w:t> </w:t>
      </w:r>
      <w:r>
        <w:rPr>
          <w:w w:val="105"/>
        </w:rPr>
        <w:t>results show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historically</w:t>
      </w:r>
      <w:r>
        <w:rPr>
          <w:spacing w:val="40"/>
          <w:w w:val="105"/>
        </w:rPr>
        <w:t> </w:t>
      </w:r>
      <w:r>
        <w:rPr>
          <w:w w:val="105"/>
        </w:rPr>
        <w:t>plausible</w:t>
      </w:r>
      <w:r>
        <w:rPr>
          <w:spacing w:val="40"/>
          <w:w w:val="105"/>
        </w:rPr>
        <w:t> </w:t>
      </w:r>
      <w:r>
        <w:rPr>
          <w:w w:val="105"/>
        </w:rPr>
        <w:t>fluctuations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oil</w:t>
      </w:r>
      <w:r>
        <w:rPr>
          <w:spacing w:val="40"/>
          <w:w w:val="105"/>
        </w:rPr>
        <w:t> </w:t>
      </w:r>
      <w:r>
        <w:rPr>
          <w:w w:val="105"/>
        </w:rPr>
        <w:t>revenues</w:t>
      </w:r>
      <w:r>
        <w:rPr>
          <w:spacing w:val="40"/>
          <w:w w:val="105"/>
        </w:rPr>
        <w:t> </w:t>
      </w:r>
      <w:r>
        <w:rPr>
          <w:w w:val="105"/>
        </w:rPr>
        <w:t>substantially</w:t>
      </w:r>
      <w:r>
        <w:rPr>
          <w:spacing w:val="40"/>
          <w:w w:val="105"/>
        </w:rPr>
        <w:t> </w:t>
      </w:r>
      <w:r>
        <w:rPr>
          <w:w w:val="105"/>
        </w:rPr>
        <w:t>alter</w:t>
      </w:r>
      <w:r>
        <w:rPr>
          <w:spacing w:val="40"/>
          <w:w w:val="105"/>
        </w:rPr>
        <w:t> </w:t>
      </w:r>
      <w:r>
        <w:rPr>
          <w:w w:val="105"/>
        </w:rPr>
        <w:t>fiscal and macroeconomic dynamics:</w:t>
      </w:r>
      <w:r>
        <w:rPr>
          <w:w w:val="105"/>
        </w:rPr>
        <w:t> higher-than-expected revenues improve the deficit and lower</w:t>
      </w:r>
      <w:r>
        <w:rPr>
          <w:w w:val="105"/>
        </w:rPr>
        <w:t> the</w:t>
      </w:r>
      <w:r>
        <w:rPr>
          <w:w w:val="105"/>
        </w:rPr>
        <w:t> risk</w:t>
      </w:r>
      <w:r>
        <w:rPr>
          <w:w w:val="105"/>
        </w:rPr>
        <w:t> premium,</w:t>
      </w:r>
      <w:r>
        <w:rPr>
          <w:w w:val="105"/>
        </w:rPr>
        <w:t> potentially</w:t>
      </w:r>
      <w:r>
        <w:rPr>
          <w:w w:val="105"/>
        </w:rPr>
        <w:t> weakening</w:t>
      </w:r>
      <w:r>
        <w:rPr>
          <w:w w:val="105"/>
        </w:rPr>
        <w:t> incentives</w:t>
      </w:r>
      <w:r>
        <w:rPr>
          <w:w w:val="105"/>
        </w:rPr>
        <w:t> to</w:t>
      </w:r>
      <w:r>
        <w:rPr>
          <w:w w:val="105"/>
        </w:rPr>
        <w:t> sustain</w:t>
      </w:r>
      <w:r>
        <w:rPr>
          <w:w w:val="105"/>
        </w:rPr>
        <w:t> consolidation,</w:t>
      </w:r>
      <w:r>
        <w:rPr>
          <w:spacing w:val="80"/>
          <w:w w:val="105"/>
        </w:rPr>
        <w:t> </w:t>
      </w:r>
      <w:r>
        <w:rPr>
          <w:w w:val="105"/>
        </w:rPr>
        <w:t>while</w:t>
      </w:r>
      <w:r>
        <w:rPr>
          <w:w w:val="105"/>
        </w:rPr>
        <w:t> revenue</w:t>
      </w:r>
      <w:r>
        <w:rPr>
          <w:w w:val="105"/>
        </w:rPr>
        <w:t> shortfalls</w:t>
      </w:r>
      <w:r>
        <w:rPr>
          <w:w w:val="105"/>
        </w:rPr>
        <w:t> worsen</w:t>
      </w:r>
      <w:r>
        <w:rPr>
          <w:w w:val="105"/>
        </w:rPr>
        <w:t> the</w:t>
      </w:r>
      <w:r>
        <w:rPr>
          <w:w w:val="105"/>
        </w:rPr>
        <w:t> fiscal</w:t>
      </w:r>
      <w:r>
        <w:rPr>
          <w:w w:val="105"/>
        </w:rPr>
        <w:t> balance,</w:t>
      </w:r>
      <w:r>
        <w:rPr>
          <w:w w:val="105"/>
        </w:rPr>
        <w:t> raise</w:t>
      </w:r>
      <w:r>
        <w:rPr>
          <w:w w:val="105"/>
        </w:rPr>
        <w:t> financing</w:t>
      </w:r>
      <w:r>
        <w:rPr>
          <w:w w:val="105"/>
        </w:rPr>
        <w:t> costs,</w:t>
      </w:r>
      <w:r>
        <w:rPr>
          <w:w w:val="105"/>
        </w:rPr>
        <w:t> and</w:t>
      </w:r>
      <w:r>
        <w:rPr>
          <w:w w:val="105"/>
        </w:rPr>
        <w:t> intensify the</w:t>
      </w:r>
      <w:r>
        <w:rPr>
          <w:spacing w:val="80"/>
          <w:w w:val="105"/>
        </w:rPr>
        <w:t> </w:t>
      </w:r>
      <w:r>
        <w:rPr>
          <w:w w:val="105"/>
        </w:rPr>
        <w:t>required</w:t>
      </w:r>
      <w:r>
        <w:rPr>
          <w:spacing w:val="80"/>
          <w:w w:val="105"/>
        </w:rPr>
        <w:t> </w:t>
      </w:r>
      <w:r>
        <w:rPr>
          <w:w w:val="105"/>
        </w:rPr>
        <w:t>adjustment</w:t>
      </w:r>
      <w:r>
        <w:rPr>
          <w:spacing w:val="80"/>
          <w:w w:val="105"/>
        </w:rPr>
        <w:t> </w:t>
      </w:r>
      <w:r>
        <w:rPr>
          <w:w w:val="105"/>
        </w:rPr>
        <w:t>effort.</w:t>
      </w:r>
      <w:r>
        <w:rPr>
          <w:spacing w:val="80"/>
          <w:w w:val="105"/>
        </w:rPr>
        <w:t>  </w:t>
      </w:r>
      <w:r>
        <w:rPr>
          <w:w w:val="105"/>
        </w:rPr>
        <w:t>These</w:t>
      </w:r>
      <w:r>
        <w:rPr>
          <w:spacing w:val="80"/>
          <w:w w:val="105"/>
        </w:rPr>
        <w:t> </w:t>
      </w:r>
      <w:r>
        <w:rPr>
          <w:w w:val="105"/>
        </w:rPr>
        <w:t>asymmetries</w:t>
      </w:r>
      <w:r>
        <w:rPr>
          <w:spacing w:val="80"/>
          <w:w w:val="105"/>
        </w:rPr>
        <w:t> </w:t>
      </w:r>
      <w:r>
        <w:rPr>
          <w:w w:val="105"/>
        </w:rPr>
        <w:t>underscore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vulnerability of</w:t>
      </w:r>
      <w:r>
        <w:rPr>
          <w:w w:val="105"/>
        </w:rPr>
        <w:t> consolidation</w:t>
      </w:r>
      <w:r>
        <w:rPr>
          <w:w w:val="105"/>
        </w:rPr>
        <w:t> programs</w:t>
      </w:r>
      <w:r>
        <w:rPr>
          <w:w w:val="105"/>
        </w:rPr>
        <w:t> to</w:t>
      </w:r>
      <w:r>
        <w:rPr>
          <w:w w:val="105"/>
        </w:rPr>
        <w:t> exogenous</w:t>
      </w:r>
      <w:r>
        <w:rPr>
          <w:w w:val="105"/>
        </w:rPr>
        <w:t> shocks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need</w:t>
      </w:r>
      <w:r>
        <w:rPr>
          <w:w w:val="105"/>
        </w:rPr>
        <w:t> for</w:t>
      </w:r>
      <w:r>
        <w:rPr>
          <w:w w:val="105"/>
        </w:rPr>
        <w:t> frameworks</w:t>
      </w:r>
      <w:r>
        <w:rPr>
          <w:w w:val="105"/>
        </w:rPr>
        <w:t> that explicitly incorporate revenue uncertainty.</w:t>
      </w:r>
      <w:r>
        <w:rPr>
          <w:w w:val="105"/>
        </w:rPr>
        <w:t> The analysis emphasizes the importance of incorporating revenue uncertainty into the design of fiscal programs and highlights the potential</w:t>
      </w:r>
      <w:r>
        <w:rPr>
          <w:spacing w:val="-1"/>
          <w:w w:val="105"/>
        </w:rPr>
        <w:t> </w:t>
      </w:r>
      <w:r>
        <w:rPr>
          <w:w w:val="105"/>
        </w:rPr>
        <w:t>value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flexible</w:t>
      </w:r>
      <w:r>
        <w:rPr>
          <w:spacing w:val="-1"/>
          <w:w w:val="105"/>
        </w:rPr>
        <w:t> </w:t>
      </w:r>
      <w:r>
        <w:rPr>
          <w:w w:val="105"/>
        </w:rPr>
        <w:t>targets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1"/>
          <w:w w:val="105"/>
        </w:rPr>
        <w:t> </w:t>
      </w:r>
      <w:r>
        <w:rPr>
          <w:w w:val="105"/>
        </w:rPr>
        <w:t>contingency</w:t>
      </w:r>
      <w:r>
        <w:rPr>
          <w:spacing w:val="-1"/>
          <w:w w:val="105"/>
        </w:rPr>
        <w:t> </w:t>
      </w:r>
      <w:r>
        <w:rPr>
          <w:w w:val="105"/>
        </w:rPr>
        <w:t>clauses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improve</w:t>
      </w:r>
      <w:r>
        <w:rPr>
          <w:spacing w:val="-1"/>
          <w:w w:val="105"/>
        </w:rPr>
        <w:t> </w:t>
      </w:r>
      <w:r>
        <w:rPr>
          <w:w w:val="105"/>
        </w:rPr>
        <w:t>their</w:t>
      </w:r>
      <w:r>
        <w:rPr>
          <w:spacing w:val="-1"/>
          <w:w w:val="105"/>
        </w:rPr>
        <w:t> </w:t>
      </w:r>
      <w:r>
        <w:rPr>
          <w:w w:val="105"/>
        </w:rPr>
        <w:t>credibility</w:t>
      </w:r>
      <w:r>
        <w:rPr>
          <w:spacing w:val="-1"/>
          <w:w w:val="105"/>
        </w:rPr>
        <w:t> </w:t>
      </w:r>
      <w:r>
        <w:rPr>
          <w:w w:val="105"/>
        </w:rPr>
        <w:t>and resilience.</w:t>
      </w:r>
      <w:r>
        <w:rPr>
          <w:w w:val="105"/>
        </w:rPr>
        <w:t> Although the calibration is specific to Ecuador, the model and findings are broadly</w:t>
      </w:r>
      <w:r>
        <w:rPr>
          <w:spacing w:val="-1"/>
          <w:w w:val="105"/>
        </w:rPr>
        <w:t> </w:t>
      </w:r>
      <w:r>
        <w:rPr>
          <w:w w:val="105"/>
        </w:rPr>
        <w:t>relevant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other</w:t>
      </w:r>
      <w:r>
        <w:rPr>
          <w:spacing w:val="-1"/>
          <w:w w:val="105"/>
        </w:rPr>
        <w:t> </w:t>
      </w:r>
      <w:r>
        <w:rPr>
          <w:w w:val="105"/>
        </w:rPr>
        <w:t>resource-rich</w:t>
      </w:r>
      <w:r>
        <w:rPr>
          <w:spacing w:val="-1"/>
          <w:w w:val="105"/>
        </w:rPr>
        <w:t> </w:t>
      </w:r>
      <w:r>
        <w:rPr>
          <w:w w:val="105"/>
        </w:rPr>
        <w:t>economies</w:t>
      </w:r>
      <w:r>
        <w:rPr>
          <w:spacing w:val="-1"/>
          <w:w w:val="105"/>
        </w:rPr>
        <w:t> </w:t>
      </w:r>
      <w:r>
        <w:rPr>
          <w:w w:val="105"/>
        </w:rPr>
        <w:t>facing</w:t>
      </w:r>
      <w:r>
        <w:rPr>
          <w:spacing w:val="-1"/>
          <w:w w:val="105"/>
        </w:rPr>
        <w:t> </w:t>
      </w:r>
      <w:r>
        <w:rPr>
          <w:w w:val="105"/>
        </w:rPr>
        <w:t>similar</w:t>
      </w:r>
      <w:r>
        <w:rPr>
          <w:spacing w:val="-1"/>
          <w:w w:val="105"/>
        </w:rPr>
        <w:t> </w:t>
      </w:r>
      <w:r>
        <w:rPr>
          <w:w w:val="105"/>
        </w:rPr>
        <w:t>challenges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balancing fiscal sustainability with exposure to volatile commodity markets.</w:t>
      </w:r>
    </w:p>
    <w:p>
      <w:pPr>
        <w:pStyle w:val="BodyText"/>
        <w:spacing w:before="25"/>
      </w:pPr>
    </w:p>
    <w:p>
      <w:pPr>
        <w:spacing w:before="0"/>
        <w:ind w:left="351" w:right="0" w:firstLine="0"/>
        <w:jc w:val="left"/>
        <w:rPr>
          <w:sz w:val="24"/>
        </w:rPr>
      </w:pPr>
      <w:r>
        <w:rPr>
          <w:rFonts w:ascii="Bookman Old Style"/>
          <w:b w:val="0"/>
          <w:i/>
          <w:sz w:val="24"/>
        </w:rPr>
        <w:t>Keywords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Fiscal</w:t>
      </w:r>
      <w:r>
        <w:rPr>
          <w:spacing w:val="9"/>
          <w:sz w:val="24"/>
        </w:rPr>
        <w:t> </w:t>
      </w:r>
      <w:r>
        <w:rPr>
          <w:sz w:val="24"/>
        </w:rPr>
        <w:t>consolidation,</w:t>
      </w:r>
      <w:r>
        <w:rPr>
          <w:spacing w:val="12"/>
          <w:sz w:val="24"/>
        </w:rPr>
        <w:t> </w:t>
      </w:r>
      <w:r>
        <w:rPr>
          <w:sz w:val="24"/>
        </w:rPr>
        <w:t>commodity</w:t>
      </w:r>
      <w:r>
        <w:rPr>
          <w:spacing w:val="10"/>
          <w:sz w:val="24"/>
        </w:rPr>
        <w:t> </w:t>
      </w:r>
      <w:r>
        <w:rPr>
          <w:sz w:val="24"/>
        </w:rPr>
        <w:t>exporter,</w:t>
      </w:r>
      <w:r>
        <w:rPr>
          <w:spacing w:val="11"/>
          <w:sz w:val="24"/>
        </w:rPr>
        <w:t> </w:t>
      </w:r>
      <w:r>
        <w:rPr>
          <w:sz w:val="24"/>
        </w:rPr>
        <w:t>small</w:t>
      </w:r>
      <w:r>
        <w:rPr>
          <w:spacing w:val="10"/>
          <w:sz w:val="24"/>
        </w:rPr>
        <w:t> </w:t>
      </w:r>
      <w:r>
        <w:rPr>
          <w:sz w:val="24"/>
        </w:rPr>
        <w:t>open</w:t>
      </w:r>
      <w:r>
        <w:rPr>
          <w:spacing w:val="10"/>
          <w:sz w:val="24"/>
        </w:rPr>
        <w:t> </w:t>
      </w:r>
      <w:r>
        <w:rPr>
          <w:sz w:val="24"/>
        </w:rPr>
        <w:t>economy,</w:t>
      </w:r>
      <w:r>
        <w:rPr>
          <w:spacing w:val="11"/>
          <w:sz w:val="24"/>
        </w:rPr>
        <w:t> </w:t>
      </w:r>
      <w:r>
        <w:rPr>
          <w:sz w:val="24"/>
        </w:rPr>
        <w:t>DSGE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model</w:t>
      </w:r>
    </w:p>
    <w:p>
      <w:pPr>
        <w:spacing w:before="77"/>
        <w:ind w:left="351" w:right="0" w:firstLine="0"/>
        <w:jc w:val="left"/>
        <w:rPr>
          <w:sz w:val="24"/>
        </w:rPr>
      </w:pPr>
      <w:r>
        <w:rPr>
          <w:rFonts w:ascii="Bookman Old Style"/>
          <w:b w:val="0"/>
          <w:i/>
          <w:spacing w:val="-2"/>
          <w:sz w:val="24"/>
        </w:rPr>
        <w:t>JEL</w:t>
      </w:r>
      <w:r>
        <w:rPr>
          <w:rFonts w:ascii="Bookman Old Style"/>
          <w:b w:val="0"/>
          <w:i/>
          <w:spacing w:val="-10"/>
          <w:sz w:val="24"/>
        </w:rPr>
        <w:t> </w:t>
      </w:r>
      <w:r>
        <w:rPr>
          <w:rFonts w:ascii="Bookman Old Style"/>
          <w:b w:val="0"/>
          <w:i/>
          <w:spacing w:val="-2"/>
          <w:sz w:val="24"/>
        </w:rPr>
        <w:t>classification</w:t>
      </w:r>
      <w:r>
        <w:rPr>
          <w:spacing w:val="-2"/>
          <w:sz w:val="24"/>
        </w:rPr>
        <w:t>: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E62,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F34,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F47,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Q43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59675</wp:posOffset>
                </wp:positionV>
                <wp:extent cx="23774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698877pt;width:187.2pt;height:.1pt;mso-position-horizontal-relative:page;mso-position-vertical-relative:paragraph;z-index:-15728640;mso-wrap-distance-left:0;mso-wrap-distance-right:0" id="docshape1" coordorigin="1440,94" coordsize="3744,0" path="m1440,94l5184,9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16"/>
        <w:ind w:left="0" w:right="308" w:firstLine="269"/>
        <w:jc w:val="left"/>
        <w:rPr>
          <w:sz w:val="20"/>
        </w:rPr>
      </w:pPr>
      <w:r>
        <w:rPr>
          <w:rFonts w:ascii="Cambria" w:hAnsi="Cambria"/>
          <w:w w:val="105"/>
          <w:position w:val="7"/>
          <w:sz w:val="14"/>
        </w:rPr>
        <w:t>∗</w:t>
      </w:r>
      <w:r>
        <w:rPr>
          <w:w w:val="105"/>
          <w:sz w:val="20"/>
        </w:rPr>
        <w:t>The views expressed in this paper are solely the responsibility of the authors and should not be interpreted as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reflecting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views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Board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Governors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Federal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Reserve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Central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Chile.</w:t>
      </w:r>
    </w:p>
    <w:p>
      <w:pPr>
        <w:spacing w:line="231" w:lineRule="exact" w:before="0"/>
        <w:ind w:left="277" w:right="0" w:firstLine="0"/>
        <w:jc w:val="left"/>
        <w:rPr>
          <w:sz w:val="20"/>
        </w:rPr>
      </w:pPr>
      <w:r>
        <w:rPr>
          <w:rFonts w:ascii="Cambria" w:hAnsi="Cambria"/>
          <w:w w:val="105"/>
          <w:position w:val="7"/>
          <w:sz w:val="14"/>
        </w:rPr>
        <w:t>†</w:t>
      </w:r>
      <w:r>
        <w:rPr>
          <w:w w:val="105"/>
          <w:sz w:val="20"/>
        </w:rPr>
        <w:t>Board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Governors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Federal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Reserve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Escuela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Superior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Polit´ecnica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Litoral.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E-</w:t>
      </w:r>
      <w:r>
        <w:rPr>
          <w:spacing w:val="-4"/>
          <w:w w:val="105"/>
          <w:sz w:val="20"/>
        </w:rPr>
        <w:t>mail</w:t>
      </w:r>
    </w:p>
    <w:p>
      <w:pPr>
        <w:spacing w:line="237" w:lineRule="exact" w:before="0"/>
        <w:ind w:left="0" w:right="0" w:firstLine="0"/>
        <w:jc w:val="left"/>
        <w:rPr>
          <w:sz w:val="20"/>
        </w:rPr>
      </w:pPr>
      <w:r>
        <w:rPr>
          <w:sz w:val="20"/>
        </w:rPr>
        <w:t>address:</w:t>
      </w:r>
      <w:r>
        <w:rPr>
          <w:spacing w:val="57"/>
          <w:w w:val="150"/>
          <w:sz w:val="20"/>
        </w:rPr>
        <w:t> </w:t>
      </w:r>
      <w:hyperlink r:id="rId5">
        <w:r>
          <w:rPr>
            <w:rFonts w:ascii="Century"/>
            <w:color w:val="4F6AA7"/>
            <w:sz w:val="20"/>
          </w:rPr>
          <w:t>manuel</w:t>
        </w:r>
        <w:r>
          <w:rPr>
            <w:rFonts w:ascii="Arial"/>
            <w:i/>
            <w:color w:val="4F6AA7"/>
            <w:sz w:val="20"/>
          </w:rPr>
          <w:t>.</w:t>
        </w:r>
        <w:r>
          <w:rPr>
            <w:rFonts w:ascii="Century"/>
            <w:color w:val="4F6AA7"/>
            <w:sz w:val="20"/>
          </w:rPr>
          <w:t>p</w:t>
        </w:r>
        <w:r>
          <w:rPr>
            <w:rFonts w:ascii="Arial"/>
            <w:i/>
            <w:color w:val="4F6AA7"/>
            <w:sz w:val="20"/>
          </w:rPr>
          <w:t>.</w:t>
        </w:r>
        <w:r>
          <w:rPr>
            <w:rFonts w:ascii="Century"/>
            <w:color w:val="4F6AA7"/>
            <w:sz w:val="20"/>
          </w:rPr>
          <w:t>gonzalez-</w:t>
        </w:r>
        <w:r>
          <w:rPr>
            <w:rFonts w:ascii="Century"/>
            <w:color w:val="4F6AA7"/>
            <w:spacing w:val="-2"/>
            <w:sz w:val="20"/>
          </w:rPr>
          <w:t>astudillo@frb</w:t>
        </w:r>
        <w:r>
          <w:rPr>
            <w:rFonts w:ascii="Arial"/>
            <w:i/>
            <w:color w:val="4F6AA7"/>
            <w:spacing w:val="-2"/>
            <w:sz w:val="20"/>
          </w:rPr>
          <w:t>.</w:t>
        </w:r>
        <w:r>
          <w:rPr>
            <w:rFonts w:ascii="Century"/>
            <w:color w:val="4F6AA7"/>
            <w:spacing w:val="-2"/>
            <w:sz w:val="20"/>
          </w:rPr>
          <w:t>gov</w:t>
        </w:r>
      </w:hyperlink>
      <w:r>
        <w:rPr>
          <w:spacing w:val="-2"/>
          <w:sz w:val="20"/>
        </w:rPr>
        <w:t>.</w:t>
      </w:r>
    </w:p>
    <w:p>
      <w:pPr>
        <w:spacing w:line="241" w:lineRule="exact" w:before="0"/>
        <w:ind w:left="277" w:right="0" w:firstLine="0"/>
        <w:jc w:val="left"/>
        <w:rPr>
          <w:sz w:val="20"/>
        </w:rPr>
      </w:pPr>
      <w:r>
        <w:rPr>
          <w:rFonts w:ascii="Cambria" w:hAnsi="Cambria"/>
          <w:w w:val="110"/>
          <w:position w:val="7"/>
          <w:sz w:val="14"/>
        </w:rPr>
        <w:t>‡</w:t>
      </w:r>
      <w:r>
        <w:rPr>
          <w:w w:val="110"/>
          <w:sz w:val="20"/>
        </w:rPr>
        <w:t>Corresponding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author.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Central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Chile.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E-mail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address:</w:t>
      </w:r>
      <w:r>
        <w:rPr>
          <w:spacing w:val="10"/>
          <w:w w:val="110"/>
          <w:sz w:val="20"/>
        </w:rPr>
        <w:t> </w:t>
      </w:r>
      <w:hyperlink r:id="rId6">
        <w:r>
          <w:rPr>
            <w:rFonts w:ascii="Century" w:hAnsi="Century"/>
            <w:color w:val="4F6AA7"/>
            <w:spacing w:val="-2"/>
            <w:w w:val="110"/>
            <w:sz w:val="20"/>
          </w:rPr>
          <w:t>jguerra@bcentral</w:t>
        </w:r>
        <w:r>
          <w:rPr>
            <w:rFonts w:ascii="Arial" w:hAnsi="Arial"/>
            <w:i/>
            <w:color w:val="4F6AA7"/>
            <w:spacing w:val="-2"/>
            <w:w w:val="110"/>
            <w:sz w:val="20"/>
          </w:rPr>
          <w:t>.</w:t>
        </w:r>
        <w:r>
          <w:rPr>
            <w:rFonts w:ascii="Century" w:hAnsi="Century"/>
            <w:color w:val="4F6AA7"/>
            <w:spacing w:val="-2"/>
            <w:w w:val="110"/>
            <w:sz w:val="20"/>
          </w:rPr>
          <w:t>cl</w:t>
        </w:r>
        <w:r>
          <w:rPr>
            <w:spacing w:val="-2"/>
            <w:w w:val="110"/>
            <w:sz w:val="20"/>
          </w:rPr>
          <w:t>.</w:t>
        </w:r>
      </w:hyperlink>
    </w:p>
    <w:p>
      <w:pPr>
        <w:spacing w:line="244" w:lineRule="exact" w:before="0"/>
        <w:ind w:left="277" w:right="0" w:firstLine="0"/>
        <w:jc w:val="left"/>
        <w:rPr>
          <w:sz w:val="20"/>
        </w:rPr>
      </w:pPr>
      <w:r>
        <w:rPr>
          <w:rFonts w:ascii="Cambria" w:hAnsi="Cambria"/>
          <w:w w:val="105"/>
          <w:position w:val="7"/>
          <w:sz w:val="14"/>
        </w:rPr>
        <w:t>§</w:t>
      </w:r>
      <w:r>
        <w:rPr>
          <w:w w:val="105"/>
          <w:sz w:val="20"/>
        </w:rPr>
        <w:t>Harvard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University.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E-mail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address:</w:t>
      </w:r>
      <w:r>
        <w:rPr>
          <w:spacing w:val="42"/>
          <w:w w:val="105"/>
          <w:sz w:val="20"/>
        </w:rPr>
        <w:t> </w:t>
      </w:r>
      <w:hyperlink r:id="rId7">
        <w:r>
          <w:rPr>
            <w:rFonts w:ascii="Century" w:hAnsi="Century"/>
            <w:color w:val="4F6AA7"/>
            <w:spacing w:val="-2"/>
            <w:w w:val="105"/>
            <w:sz w:val="20"/>
          </w:rPr>
          <w:t>alipton@g</w:t>
        </w:r>
        <w:r>
          <w:rPr>
            <w:rFonts w:ascii="Arial" w:hAnsi="Arial"/>
            <w:i/>
            <w:color w:val="4F6AA7"/>
            <w:spacing w:val="-2"/>
            <w:w w:val="105"/>
            <w:sz w:val="20"/>
          </w:rPr>
          <w:t>.</w:t>
        </w:r>
        <w:r>
          <w:rPr>
            <w:rFonts w:ascii="Century" w:hAnsi="Century"/>
            <w:color w:val="4F6AA7"/>
            <w:spacing w:val="-2"/>
            <w:w w:val="105"/>
            <w:sz w:val="20"/>
          </w:rPr>
          <w:t>harvard</w:t>
        </w:r>
        <w:r>
          <w:rPr>
            <w:rFonts w:ascii="Arial" w:hAnsi="Arial"/>
            <w:i/>
            <w:color w:val="4F6AA7"/>
            <w:spacing w:val="-2"/>
            <w:w w:val="105"/>
            <w:sz w:val="20"/>
          </w:rPr>
          <w:t>.</w:t>
        </w:r>
        <w:r>
          <w:rPr>
            <w:rFonts w:ascii="Century" w:hAnsi="Century"/>
            <w:color w:val="4F6AA7"/>
            <w:spacing w:val="-2"/>
            <w:w w:val="105"/>
            <w:sz w:val="20"/>
          </w:rPr>
          <w:t>edu</w:t>
        </w:r>
        <w:r>
          <w:rPr>
            <w:spacing w:val="-2"/>
            <w:w w:val="105"/>
            <w:sz w:val="20"/>
          </w:rPr>
          <w:t>.</w:t>
        </w:r>
      </w:hyperlink>
    </w:p>
    <w:sectPr>
      <w:type w:val="continuous"/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Century">
    <w:altName w:val="Century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9" w:right="371" w:hanging="137"/>
      <w:jc w:val="center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nuel.p.gonzalez-astudillo%40frb.gov" TargetMode="External"/><Relationship Id="rId6" Type="http://schemas.openxmlformats.org/officeDocument/2006/relationships/hyperlink" Target="mailto:jguerra@bcentral.cl" TargetMode="External"/><Relationship Id="rId7" Type="http://schemas.openxmlformats.org/officeDocument/2006/relationships/hyperlink" Target="mailto:alipton@g.harvard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2025-10-16T20:08:57Z</dcterms:created>
  <dcterms:modified xsi:type="dcterms:W3CDTF">2025-10-16T20:08:57Z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2025-10-16T00:00:00Z</vt:filetime>
  </property>
  <property fmtid="{D5CDD505-2E9C-101B-9397-08002B2CF9AE}" pid="5" name="Producer">
    <vt:lpwstr>pdfTeX-1.40.20</vt:lpwstr>
  </property>
</Properties>
</file>