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55BB" w14:textId="7F9A2D51" w:rsidR="00855D44" w:rsidRDefault="00BB7659">
      <w:r w:rsidRPr="00BB7659">
        <w:t>This manuscript studies fiscal adjustment in a particular commodity exporter, which is Ecuador. I am not sure whether this manuscript has enough new contributions and findings to suffice publication in Economic Modelling. I don't see any new findings apart from IMF country documents.</w:t>
      </w:r>
      <w:r w:rsidRPr="00BB7659">
        <w:br/>
      </w:r>
      <w:r w:rsidRPr="00BB7659">
        <w:br/>
        <w:t>First, please explain and justify why you choose Ecuador. In addition, please explain how IMF program in Ecuador is different from IMF programs in other commodity exporting countries, and how such differences affect your outcomes.</w:t>
      </w:r>
      <w:r w:rsidRPr="00BB7659">
        <w:br/>
      </w:r>
      <w:r w:rsidRPr="00BB7659">
        <w:br/>
        <w:t>Second, on page 9, only foreign debt is included in fiscal policy. Why do you not include domestic debt? Since Ecuador issues domestic government debt, please include domestic debt as well. It is important to include domestic debt because the substitution between domestic and foreign debt plays a major role in government financing policy.</w:t>
      </w:r>
      <w:r w:rsidRPr="00BB7659">
        <w:br/>
      </w:r>
      <w:r w:rsidRPr="00BB7659">
        <w:br/>
        <w:t>Figure 1 shows most of GDP in Ecuador has been driven by technology shocks. What exactly are these technology shocks? Please elaborate on the examples of technology shocks that occurred in 2009, 2012, and after 2017. Also, please elaborate on how Lehman crisis/Global financial crisis in 2009 and the Covid crisis are captured in which types of shocks.</w:t>
      </w:r>
      <w:r w:rsidRPr="00BB7659">
        <w:br/>
      </w:r>
      <w:r w:rsidRPr="00BB7659">
        <w:br/>
        <w:t xml:space="preserve">Despite the fact that the paper aims to study small open economy, the impact of foreign variables </w:t>
      </w:r>
      <w:proofErr w:type="gramStart"/>
      <w:r w:rsidRPr="00BB7659">
        <w:t>are</w:t>
      </w:r>
      <w:proofErr w:type="gramEnd"/>
      <w:r w:rsidRPr="00BB7659">
        <w:t xml:space="preserve"> very small in Figure 1. This is counter-intuitive and warrants fuller elaboration. Which modelling parts and which deep parameters are affecting such counterintuitive results? Please explain and fix the relevant part.</w:t>
      </w:r>
      <w:r w:rsidRPr="00BB7659">
        <w:br/>
      </w:r>
      <w:r w:rsidRPr="00BB7659">
        <w:br/>
        <w:t xml:space="preserve">How is monetary policy treated/incorporated in the model? Which panel of Figure 3 corresponds to monetary policy response? This should be clarified because exclusion of monetary policy </w:t>
      </w:r>
      <w:proofErr w:type="gramStart"/>
      <w:r w:rsidRPr="00BB7659">
        <w:t>leads</w:t>
      </w:r>
      <w:proofErr w:type="gramEnd"/>
      <w:r w:rsidRPr="00BB7659">
        <w:t xml:space="preserve"> overestimation of the effects of fiscal policy as both monetary and fiscal policy are two major macroeconomic policies and often show </w:t>
      </w:r>
      <w:proofErr w:type="gramStart"/>
      <w:r w:rsidRPr="00BB7659">
        <w:t>the similar</w:t>
      </w:r>
      <w:proofErr w:type="gramEnd"/>
      <w:r w:rsidRPr="00BB7659">
        <w:t xml:space="preserve"> stances.</w:t>
      </w:r>
      <w:r w:rsidRPr="00BB7659">
        <w:br/>
      </w:r>
      <w:r w:rsidRPr="00BB7659">
        <w:br/>
        <w:t xml:space="preserve">It is wired to postulate that the tax rate follows the coefficient value 0.999 of AR(1) term in footnote 18. Tax rates should be treated as exogenous policy variables in DSGE model. Please drop this ad hoc </w:t>
      </w:r>
      <w:proofErr w:type="gramStart"/>
      <w:r w:rsidRPr="00BB7659">
        <w:t>assumption, and</w:t>
      </w:r>
      <w:proofErr w:type="gramEnd"/>
      <w:r w:rsidRPr="00BB7659">
        <w:t xml:space="preserve"> then correct it.</w:t>
      </w:r>
      <w:r w:rsidRPr="00BB7659">
        <w:br/>
      </w:r>
      <w:r w:rsidRPr="00BB7659">
        <w:br/>
        <w:t xml:space="preserve">Why is government investment response in Figure </w:t>
      </w:r>
      <w:proofErr w:type="gramStart"/>
      <w:r w:rsidRPr="00BB7659">
        <w:t>4 is</w:t>
      </w:r>
      <w:proofErr w:type="gramEnd"/>
      <w:r w:rsidRPr="00BB7659">
        <w:t xml:space="preserve"> hump shaped? Please elaborate on it.</w:t>
      </w:r>
      <w:r w:rsidRPr="00BB7659">
        <w:br/>
      </w:r>
      <w:r w:rsidRPr="00BB7659">
        <w:br/>
        <w:t xml:space="preserve">Also, why </w:t>
      </w:r>
      <w:proofErr w:type="gramStart"/>
      <w:r w:rsidRPr="00BB7659">
        <w:t>the</w:t>
      </w:r>
      <w:proofErr w:type="gramEnd"/>
      <w:r w:rsidRPr="00BB7659">
        <w:t xml:space="preserve"> confidence interval of optimizer consumption explodes over time in Figure 4? </w:t>
      </w:r>
      <w:r w:rsidRPr="00BB7659">
        <w:lastRenderedPageBreak/>
        <w:t>Please articulate the reasons.</w:t>
      </w:r>
      <w:r w:rsidRPr="00BB7659">
        <w:br/>
      </w:r>
      <w:r w:rsidRPr="00BB7659">
        <w:br/>
        <w:t xml:space="preserve">Finally, why </w:t>
      </w:r>
      <w:proofErr w:type="gramStart"/>
      <w:r w:rsidRPr="00BB7659">
        <w:t>three lines for restricted hours are</w:t>
      </w:r>
      <w:proofErr w:type="gramEnd"/>
      <w:r w:rsidRPr="00BB7659">
        <w:t xml:space="preserve"> the same in Figure 4? What exactly </w:t>
      </w:r>
      <w:proofErr w:type="gramStart"/>
      <w:r w:rsidRPr="00BB7659">
        <w:t>the</w:t>
      </w:r>
      <w:proofErr w:type="gramEnd"/>
      <w:r w:rsidRPr="00BB7659">
        <w:t xml:space="preserve"> restricted hours? It would be helpful to define the variable.</w:t>
      </w:r>
      <w:r w:rsidRPr="00BB7659">
        <w:br/>
      </w:r>
      <w:r w:rsidRPr="00BB7659">
        <w:br/>
        <w:t xml:space="preserve">The conclusion section does not show any new findings of this manuscript. Are there any new findings and contributions that differ from </w:t>
      </w:r>
      <w:proofErr w:type="gramStart"/>
      <w:r w:rsidRPr="00BB7659">
        <w:t>the existing</w:t>
      </w:r>
      <w:proofErr w:type="gramEnd"/>
      <w:r w:rsidRPr="00BB7659">
        <w:t xml:space="preserve"> literature? If not, it would be difficult to publish this manuscript as a journal article in </w:t>
      </w:r>
      <w:proofErr w:type="gramStart"/>
      <w:r w:rsidRPr="00BB7659">
        <w:t>the</w:t>
      </w:r>
      <w:proofErr w:type="gramEnd"/>
      <w:r w:rsidRPr="00BB7659">
        <w:t xml:space="preserve"> prestigious journal such as Economic Modelling.</w:t>
      </w:r>
    </w:p>
    <w:sectPr w:rsidR="00855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659"/>
    <w:rsid w:val="00006654"/>
    <w:rsid w:val="00267F86"/>
    <w:rsid w:val="003858B2"/>
    <w:rsid w:val="00410DAB"/>
    <w:rsid w:val="00855D44"/>
    <w:rsid w:val="00A77FDC"/>
    <w:rsid w:val="00A94050"/>
    <w:rsid w:val="00B827B4"/>
    <w:rsid w:val="00BB7659"/>
    <w:rsid w:val="00BF7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2F6C4"/>
  <w15:chartTrackingRefBased/>
  <w15:docId w15:val="{3ECCC677-E2F8-4F84-BF72-E04BDA7B5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659"/>
    <w:rPr>
      <w:rFonts w:eastAsiaTheme="majorEastAsia" w:cstheme="majorBidi"/>
      <w:color w:val="272727" w:themeColor="text1" w:themeTint="D8"/>
    </w:rPr>
  </w:style>
  <w:style w:type="paragraph" w:styleId="Title">
    <w:name w:val="Title"/>
    <w:basedOn w:val="Normal"/>
    <w:next w:val="Normal"/>
    <w:link w:val="TitleChar"/>
    <w:uiPriority w:val="10"/>
    <w:qFormat/>
    <w:rsid w:val="00BB7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659"/>
    <w:pPr>
      <w:spacing w:before="160"/>
      <w:jc w:val="center"/>
    </w:pPr>
    <w:rPr>
      <w:i/>
      <w:iCs/>
      <w:color w:val="404040" w:themeColor="text1" w:themeTint="BF"/>
    </w:rPr>
  </w:style>
  <w:style w:type="character" w:customStyle="1" w:styleId="QuoteChar">
    <w:name w:val="Quote Char"/>
    <w:basedOn w:val="DefaultParagraphFont"/>
    <w:link w:val="Quote"/>
    <w:uiPriority w:val="29"/>
    <w:rsid w:val="00BB7659"/>
    <w:rPr>
      <w:i/>
      <w:iCs/>
      <w:color w:val="404040" w:themeColor="text1" w:themeTint="BF"/>
    </w:rPr>
  </w:style>
  <w:style w:type="paragraph" w:styleId="ListParagraph">
    <w:name w:val="List Paragraph"/>
    <w:basedOn w:val="Normal"/>
    <w:uiPriority w:val="34"/>
    <w:qFormat/>
    <w:rsid w:val="00BB7659"/>
    <w:pPr>
      <w:ind w:left="720"/>
      <w:contextualSpacing/>
    </w:pPr>
  </w:style>
  <w:style w:type="character" w:styleId="IntenseEmphasis">
    <w:name w:val="Intense Emphasis"/>
    <w:basedOn w:val="DefaultParagraphFont"/>
    <w:uiPriority w:val="21"/>
    <w:qFormat/>
    <w:rsid w:val="00BB7659"/>
    <w:rPr>
      <w:i/>
      <w:iCs/>
      <w:color w:val="0F4761" w:themeColor="accent1" w:themeShade="BF"/>
    </w:rPr>
  </w:style>
  <w:style w:type="paragraph" w:styleId="IntenseQuote">
    <w:name w:val="Intense Quote"/>
    <w:basedOn w:val="Normal"/>
    <w:next w:val="Normal"/>
    <w:link w:val="IntenseQuoteChar"/>
    <w:uiPriority w:val="30"/>
    <w:qFormat/>
    <w:rsid w:val="00BB7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659"/>
    <w:rPr>
      <w:i/>
      <w:iCs/>
      <w:color w:val="0F4761" w:themeColor="accent1" w:themeShade="BF"/>
    </w:rPr>
  </w:style>
  <w:style w:type="character" w:styleId="IntenseReference">
    <w:name w:val="Intense Reference"/>
    <w:basedOn w:val="DefaultParagraphFont"/>
    <w:uiPriority w:val="32"/>
    <w:qFormat/>
    <w:rsid w:val="00BB76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Gonzalez-Astudillo</dc:creator>
  <cp:keywords/>
  <dc:description/>
  <cp:lastModifiedBy>Manuel Gonzalez-Astudillo</cp:lastModifiedBy>
  <cp:revision>1</cp:revision>
  <dcterms:created xsi:type="dcterms:W3CDTF">2025-12-04T19:26:00Z</dcterms:created>
  <dcterms:modified xsi:type="dcterms:W3CDTF">2025-12-04T19:27:00Z</dcterms:modified>
</cp:coreProperties>
</file>