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FED6" w14:textId="69E69445" w:rsidR="00855D44" w:rsidRDefault="0013717D">
      <w:r w:rsidRPr="0013717D">
        <w:t>This paper examines how fiscal consolidations in commodity-exporting economies are affected by uncertainty in commodity revenues, using a richly specified small open economy DSGE model calibrated and estimated for Ecuador. The model incorporates optimizing and rule-of-thumb households, distortionary taxes, government consumption, investment and transfers, public and private capital, external debt, and a commodity sector. It is estimated using Ecuadorian quarterly data for 2004-2019 and subsequently used to simulate the 2020-2025 IMF-supported consolidation program under alternative oil-revenue paths. The central insight—that deviations in oil revenue can dramatically alter the fiscal balance, debt trajectory, and country risk premium even when authorities fully implement programmed fiscal actions—is timely and clearly policy-relevant.</w:t>
      </w:r>
      <w:r w:rsidRPr="0013717D">
        <w:br/>
        <w:t>The fiscal block is unusually detailed for this class of DSGE models, covering multiple expenditure components, tax instruments, and debt dynamics. Estimation with Bayesian methods and the provision of historical shock decompositions enhance credibility, while the impulse responses to oil-price and risk-premium shocks behave sensibly and match empirical patterns observed in commodity exporters. The consolidation simulations highlight important asymmetries: a positive oil-revenue deviation accelerates deficit reduction, sharply lowers the risk premium, and boosts private investment, potentially weakening incentives to maintain consolidation; conversely, a negative deviation worsens fiscal balances, increases sovereign borrowing costs, weakens private investment, and leaves non-oil GDP persistently below trend. These dynamics closely mirror real-world experiences in resource-rich economies and underscore the difficulty of designing rigid fiscal programs in inherently volatile environments.</w:t>
      </w:r>
      <w:r w:rsidRPr="0013717D">
        <w:br/>
        <w:t>Major Comments</w:t>
      </w:r>
      <w:r w:rsidRPr="0013717D">
        <w:br/>
        <w:t>1. Exogenous commodity production.</w:t>
      </w:r>
      <w:r w:rsidRPr="0013717D">
        <w:br/>
        <w:t>Treating commodity production as fully exogenous limits the model's realism, especially for economies where output is shaped by investment cycles, geological constraints, and infrastructure bottlenecks. This assumption should be acknowledged explicitly as a caveat, and its implications discussed in more depth.</w:t>
      </w:r>
      <w:r w:rsidRPr="0013717D">
        <w:br/>
        <w:t>2. Use of unexpected fiscal shocks.</w:t>
      </w:r>
      <w:r w:rsidRPr="0013717D">
        <w:br/>
        <w:t xml:space="preserve">The simulations rely on sequences of unanticipated shocks to replicate the programmed fiscal paths. This modelling choice understates anticipatory </w:t>
      </w:r>
      <w:proofErr w:type="spellStart"/>
      <w:r w:rsidRPr="0013717D">
        <w:t>behaviour</w:t>
      </w:r>
      <w:proofErr w:type="spellEnd"/>
      <w:r w:rsidRPr="0013717D">
        <w:t xml:space="preserve">, which is important in practice because consolidation measures are typically debated, negotiated, and </w:t>
      </w:r>
      <w:proofErr w:type="spellStart"/>
      <w:r w:rsidRPr="0013717D">
        <w:t>signalled</w:t>
      </w:r>
      <w:proofErr w:type="spellEnd"/>
      <w:r w:rsidRPr="0013717D">
        <w:t xml:space="preserve"> well in advance. A discussion of this limitation in relation to the existing DSGE literature on anticipated versus unanticipated fiscal adjustments would strengthen the paper.</w:t>
      </w:r>
      <w:r w:rsidRPr="0013717D">
        <w:br/>
        <w:t>3. Fiscal rule specification.</w:t>
      </w:r>
      <w:r w:rsidRPr="0013717D">
        <w:br/>
        <w:t xml:space="preserve">The estimated fiscal rules governing government consumption, investment, and transfers play a central role in shaping the </w:t>
      </w:r>
      <w:proofErr w:type="gramStart"/>
      <w:r w:rsidRPr="0013717D">
        <w:t>dynamics, yet</w:t>
      </w:r>
      <w:proofErr w:type="gramEnd"/>
      <w:r w:rsidRPr="0013717D">
        <w:t xml:space="preserve"> receive limited discussion. The authors </w:t>
      </w:r>
      <w:r w:rsidRPr="0013717D">
        <w:lastRenderedPageBreak/>
        <w:t>should provide greater justification for the chosen functional forms and consider discussing robustness. This could be linked more explicitly to DSGE implementations of fiscal rules in commodity exporters (e.g., Medina 2016) and to empirical work on structural-balance frameworks (e.g., Frankel 2011).</w:t>
      </w:r>
      <w:r w:rsidRPr="0013717D">
        <w:br/>
        <w:t>4. External validity.</w:t>
      </w:r>
      <w:r w:rsidRPr="0013717D">
        <w:br/>
        <w:t>Although the authors argue that the framework applies broadly to commodity exporters, the model is tightly calibrated to Ecuador's institutional and macroeconomic structure. A brief reflection on how the results might differ in countries with alternative tax systems, exchange-rate regimes, fiscal anchors, or debt-management frameworks—such as those modelled in LIC/EM DSGE studies (e.g., Bi, Shen and Yang 2016)—would strengthen the external relevance of the findings.</w:t>
      </w:r>
      <w:r w:rsidRPr="0013717D">
        <w:br/>
        <w:t>5. Engagement with the small open economy literature.</w:t>
      </w:r>
      <w:r w:rsidRPr="0013717D">
        <w:br/>
        <w:t xml:space="preserve">The paper would benefit from a more explicit link to the broader small open economy literature in commodity-rich settings. Existing empirical and modelling work—such as Roch (2017) for Chile, Colombia, and Peru; Knop and </w:t>
      </w:r>
      <w:proofErr w:type="spellStart"/>
      <w:r w:rsidRPr="0013717D">
        <w:t>Vespignani</w:t>
      </w:r>
      <w:proofErr w:type="spellEnd"/>
      <w:r w:rsidRPr="0013717D">
        <w:t xml:space="preserve"> (2014) and </w:t>
      </w:r>
      <w:proofErr w:type="spellStart"/>
      <w:r w:rsidRPr="0013717D">
        <w:t>Vespignani</w:t>
      </w:r>
      <w:proofErr w:type="spellEnd"/>
      <w:r w:rsidRPr="0013717D">
        <w:t xml:space="preserve"> (2015) for Australia; and Al Jabri et al. (2022) for Oman—provides useful benchmarks. Situating the analysis within this literature would clarify how the paper </w:t>
      </w:r>
      <w:proofErr w:type="gramStart"/>
      <w:r w:rsidRPr="0013717D">
        <w:t>extends</w:t>
      </w:r>
      <w:proofErr w:type="gramEnd"/>
      <w:r w:rsidRPr="0013717D">
        <w:t xml:space="preserve"> or complements established findings on commodity-driven macroeconomic and fiscal dynamics.</w:t>
      </w:r>
      <w:r w:rsidRPr="0013717D">
        <w:br/>
        <w:t>References</w:t>
      </w:r>
      <w:r w:rsidRPr="0013717D">
        <w:br/>
        <w:t xml:space="preserve">Al Jabri, S., Raghavan, M., &amp; </w:t>
      </w:r>
      <w:proofErr w:type="spellStart"/>
      <w:r w:rsidRPr="0013717D">
        <w:t>Vespignani</w:t>
      </w:r>
      <w:proofErr w:type="spellEnd"/>
      <w:r w:rsidRPr="0013717D">
        <w:t xml:space="preserve">, J. (2022). Oil prices and fiscal policy in an oil-exporter country: Empirical evidence from Oman. </w:t>
      </w:r>
      <w:r w:rsidRPr="0013717D">
        <w:rPr>
          <w:lang w:val="it-IT"/>
        </w:rPr>
        <w:t>Energy Economics, 111, 106103.</w:t>
      </w:r>
      <w:r w:rsidRPr="0013717D">
        <w:rPr>
          <w:lang w:val="it-IT"/>
        </w:rPr>
        <w:br/>
        <w:t xml:space="preserve">Berg, M., Portillo, R., Buffie, E., Pattillo, C., &amp; Zanna, L. (2012). </w:t>
      </w:r>
      <w:r w:rsidRPr="0013717D">
        <w:t>Public investment, growth, and debt sustainability: Putting together the pieces. IMF Working Paper.</w:t>
      </w:r>
      <w:r w:rsidRPr="0013717D">
        <w:br/>
        <w:t>Bi, H., Shen, W., &amp; Yang, S-C. S. (2016). Fiscal limits in developing countries: A DSGE approach. Journal of Macroeconomics, 49, 119-130.</w:t>
      </w:r>
      <w:r w:rsidRPr="0013717D">
        <w:br/>
        <w:t>Frankel, J. (2011). A solution to fiscal procyclicality: The structural budget institutions pioneered by Chile. NBER Working Paper No. 16945.</w:t>
      </w:r>
      <w:r w:rsidRPr="0013717D">
        <w:br/>
        <w:t xml:space="preserve">Knop, S. J., &amp; </w:t>
      </w:r>
      <w:proofErr w:type="spellStart"/>
      <w:r w:rsidRPr="0013717D">
        <w:t>Vespignani</w:t>
      </w:r>
      <w:proofErr w:type="spellEnd"/>
      <w:r w:rsidRPr="0013717D">
        <w:t>, J. L. (2014). The sectorial impact of commodity price shocks in Australia. Economic Modelling, 42, 257-271.</w:t>
      </w:r>
      <w:r w:rsidRPr="0013717D">
        <w:br/>
        <w:t>Medina, L. (2016). The effects of commodity price shocks on fiscal aggregates in Latin America. IMF Economic Review, 64(3), 502-525.</w:t>
      </w:r>
      <w:r w:rsidRPr="0013717D">
        <w:br/>
        <w:t>Roch, M. F. (2017). The adjustment to commodity price shocks in Chile, Colombia, and Peru. IMF Working Paper.</w:t>
      </w:r>
      <w:r w:rsidRPr="0013717D">
        <w:br/>
      </w:r>
      <w:proofErr w:type="spellStart"/>
      <w:r w:rsidRPr="0013717D">
        <w:t>Vespignani</w:t>
      </w:r>
      <w:proofErr w:type="spellEnd"/>
      <w:r w:rsidRPr="0013717D">
        <w:t>, J. L. (2015). On the differential impact of monetary policy across states/territories and its determinants in Australia: Evidence from a small open economy. Journal of International Financial Markets, Institutions and Money, 34, 1-13.</w:t>
      </w:r>
      <w:r w:rsidRPr="0013717D">
        <w:br/>
      </w:r>
    </w:p>
    <w:sectPr w:rsidR="00855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7D"/>
    <w:rsid w:val="00006654"/>
    <w:rsid w:val="0013717D"/>
    <w:rsid w:val="00267F86"/>
    <w:rsid w:val="003858B2"/>
    <w:rsid w:val="00410DAB"/>
    <w:rsid w:val="00855D44"/>
    <w:rsid w:val="00A77FDC"/>
    <w:rsid w:val="00A94050"/>
    <w:rsid w:val="00B827B4"/>
    <w:rsid w:val="00BF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4DCC"/>
  <w15:chartTrackingRefBased/>
  <w15:docId w15:val="{6544B80C-7EC0-423D-B2B9-61D719AF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17D"/>
    <w:rPr>
      <w:rFonts w:eastAsiaTheme="majorEastAsia" w:cstheme="majorBidi"/>
      <w:color w:val="272727" w:themeColor="text1" w:themeTint="D8"/>
    </w:rPr>
  </w:style>
  <w:style w:type="paragraph" w:styleId="Title">
    <w:name w:val="Title"/>
    <w:basedOn w:val="Normal"/>
    <w:next w:val="Normal"/>
    <w:link w:val="TitleChar"/>
    <w:uiPriority w:val="10"/>
    <w:qFormat/>
    <w:rsid w:val="0013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17D"/>
    <w:pPr>
      <w:spacing w:before="160"/>
      <w:jc w:val="center"/>
    </w:pPr>
    <w:rPr>
      <w:i/>
      <w:iCs/>
      <w:color w:val="404040" w:themeColor="text1" w:themeTint="BF"/>
    </w:rPr>
  </w:style>
  <w:style w:type="character" w:customStyle="1" w:styleId="QuoteChar">
    <w:name w:val="Quote Char"/>
    <w:basedOn w:val="DefaultParagraphFont"/>
    <w:link w:val="Quote"/>
    <w:uiPriority w:val="29"/>
    <w:rsid w:val="0013717D"/>
    <w:rPr>
      <w:i/>
      <w:iCs/>
      <w:color w:val="404040" w:themeColor="text1" w:themeTint="BF"/>
    </w:rPr>
  </w:style>
  <w:style w:type="paragraph" w:styleId="ListParagraph">
    <w:name w:val="List Paragraph"/>
    <w:basedOn w:val="Normal"/>
    <w:uiPriority w:val="34"/>
    <w:qFormat/>
    <w:rsid w:val="0013717D"/>
    <w:pPr>
      <w:ind w:left="720"/>
      <w:contextualSpacing/>
    </w:pPr>
  </w:style>
  <w:style w:type="character" w:styleId="IntenseEmphasis">
    <w:name w:val="Intense Emphasis"/>
    <w:basedOn w:val="DefaultParagraphFont"/>
    <w:uiPriority w:val="21"/>
    <w:qFormat/>
    <w:rsid w:val="0013717D"/>
    <w:rPr>
      <w:i/>
      <w:iCs/>
      <w:color w:val="0F4761" w:themeColor="accent1" w:themeShade="BF"/>
    </w:rPr>
  </w:style>
  <w:style w:type="paragraph" w:styleId="IntenseQuote">
    <w:name w:val="Intense Quote"/>
    <w:basedOn w:val="Normal"/>
    <w:next w:val="Normal"/>
    <w:link w:val="IntenseQuoteChar"/>
    <w:uiPriority w:val="30"/>
    <w:qFormat/>
    <w:rsid w:val="0013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17D"/>
    <w:rPr>
      <w:i/>
      <w:iCs/>
      <w:color w:val="0F4761" w:themeColor="accent1" w:themeShade="BF"/>
    </w:rPr>
  </w:style>
  <w:style w:type="character" w:styleId="IntenseReference">
    <w:name w:val="Intense Reference"/>
    <w:basedOn w:val="DefaultParagraphFont"/>
    <w:uiPriority w:val="32"/>
    <w:qFormat/>
    <w:rsid w:val="00137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Gonzalez-Astudillo</dc:creator>
  <cp:keywords/>
  <dc:description/>
  <cp:lastModifiedBy>Manuel Gonzalez-Astudillo</cp:lastModifiedBy>
  <cp:revision>1</cp:revision>
  <dcterms:created xsi:type="dcterms:W3CDTF">2025-12-04T19:27:00Z</dcterms:created>
  <dcterms:modified xsi:type="dcterms:W3CDTF">2025-12-04T19:28:00Z</dcterms:modified>
</cp:coreProperties>
</file>