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highlights"/>
      <w:bookmarkEnd w:id="21"/>
      <w:r>
        <w:t xml:space="preserve">HIGHLIGHTS</w:t>
      </w:r>
    </w:p>
    <w:p>
      <w:pPr>
        <w:numPr>
          <w:numId w:val="1001"/>
          <w:ilvl w:val="0"/>
        </w:numPr>
      </w:pPr>
      <w:r>
        <w:t xml:space="preserve">Quantifies how commodity revenue volatility shapes fiscal consolidation outcomes in small open economies using a structural DSGE model estimated on Ecuadorian data</w:t>
      </w:r>
    </w:p>
    <w:p>
      <w:pPr>
        <w:numPr>
          <w:numId w:val="1001"/>
          <w:ilvl w:val="0"/>
        </w:numPr>
      </w:pPr>
      <w:r>
        <w:t xml:space="preserve">Higher-than-expected oil revenues accelerate deficit reduction, lower sovereign spreads, and stimulate economic activity, potentially weakening consolidation incentives</w:t>
      </w:r>
    </w:p>
    <w:p>
      <w:pPr>
        <w:numPr>
          <w:numId w:val="1001"/>
          <w:ilvl w:val="0"/>
        </w:numPr>
      </w:pPr>
      <w:r>
        <w:t xml:space="preserve">Revenue shortfalls raise borrowing costs, depress investment, and intensify the required fiscal effort, creating pronounced asymmetries in macroeconomic dynamics</w:t>
      </w:r>
    </w:p>
    <w:p>
      <w:pPr>
        <w:numPr>
          <w:numId w:val="1001"/>
          <w:ilvl w:val="0"/>
        </w:numPr>
      </w:pPr>
      <w:r>
        <w:t xml:space="preserve">Simulates Ecuador's 2020–2025 IMF-supported fiscal program under alternative oil-revenue scenarios, demonstrating how plausible commodity price deviations alter consolidation feasibility</w:t>
      </w:r>
    </w:p>
    <w:p>
      <w:pPr>
        <w:numPr>
          <w:numId w:val="1001"/>
          <w:ilvl w:val="0"/>
        </w:numPr>
      </w:pPr>
      <w:r>
        <w:t xml:space="preserve">Framework and findings broadly applicable to commodity-exporting economies implementing fiscal adjustment under external financing constraints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45c26435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619082a6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2026-05-20T19:06:21Z</dcterms:created>
  <dcterms:modified xsi:type="dcterms:W3CDTF">2026-05-20T19:06:21Z</dcterms:modified>
</cp:coreProperties>
</file>