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0"/>
        </w:rPr>
        <w:t>TP2 — Embeddings y búsqueda semántica sobre un corpus de novelas bélicas</w:t>
      </w:r>
    </w:p>
    <w:p>
      <w:r>
        <w:rPr>
          <w:b/>
        </w:rPr>
        <w:t>Procesamiento del Lenguaje Natural — Tecnicatura Universitaria en Inteligencia Artificial, FCEIA-UNR, 2026</w:t>
      </w:r>
    </w:p>
    <w:p>
      <w:r>
        <w:t>Integrantes: Manuel Lazarte, Emmanuel Mendoza, Álvaro Toledo, Maximiliano Romano, Federico Nahuel Troanes.</w:t>
      </w:r>
    </w:p>
    <w:p>
      <w:r>
        <w:t>Docente: [COMPLETAR] — Fecha de entrega: [COMPLETAR]</w:t>
      </w:r>
    </w:p>
    <w:p>
      <w:pPr>
        <w:pStyle w:val="Heading2"/>
      </w:pPr>
      <w:r>
        <w:t>Resumen</w:t>
      </w:r>
    </w:p>
    <w:p>
      <w:r>
        <w:t xml:space="preserve">Comparamos cuatro representaciones de 150 sinopsis de la categoría Bélico de Lectulandia (el corpus del TP1): TF-IDF, Word2Vec entrenado sobre el corpus, el promedio de vectores de SBW y el modelo de oración </w:t>
      </w:r>
      <w:r>
        <w:rPr>
          <w:rFonts w:ascii="Consolas" w:hAnsi="Consolas"/>
          <w:sz w:val="19"/>
        </w:rPr>
        <w:t>distiluse-base-multilingual-cased-v1</w:t>
      </w:r>
      <w:r>
        <w:t xml:space="preserve"> (SBERT). Persistimos los vectores en Postgres con pgvector, implementamos la búsqueda en SQL con un filtro por género y una búsqueda híbrida (full-text + vectorial) con </w:t>
      </w:r>
      <w:r>
        <w:rPr>
          <w:i/>
        </w:rPr>
        <w:t>Reciprocal Rank Fusion</w:t>
      </w:r>
      <w:r>
        <w:t xml:space="preserve">. Con un conjunto propio de 14 consultas, TF-IDF obtiene la mejor precision@5 (0.40, contra 0.31 de SBERT y 0.03 del azar). Los embeddings le ganan en las consultas sin palabras en común con los relevantes, donde TF-IDF da 0 por construcción, y en alguna consulta en la que a TF-IDF le falta </w:t>
      </w:r>
      <w:r>
        <w:rPr>
          <w:i/>
        </w:rPr>
        <w:t>stemming</w:t>
      </w:r>
      <w:r>
        <w:t>.</w:t>
      </w:r>
    </w:p>
    <w:p>
      <w:pPr>
        <w:pStyle w:val="Heading2"/>
      </w:pPr>
      <w:r>
        <w:t>1. Metodología</w:t>
      </w:r>
    </w:p>
    <w:p>
      <w:pPr>
        <w:pStyle w:val="ListBullet"/>
      </w:pPr>
      <w:r>
        <w:rPr>
          <w:b/>
        </w:rPr>
        <w:t>Texto.</w:t>
      </w:r>
      <w:r>
        <w:t xml:space="preserve"> El preprocesamiento depende del modelo:</w:t>
      </w:r>
    </w:p>
    <w:p>
      <w:pPr>
        <w:pStyle w:val="ListBullet2"/>
      </w:pPr>
      <w:r>
        <w:t>versión limpia (minúsculas, sin puntuación, sin stopwords, sin acentos) para TF-IDF y el Word2Vec propio;</w:t>
      </w:r>
    </w:p>
    <w:p>
      <w:pPr>
        <w:pStyle w:val="ListBullet2"/>
      </w:pPr>
      <w:r>
        <w:t xml:space="preserve">la misma limpieza </w:t>
      </w:r>
      <w:r>
        <w:rPr>
          <w:b/>
        </w:rPr>
        <w:t>conservando los acentos</w:t>
      </w:r>
      <w:r>
        <w:t xml:space="preserve"> para SBW, cuyo vocabulario los tiene;</w:t>
      </w:r>
    </w:p>
    <w:p>
      <w:pPr>
        <w:pStyle w:val="ListBullet2"/>
      </w:pPr>
      <w:r>
        <w:t xml:space="preserve">texto </w:t>
      </w:r>
      <w:r>
        <w:rPr>
          <w:b/>
        </w:rPr>
        <w:t>crudo</w:t>
      </w:r>
      <w:r>
        <w:t xml:space="preserve"> para SBERT.</w:t>
      </w:r>
    </w:p>
    <w:p>
      <w:pPr>
        <w:pStyle w:val="ListBullet"/>
      </w:pPr>
      <w:r>
        <w:rPr>
          <w:b/>
        </w:rPr>
        <w:t>Modelos.</w:t>
      </w:r>
    </w:p>
    <w:p>
      <w:pPr>
        <w:pStyle w:val="ListBullet2"/>
      </w:pPr>
      <w:r>
        <w:t xml:space="preserve">Word2Vec propio: skip-gram, 300 dimensiones, ventana 5, </w:t>
      </w:r>
      <w:r>
        <w:rPr>
          <w:rFonts w:ascii="Consolas" w:hAnsi="Consolas"/>
          <w:sz w:val="19"/>
        </w:rPr>
        <w:t>min_count=3</w:t>
      </w:r>
      <w:r>
        <w:t>, negative sampling.</w:t>
      </w:r>
    </w:p>
    <w:p>
      <w:pPr>
        <w:pStyle w:val="ListBullet2"/>
      </w:pPr>
      <w:r>
        <w:t>Promedio de vectores SBW (300 dimensiones).</w:t>
      </w:r>
    </w:p>
    <w:p>
      <w:pPr>
        <w:pStyle w:val="ListBullet2"/>
      </w:pPr>
      <w:r>
        <w:t xml:space="preserve">SBERT (512 dimensiones, límite de 128 tokens: </w:t>
      </w:r>
      <w:r>
        <w:rPr>
          <w:b/>
        </w:rPr>
        <w:t>141 de 150 sinopsis se truncan</w:t>
      </w:r>
      <w:r>
        <w:t>).</w:t>
      </w:r>
    </w:p>
    <w:p>
      <w:pPr>
        <w:pStyle w:val="ListBullet2"/>
      </w:pPr>
      <w:r>
        <w:t>TF-IDF como línea de base léxica.</w:t>
      </w:r>
    </w:p>
    <w:p>
      <w:pPr>
        <w:pStyle w:val="ListBullet"/>
      </w:pPr>
      <w:r>
        <w:rPr>
          <w:b/>
        </w:rPr>
        <w:t>Persistencia.</w:t>
      </w:r>
      <w:r>
        <w:t xml:space="preserve"> Una tabla por modelo (</w:t>
      </w:r>
      <w:r>
        <w:rPr>
          <w:rFonts w:ascii="Consolas" w:hAnsi="Consolas"/>
          <w:sz w:val="19"/>
        </w:rPr>
        <w:t>vector(300)</w:t>
      </w:r>
      <w:r>
        <w:t xml:space="preserve"> y </w:t>
      </w:r>
      <w:r>
        <w:rPr>
          <w:rFonts w:ascii="Consolas" w:hAnsi="Consolas"/>
          <w:sz w:val="19"/>
        </w:rPr>
        <w:t>vector(512)</w:t>
      </w:r>
      <w:r>
        <w:t xml:space="preserve">), con índice HNSW </w:t>
      </w:r>
      <w:r>
        <w:rPr>
          <w:rFonts w:ascii="Consolas" w:hAnsi="Consolas"/>
          <w:sz w:val="19"/>
        </w:rPr>
        <w:t>vector_cosine_ops</w:t>
      </w:r>
      <w:r>
        <w:t xml:space="preserve"> porque las consultas usan </w:t>
      </w:r>
      <w:r>
        <w:rPr>
          <w:rFonts w:ascii="Consolas" w:hAnsi="Consolas"/>
          <w:sz w:val="19"/>
        </w:rPr>
        <w:t>&lt;=&gt;</w:t>
      </w:r>
      <w:r>
        <w:t>. Antes de insertar, se descartan los vectores nulos o no finitos y se normalizan. No hubo que descartar ninguno.</w:t>
      </w:r>
    </w:p>
    <w:p>
      <w:pPr>
        <w:pStyle w:val="ListBullet"/>
      </w:pPr>
      <w:r>
        <w:rPr>
          <w:b/>
        </w:rPr>
        <w:t>Evaluación.</w:t>
      </w:r>
      <w:r>
        <w:t xml:space="preserve"> </w:t>
      </w:r>
      <w:r>
        <w:rPr>
          <w:rFonts w:ascii="Consolas" w:hAnsi="Consolas"/>
          <w:sz w:val="19"/>
        </w:rPr>
        <w:t>queries.json</w:t>
      </w:r>
      <w:r>
        <w:t xml:space="preserve"> tiene 14 consultas con sus relevantes elegidos a mano leyendo las sinopsis, antes de correr ningún modelo: 11 léxicas y 3 paráfrasis verificadas por código para que no compartan ningún token con sus relevantes. Medimos precision@5 y @10 contra dos referencias:</w:t>
      </w:r>
    </w:p>
    <w:p>
      <w:pPr>
        <w:pStyle w:val="ListBullet2"/>
      </w:pPr>
      <w:r>
        <w:t>el piso de azar, |relevantes|/N, verificado con 1000 permutaciones;</w:t>
      </w:r>
    </w:p>
    <w:p>
      <w:pPr>
        <w:pStyle w:val="ListBullet2"/>
      </w:pPr>
      <w:r>
        <w:t>el techo, min(|relevantes|, k)/k.</w:t>
      </w:r>
    </w:p>
    <w:p>
      <w:pPr>
        <w:pStyle w:val="Heading2"/>
      </w:pPr>
      <w:r>
        <w:t>2.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precision@5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TF-IDF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W2V propio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W2V SBW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SBERT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Azar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Techo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Todas (14)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0.400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0.143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0.229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0.314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0.032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0.814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Léxicas (11)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0.509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0.182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0.236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0.364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0.035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0.873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Paráfrasis (3)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0.000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0.000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0.200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0.133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0.022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0.600</w:t>
            </w:r>
          </w:p>
        </w:tc>
      </w:tr>
    </w:tbl>
    <w:p>
      <w:r>
        <w:t>En precision@10 el orden se mantiene: TF-IDF 0.243, SBERT 0.221, W2V SBW 0.171, W2V propio 0.107, azar 0.032.</w:t>
      </w:r>
    </w:p>
    <w:p>
      <w:r>
        <w:t>La híbrida (</w:t>
      </w:r>
      <w:r>
        <w:rPr>
          <w:rFonts w:ascii="Consolas" w:hAnsi="Consolas"/>
          <w:sz w:val="19"/>
        </w:rPr>
        <w:t>ts_rank</w:t>
      </w:r>
      <w:r>
        <w:t xml:space="preserve"> + SBERT con RRF) da 0.357 en P@5, por debajo del full-text solo (0.371), y </w:t>
      </w:r>
      <w:r>
        <w:rPr>
          <w:b/>
        </w:rPr>
        <w:t>0.264 en P@10</w:t>
      </w:r>
      <w:r>
        <w:t>, el mejor valor de todos.</w:t>
      </w:r>
    </w:p>
    <w:p>
      <w:r>
        <w:t>La similitud entre pares de documentos al azar es de 0.97 en promedio en el W2V propio y de 0.90 en SBW: en esos espacios todo se parece a todo. En SBERT es 0.28 ± 0.09, el único espacio con dispersión real.</w:t>
      </w:r>
    </w:p>
    <w:p>
      <w:pPr>
        <w:pStyle w:val="Heading2"/>
      </w:pPr>
      <w:r>
        <w:t>3. Discusión</w:t>
      </w:r>
    </w:p>
    <w:p>
      <w:pPr>
        <w:pStyle w:val="Heading3"/>
      </w:pPr>
      <w:r>
        <w:t>3.1 ¿Qué modelo elegiríamos para producción?</w:t>
      </w:r>
    </w:p>
    <w:p>
      <w:r>
        <w:rPr>
          <w:b/>
        </w:rPr>
        <w:t>La búsqueda híbrida: full-text de Postgres + SBERT, fusionados con RRF.</w:t>
      </w:r>
    </w:p>
    <w:p>
      <w:pPr>
        <w:pStyle w:val="ListBullet"/>
      </w:pPr>
      <w:r>
        <w:rPr>
          <w:b/>
        </w:rPr>
        <w:t>Métrica.</w:t>
      </w:r>
      <w:r>
        <w:t xml:space="preserve"> Es la mejor en P@10 (0.264) y la más estable: en P@10 nunca queda por debajo del full-text y de SBERT a la vez. Su límite son las paráfrasis: ahí da 0.067 en P@5, lo mismo que el full-text y la mitad que SBERT solo, porque los primeros puestos del full-text desplazan a los vectoriales.</w:t>
      </w:r>
    </w:p>
    <w:p>
      <w:pPr>
        <w:pStyle w:val="ListBullet"/>
      </w:pPr>
      <w:r>
        <w:rPr>
          <w:b/>
        </w:rPr>
        <w:t>Costo.</w:t>
      </w:r>
      <w:r>
        <w:t xml:space="preserve"> Corre en una CPU. Embeber 150 sinopsis lleva segundos, y el full-text y el índice viven en la misma base, sin servicios extra.</w:t>
      </w:r>
    </w:p>
    <w:p>
      <w:pPr>
        <w:pStyle w:val="ListBullet"/>
      </w:pPr>
      <w:r>
        <w:rPr>
          <w:b/>
        </w:rPr>
        <w:t>Privacidad.</w:t>
      </w:r>
      <w:r>
        <w:t xml:space="preserve"> El modelo corre localmente: ni las consultas ni el catálogo salen a un tercero. Una API comercial de embeddings sí enviaría cada consulta afuera.</w:t>
      </w:r>
    </w:p>
    <w:p>
      <w:pPr>
        <w:pStyle w:val="ListBullet"/>
      </w:pPr>
      <w:r>
        <w:rPr>
          <w:b/>
        </w:rPr>
        <w:t>Reproducibilidad.</w:t>
      </w:r>
      <w:r>
        <w:t xml:space="preserve"> El modelo es abierto y con versión fija, así que el mismo texto da siempre el mismo vector. Con una API, el proveedor puede cambiar o retirar el modelo, y entonces hay que re-embeber toda la base.</w:t>
      </w:r>
    </w:p>
    <w:p>
      <w:pPr>
        <w:pStyle w:val="ListBullet"/>
      </w:pPr>
      <w:r>
        <w:rPr>
          <w:b/>
        </w:rPr>
        <w:t>Dependencia de terceros.</w:t>
      </w:r>
      <w:r>
        <w:t xml:space="preserve"> Solo para descargar el modelo una vez.</w:t>
      </w:r>
    </w:p>
    <w:p>
      <w:r>
        <w:t xml:space="preserve">Descartamos el </w:t>
      </w:r>
      <w:r>
        <w:rPr>
          <w:b/>
        </w:rPr>
        <w:t>Word2Vec propio</w:t>
      </w:r>
      <w:r>
        <w:t xml:space="preserve">: con 150 documentos sus vecinos son coocurrencias y no semántica, y es el peor en promedio en P@5 y en P@10. Si hubiera que elegir </w:t>
      </w:r>
      <w:r>
        <w:rPr>
          <w:b/>
        </w:rPr>
        <w:t>un solo</w:t>
      </w:r>
      <w:r>
        <w:t xml:space="preserve"> método para este catálogo, el full-text o TF-IDF es más barato y rinde más con el tipo de consultas que medimos. Pero eso depende del sesgo que explicamos en 3.2.</w:t>
      </w:r>
    </w:p>
    <w:p>
      <w:pPr>
        <w:pStyle w:val="Heading3"/>
      </w:pPr>
      <w:r>
        <w:t>3.2 ¿Cuánto mejor es que TF-IDF?</w:t>
      </w:r>
    </w:p>
    <w:p>
      <w:r>
        <w:rPr>
          <w:b/>
        </w:rPr>
        <w:t>En promedio no es mejor: es peor.</w:t>
      </w:r>
      <w:r>
        <w:t xml:space="preserve"> SBERT obtiene 0.31 de P@5 contra 0.40 de TF-IDF. Por consulta, TF-IDF le gana en 6, empatan en 6 y pierde en 2.</w:t>
      </w:r>
    </w:p>
    <w:p>
      <w:r>
        <w:rPr>
          <w:b/>
        </w:rPr>
        <w:t>TF-IDF gana</w:t>
      </w:r>
      <w:r>
        <w:t xml:space="preserve"> cuando la consulta nombra términos raros que están literalmente en la sinopsis: "Vietnam" (P@5 = 1.0 contra 0.4), "frente del este" (0.6 contra 0.2), "napoleónicas", "Hernán Cortés". Esos términos tienen IDF alto, mientras que SBERT diluye un nombre propio entre 128 tokens.</w:t>
      </w:r>
    </w:p>
    <w:p>
      <w:r>
        <w:rPr>
          <w:b/>
        </w:rPr>
        <w:t>TF-IDF pierde:</w:t>
      </w:r>
    </w:p>
    <w:p>
      <w:pPr>
        <w:pStyle w:val="ListBullet"/>
      </w:pPr>
      <w:r>
        <w:t xml:space="preserve">en las </w:t>
      </w:r>
      <w:r>
        <w:rPr>
          <w:b/>
        </w:rPr>
        <w:t>paráfrasis</w:t>
      </w:r>
      <w:r>
        <w:t xml:space="preserve"> (0 por construcción). Por ejemplo, "surcando el firmamento a bordo de aeronaves": SBERT recupera </w:t>
      </w:r>
      <w:r>
        <w:rPr>
          <w:i/>
        </w:rPr>
        <w:t>El vuelo del Intruder</w:t>
      </w:r>
      <w:r>
        <w:t xml:space="preserve"> y </w:t>
      </w:r>
      <w:r>
        <w:rPr>
          <w:i/>
        </w:rPr>
        <w:t>Pearl Harbor</w:t>
      </w:r>
      <w:r>
        <w:t xml:space="preserve"> sin compartir ninguna palabra con sus sinopsis;</w:t>
      </w:r>
    </w:p>
    <w:p>
      <w:pPr>
        <w:pStyle w:val="ListBullet"/>
      </w:pPr>
      <w:r>
        <w:t xml:space="preserve">cuando </w:t>
      </w:r>
      <w:r>
        <w:rPr>
          <w:b/>
        </w:rPr>
        <w:t>falta el stemming</w:t>
      </w:r>
      <w:r>
        <w:t>: "submarinos" en plural no coincide con "submarino", y en esa consulta TF-IDF da 0 mientras W2V SBW da 0.4.</w:t>
      </w:r>
    </w:p>
    <w:p>
      <w:r>
        <w:t>Una advertencia: escribimos las consultas léxicas después de leer las sinopsis, así que tomaron su vocabulario, y eso favorece a TF-IDF. Un usuario que no conoce los textos escribiría más parecido a nuestras paráfrasis.</w:t>
      </w:r>
    </w:p>
    <w:p>
      <w:pPr>
        <w:pStyle w:val="Heading3"/>
      </w:pPr>
      <w:r>
        <w:t>3.3 ¿Qué mide y qué no mide precision@k?</w:t>
      </w:r>
    </w:p>
    <w:p>
      <w:r>
        <w:rPr>
          <w:b/>
        </w:rPr>
        <w:t>Mide</w:t>
      </w:r>
      <w:r>
        <w:t xml:space="preserve"> qué fracción de los primeros k resultados el grupo consideró relevante.</w:t>
      </w:r>
    </w:p>
    <w:p>
      <w:r>
        <w:rPr>
          <w:b/>
        </w:rPr>
        <w:t>No mide:</w:t>
      </w:r>
    </w:p>
    <w:p>
      <w:pPr>
        <w:pStyle w:val="ListBullet"/>
      </w:pPr>
      <w:r>
        <w:rPr>
          <w:b/>
        </w:rPr>
        <w:t>el orden</w:t>
      </w:r>
      <w:r>
        <w:t xml:space="preserve"> dentro del top-k;</w:t>
      </w:r>
    </w:p>
    <w:p>
      <w:pPr>
        <w:pStyle w:val="ListBullet"/>
      </w:pPr>
      <w:r>
        <w:rPr>
          <w:b/>
        </w:rPr>
        <w:t>el recall</w:t>
      </w:r>
      <w:r>
        <w:t>: con 2 relevantes, P@10 no puede superar 0.2, por eso reportamos el techo al lado;</w:t>
      </w:r>
    </w:p>
    <w:p>
      <w:pPr>
        <w:pStyle w:val="ListBullet"/>
      </w:pPr>
      <w:r>
        <w:rPr>
          <w:b/>
        </w:rPr>
        <w:t>los relevantes que no marcamos</w:t>
      </w:r>
      <w:r>
        <w:t>: cuentan como error aunque sean pertinentes;</w:t>
      </w:r>
    </w:p>
    <w:p>
      <w:pPr>
        <w:pStyle w:val="ListBullet"/>
      </w:pPr>
      <w:r>
        <w:rPr>
          <w:b/>
        </w:rPr>
        <w:t>la variación del juicio</w:t>
      </w:r>
      <w:r>
        <w:t>: el juicio es binario, de un solo grupo, sobre sinopsis promocionales.</w:t>
      </w:r>
    </w:p>
    <w:p>
      <w:r>
        <w:t xml:space="preserve">Además, </w:t>
      </w:r>
      <w:r>
        <w:rPr>
          <w:b/>
        </w:rPr>
        <w:t>con 14 consultas las diferencias chicas no son concluyentes</w:t>
      </w:r>
      <w:r>
        <w:t>. Los 0.09 que separan a TF-IDF de SBERT equivalen a unos 6 libros relevantes en total. Lo que sí es robusto es que todos superan ampliamente al azar y que el W2V propio es el peor.</w:t>
      </w:r>
    </w:p>
    <w:p>
      <w:pPr>
        <w:pStyle w:val="Heading3"/>
      </w:pPr>
      <w:r>
        <w:t>3.4 Un caso concreto de falla</w:t>
      </w:r>
    </w:p>
    <w:p>
      <w:r>
        <w:rPr>
          <w:b/>
        </w:rPr>
        <w:t>Consulta:</w:t>
      </w:r>
      <w:r>
        <w:t xml:space="preserve"> "novelas sobre la Guerra Civil norteamericana" (5 relevantes). SBERT obtiene P@5 = 0. Devuelve libros de soldados estadounidenses en la Segunda Guerra (</w:t>
      </w:r>
      <w:r>
        <w:rPr>
          <w:i/>
        </w:rPr>
        <w:t>Las aventuras de Wesley Jackson</w:t>
      </w:r>
      <w:r>
        <w:t xml:space="preserve">, </w:t>
      </w:r>
      <w:r>
        <w:rPr>
          <w:i/>
        </w:rPr>
        <w:t>El baile de los malditos</w:t>
      </w:r>
      <w:r>
        <w:t>) y deja al mejor relevante en el puesto 7.</w:t>
      </w:r>
    </w:p>
    <w:p>
      <w:r>
        <w:rPr>
          <w:b/>
        </w:rPr>
        <w:t>Hipótesis.</w:t>
      </w:r>
      <w:r>
        <w:t xml:space="preserve"> El modelo interpreta "norteamericanos en guerra" y no el evento histórico, porque las sinopsis relevantes no usan esa expresión: dicen "Confederación", "confederado", "guerra de Secesión". </w:t>
      </w:r>
      <w:r>
        <w:rPr>
          <w:rFonts w:ascii="Consolas" w:hAnsi="Consolas"/>
          <w:sz w:val="19"/>
        </w:rPr>
        <w:t>distiluse</w:t>
      </w:r>
      <w:r>
        <w:t xml:space="preserve"> es un modelo chico, entrenado para paráfrasis, sin el conocimiento de que esos nombres designan lo mismo. No es un problema de truncado: "Confederación" está en la primera línea.</w:t>
      </w:r>
    </w:p>
    <w:p>
      <w:r>
        <w:rPr>
          <w:b/>
        </w:rPr>
        <w:t>Prueba.</w:t>
      </w:r>
      <w:r>
        <w:t xml:space="preserve"> Reformulamos la consulta como "la guerra de Secesión entre la Confederación y la Unión":</w:t>
      </w:r>
    </w:p>
    <w:p>
      <w:pPr>
        <w:pStyle w:val="ListBullet"/>
      </w:pPr>
      <w:r>
        <w:t xml:space="preserve">las dos novelas que dicen "Confederación" suben a los puestos </w:t>
      </w:r>
      <w:r>
        <w:rPr>
          <w:b/>
        </w:rPr>
        <w:t>1 y 2</w:t>
      </w:r>
      <w:r>
        <w:t xml:space="preserve"> (estaban en el 24 y el 15);</w:t>
      </w:r>
    </w:p>
    <w:p>
      <w:pPr>
        <w:pStyle w:val="ListBullet"/>
      </w:pPr>
      <w:r>
        <w:rPr>
          <w:i/>
        </w:rPr>
        <w:t>Cuentos de la Guerra Civil</w:t>
      </w:r>
      <w:r>
        <w:t xml:space="preserve">, la única que dice "Guerra Civil norteamericana", </w:t>
      </w:r>
      <w:r>
        <w:rPr>
          <w:b/>
        </w:rPr>
        <w:t>cae del 41 al 71</w:t>
      </w:r>
      <w:r>
        <w:t>.</w:t>
      </w:r>
    </w:p>
    <w:p>
      <w:r>
        <w:t>En este caso, cada libro sube cuando la consulta usa las palabras de su propia sinopsis, que es justo la limitación que se esperaba superar.</w:t>
      </w:r>
    </w:p>
    <w:p>
      <w:r>
        <w:t xml:space="preserve">TF-IDF falla por la razón opuesta: "civil" lo lleva a una novela de la Guerra Civil </w:t>
      </w:r>
      <w:r>
        <w:rPr>
          <w:b/>
        </w:rPr>
        <w:t>española</w:t>
      </w:r>
      <w:r>
        <w:t>.</w:t>
      </w:r>
    </w:p>
    <w:p>
      <w:pPr>
        <w:pStyle w:val="Heading2"/>
      </w:pPr>
      <w:r>
        <w:t>4. Conclusiones</w:t>
      </w:r>
    </w:p>
    <w:p>
      <w:r>
        <w:t xml:space="preserve">Un buscador semántico "que devuelve cosas razonables" no es necesariamente mejor que TF-IDF. En nuestro corpus, TF-IDF gana en promedio. Los embeddings ganan en las paráfrasis y cuando a TF-IDF le falta </w:t>
      </w:r>
      <w:r>
        <w:rPr>
          <w:i/>
        </w:rPr>
        <w:t>stemming</w:t>
      </w:r>
      <w:r>
        <w:t>.</w:t>
      </w:r>
    </w:p>
    <w:p>
      <w:r>
        <w:t>La línea de base y el piso de azar fueron imprescindibles para interpretar los números. Lo mismo la distribución de similitudes: mostró que los espacios de Word2Vec no discriminan aunque el ranking "funcione".</w:t>
      </w:r>
    </w:p>
    <w:p>
      <w:r>
        <w:t xml:space="preserve">Como trabajo futuro: usar un conjunto de consultas más grande y escrito por personas que no leyeron las sinopsis, aplicar </w:t>
      </w:r>
      <w:r>
        <w:rPr>
          <w:i/>
        </w:rPr>
        <w:t>chunking</w:t>
      </w:r>
      <w:r>
        <w:t xml:space="preserve"> para el truncado de SBERT y probar un modelo de oración más grande.</w:t>
      </w:r>
    </w:p>
    <w:p>
      <w:pPr>
        <w:pStyle w:val="Heading2"/>
      </w:pPr>
      <w:r>
        <w:t>Uso de asistentes de IA</w:t>
      </w:r>
    </w:p>
    <w:p>
      <w:r>
        <w:t>[COMPLETAR por el grupo: un párrafo que declare para qué se usaron asistentes de IA, según el §9 del enunciado.]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TP2 - Embeddings y búsqueda semántica</dc:title>
  <dc:subject/>
  <dc:creator>Lazarte, Mendoza, Toledo, Romano, Troanes</dc:creator>
  <cp:keywords/>
  <dc:description/>
  <cp:lastModifiedBy>Lazarte, Mendoza, Toledo, Romano, Troanes</cp:lastModifiedBy>
  <cp:revision>1</cp:revision>
  <dcterms:created xsi:type="dcterms:W3CDTF">2013-12-23T23:15:00Z</dcterms:created>
  <dcterms:modified xsi:type="dcterms:W3CDTF">2013-12-23T23:15:00Z</dcterms:modified>
  <cp:category/>
</cp:coreProperties>
</file>