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jc w:val="center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sz w:val="44"/>
          <w:szCs w:val="44"/>
          <w:rtl w:val="0"/>
        </w:rPr>
        <w:t xml:space="preserve">RECEPCIÓN DE MADERA EN 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="360" w:lineRule="auto"/>
        <w:jc w:val="center"/>
        <w:rPr>
          <w:color w:val="38761d"/>
        </w:rPr>
      </w:pPr>
      <w:r w:rsidDel="00000000" w:rsidR="00000000" w:rsidRPr="00000000">
        <w:rPr>
          <w:i w:val="1"/>
          <w:iCs w:val="1"/>
          <w:color w:val="38761d"/>
          <w:rtl w:val="0"/>
        </w:rPr>
        <w:t xml:space="preserve">Guía rápida para operadores de balanza</w:t>
      </w:r>
      <w:r w:rsidDel="00000000" w:rsidR="00000000" w:rsidRPr="00000000">
        <w:rPr>
          <w:rtl w:val="0"/>
        </w:rPr>
      </w:r>
    </w:p>
    <w:sdt>
      <w:sdtPr>
        <w:id w:val="-15342193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Propios — con QR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 de Movilización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Propios — sin QR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Terceros — con QR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Terceros — sin QR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Vuelo Forestal — con QR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 de Movilización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Vuelo Forestal — sin QR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 — manual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 de Movilización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de la guía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especial — Aserrín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Cuándo hacer ingreso manual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Cuándo se anula un ingreso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Para recibir madera usamos el sistema ANI y dos balanzas que pesan el camión solas. Hay tres tipos de ingreso: Propios, Vuelo Forestal y Terceros. Cada uno se puede hacer con QR (rápido) o sin QR (manual).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En esta guía: los campos en verde son los que tú llenas, los en gris son ejemplos del valor que aparece.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Propios — con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Primer paso</w:t>
      </w:r>
      <w:sdt>
        <w:sdtPr>
          <w:id w:val="8126593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seleccionar Tipo de Proveedor → Propios.</w:t>
          </w:r>
        </w:sdtContent>
      </w:sdt>
    </w:p>
    <w:p w:rsidR="00000000" w:rsidDel="00000000" w:rsidP="00000000" w:rsidRDefault="00000000" w:rsidRPr="00000000" w14:paraId="00000029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38150"/>
            <wp:effectExtent b="0" l="0" r="0" t="0"/>
            <wp:docPr descr="image7.png" id="12" name="image5.png"/>
            <a:graphic>
              <a:graphicData uri="http://schemas.openxmlformats.org/drawingml/2006/picture">
                <pic:pic>
                  <pic:nvPicPr>
                    <pic:cNvPr descr="image7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El QR lo genera el área forestal. En la oficina de balanza hay un lector — pasas el QR por ahí y casi todos los campos se llenan solos.</w:t>
      </w:r>
    </w:p>
    <w:p w:rsidR="00000000" w:rsidDel="00000000" w:rsidP="00000000" w:rsidRDefault="00000000" w:rsidRPr="00000000" w14:paraId="0000002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Lo que se llena automáticamente con el QR: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876425"/>
            <wp:effectExtent b="0" l="0" r="0" t="0"/>
            <wp:docPr descr="image19.png" id="15" name="image14.png"/>
            <a:graphic>
              <a:graphicData uri="http://schemas.openxmlformats.org/drawingml/2006/picture">
                <pic:pic>
                  <pic:nvPicPr>
                    <pic:cNvPr descr="image19.png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19663" cy="2357338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3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  <w:t xml:space="preserve">(se llenan automáticamente)</w:t>
      </w:r>
    </w:p>
    <w:p w:rsidR="00000000" w:rsidDel="00000000" w:rsidP="00000000" w:rsidRDefault="00000000" w:rsidRPr="00000000" w14:paraId="0000002F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19375"/>
            <wp:effectExtent b="0" l="0" r="0" t="0"/>
            <wp:docPr descr="image23.png" id="13" name="image9.png"/>
            <a:graphic>
              <a:graphicData uri="http://schemas.openxmlformats.org/drawingml/2006/picture">
                <pic:pic>
                  <pic:nvPicPr>
                    <pic:cNvPr descr="image23.png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Después de escanear, tú llenas los pocos campos que el QR no trae (placa, ubicación, operadores, maquinaria).</w:t>
      </w:r>
    </w:p>
    <w:p w:rsidR="00000000" w:rsidDel="00000000" w:rsidP="00000000" w:rsidRDefault="00000000" w:rsidRPr="00000000" w14:paraId="00000038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Cuando los campos estén listos, 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F4 </w:t>
      </w:r>
      <w:r w:rsidDel="00000000" w:rsidR="00000000" w:rsidRPr="00000000">
        <w:rPr>
          <w:rtl w:val="0"/>
        </w:rPr>
        <w:t xml:space="preserve">. La balanza pasa el peso al sistema. Confirmas con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OK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876425"/>
            <wp:effectExtent b="0" l="0" r="0" t="0"/>
            <wp:docPr descr="image18.png" id="18" name="image11.png"/>
            <a:graphic>
              <a:graphicData uri="http://schemas.openxmlformats.org/drawingml/2006/picture">
                <pic:pic>
                  <pic:nvPicPr>
                    <pic:cNvPr descr="image18.png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3309938"/>
            <wp:effectExtent b="0" l="0" r="0" t="0"/>
            <wp:docPr descr="image11.png" id="17" name="image7.png"/>
            <a:graphic>
              <a:graphicData uri="http://schemas.openxmlformats.org/drawingml/2006/picture">
                <pic:pic>
                  <pic:nvPicPr>
                    <pic:cNvPr descr="image11.png" id="0" name="image7.png"/>
                    <pic:cNvPicPr preferRelativeResize="0"/>
                  </pic:nvPicPr>
                  <pic:blipFill>
                    <a:blip r:embed="rId12"/>
                    <a:srcRect b="3145" l="0" r="-14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bottom w:color="97c459" w:space="4" w:sz="6" w:val="single"/>
        </w:pBdr>
        <w:rPr/>
      </w:pPr>
      <w:r w:rsidDel="00000000" w:rsidR="00000000" w:rsidRPr="00000000">
        <w:rPr>
          <w:rtl w:val="0"/>
        </w:rPr>
        <w:t xml:space="preserve">Licencia de Movilización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  <w:t xml:space="preserve">Escanea el QR de la guía de circulación forestal — por ley toda guía forestal trae QR.</w:t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al escanear: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66800"/>
            <wp:effectExtent b="0" l="0" r="0" t="0"/>
            <wp:docPr descr="image22.png" id="1" name="image10.png"/>
            <a:graphic>
              <a:graphicData uri="http://schemas.openxmlformats.org/drawingml/2006/picture">
                <pic:pic>
                  <pic:nvPicPr>
                    <pic:cNvPr descr="image22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inicio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fin</w:t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(Las dos vienen en la guía.)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00025"/>
            <wp:effectExtent b="0" l="0" r="0" t="0"/>
            <wp:docPr descr="image6.png" id="3" name="image8.png"/>
            <a:graphic>
              <a:graphicData uri="http://schemas.openxmlformats.org/drawingml/2006/picture">
                <pic:pic>
                  <pic:nvPicPr>
                    <pic:cNvPr descr="image6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bottom w:color="97c459" w:space="4" w:sz="6" w:val="single"/>
        </w:pBdr>
        <w:rPr/>
      </w:pPr>
      <w:bookmarkStart w:colFirst="0" w:colLast="0" w:name="_heading=h.4l4rv51d9tqv" w:id="0"/>
      <w:bookmarkEnd w:id="0"/>
      <w:r w:rsidDel="00000000" w:rsidR="00000000" w:rsidRPr="00000000">
        <w:rPr>
          <w:rtl w:val="0"/>
        </w:rPr>
        <w:t xml:space="preserve">Guardar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 para crear el número de entrada. Anota ese número en la guía de madera que devuelves al conductor.</w:t>
      </w:r>
    </w:p>
    <w:p w:rsidR="00000000" w:rsidDel="00000000" w:rsidP="00000000" w:rsidRDefault="00000000" w:rsidRPr="00000000" w14:paraId="00000047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81000"/>
            <wp:effectExtent b="0" l="0" r="0" t="0"/>
            <wp:docPr descr="image13.png" id="22" name="image15.png"/>
            <a:graphic>
              <a:graphicData uri="http://schemas.openxmlformats.org/drawingml/2006/picture">
                <pic:pic>
                  <pic:nvPicPr>
                    <pic:cNvPr descr="image13.png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8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se genera el numero de ingreso automáticamente:</w:t>
      </w:r>
    </w:p>
    <w:p w:rsidR="00000000" w:rsidDel="00000000" w:rsidP="00000000" w:rsidRDefault="00000000" w:rsidRPr="00000000" w14:paraId="0000004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552575"/>
            <wp:effectExtent b="0" l="0" r="0" t="0"/>
            <wp:docPr descr="image14.png" id="4" name="image4.png"/>
            <a:graphic>
              <a:graphicData uri="http://schemas.openxmlformats.org/drawingml/2006/picture">
                <pic:pic>
                  <pic:nvPicPr>
                    <pic:cNvPr descr="image14.png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Propios — sin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Si el QR no sirve o no está, el ingreso lo haces a mano. Llenas tú lo que normalmente traería el QR.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Terceros — con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Seleccione tipo de proveedor “Terceros”: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90550"/>
            <wp:effectExtent b="0" l="0" r="0" t="0"/>
            <wp:docPr descr="image9.png" id="20" name="image6.png"/>
            <a:graphic>
              <a:graphicData uri="http://schemas.openxmlformats.org/drawingml/2006/picture">
                <pic:pic>
                  <pic:nvPicPr>
                    <pic:cNvPr descr="image9.png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Para terceros se escanea el código de barras del proveedor y el resto se llena a mano.</w:t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Placa — llenas tú: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343025"/>
            <wp:effectExtent b="0" l="0" r="0" t="0"/>
            <wp:docPr descr="image16.png" id="21" name="image16.png"/>
            <a:graphic>
              <a:graphicData uri="http://schemas.openxmlformats.org/drawingml/2006/picture">
                <pic:pic>
                  <pic:nvPicPr>
                    <pic:cNvPr descr="image16.png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Código de barras del proveedor — se autocompleta con el qr:</w:t>
      </w:r>
      <w:r w:rsidDel="00000000" w:rsidR="00000000" w:rsidRPr="00000000">
        <w:rPr/>
        <w:drawing>
          <wp:inline distB="0" distT="0" distL="0" distR="0">
            <wp:extent cx="5715000" cy="276225"/>
            <wp:effectExtent b="0" l="0" r="0" t="0"/>
            <wp:docPr descr="image12.png" id="11" name="image1.png"/>
            <a:graphic>
              <a:graphicData uri="http://schemas.openxmlformats.org/drawingml/2006/picture">
                <pic:pic>
                  <pic:nvPicPr>
                    <pic:cNvPr descr="image12.png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Llenar placa: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81025"/>
            <wp:effectExtent b="0" l="0" r="0" t="0"/>
            <wp:docPr descr="image15.png" id="16" name="image12.png"/>
            <a:graphic>
              <a:graphicData uri="http://schemas.openxmlformats.org/drawingml/2006/picture">
                <pic:pic>
                  <pic:nvPicPr>
                    <pic:cNvPr descr="image15.png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>
          <w:b w:val="1"/>
          <w:bCs w:val="1"/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Llenar los siguientes datos manualmente </w:t>
      </w:r>
      <w:r w:rsidDel="00000000" w:rsidR="00000000" w:rsidRPr="00000000">
        <w:rPr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(lo verde llenas manualmente y lo rojo se autorellena):</w:t>
      </w:r>
    </w:p>
    <w:p w:rsidR="00000000" w:rsidDel="00000000" w:rsidP="00000000" w:rsidRDefault="00000000" w:rsidRPr="00000000" w14:paraId="0000005B">
      <w:pPr>
        <w:spacing w:after="60" w:before="60" w:lineRule="auto"/>
        <w:rPr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i w:val="1"/>
          <w:iCs w:val="1"/>
          <w:color w:val="5f5e5a"/>
          <w:sz w:val="20"/>
          <w:szCs w:val="20"/>
        </w:rPr>
        <w:drawing>
          <wp:inline distB="114300" distT="114300" distL="114300" distR="114300">
            <wp:extent cx="5943600" cy="17272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1150" cy="3570740"/>
            <wp:effectExtent b="0" l="0" r="0" t="0"/>
            <wp:docPr descr="image25.png" id="23" name="image23.png"/>
            <a:graphic>
              <a:graphicData uri="http://schemas.openxmlformats.org/drawingml/2006/picture">
                <pic:pic>
                  <pic:nvPicPr>
                    <pic:cNvPr descr="image25.png" id="0" name="image23.png"/>
                    <pic:cNvPicPr preferRelativeResize="0"/>
                  </pic:nvPicPr>
                  <pic:blipFill>
                    <a:blip r:embed="rId22"/>
                    <a:srcRect b="-4059" l="-405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7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F4 </w:t>
      </w:r>
      <w:r w:rsidDel="00000000" w:rsidR="00000000" w:rsidRPr="00000000">
        <w:rPr>
          <w:rtl w:val="0"/>
        </w:rPr>
        <w:t xml:space="preserve"> para que la balanza pase el peso. Verifica primero que el peso de balanza esté en 0.</w:t>
      </w:r>
    </w:p>
    <w:p w:rsidR="00000000" w:rsidDel="00000000" w:rsidP="00000000" w:rsidRDefault="00000000" w:rsidRPr="00000000" w14:paraId="0000005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52988" cy="3122089"/>
            <wp:effectExtent b="0" l="0" r="0" t="0"/>
            <wp:docPr descr="image21.png" id="24" name="image21.png"/>
            <a:graphic>
              <a:graphicData uri="http://schemas.openxmlformats.org/drawingml/2006/picture">
                <pic:pic>
                  <pic:nvPicPr>
                    <pic:cNvPr descr="image21.png"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12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En el campo Observación escribe el aserradero de donde viene la madera (ej. EDINCA).</w:t>
      </w:r>
    </w:p>
    <w:p w:rsidR="00000000" w:rsidDel="00000000" w:rsidP="00000000" w:rsidRDefault="00000000" w:rsidRPr="00000000" w14:paraId="00000061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 para guardar.</w:t>
      </w:r>
    </w:p>
    <w:p w:rsidR="00000000" w:rsidDel="00000000" w:rsidP="00000000" w:rsidRDefault="00000000" w:rsidRPr="00000000" w14:paraId="00000063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72100" cy="590550"/>
            <wp:effectExtent b="0" l="0" r="0" t="0"/>
            <wp:docPr descr="image3.png" id="25" name="image18.png"/>
            <a:graphic>
              <a:graphicData uri="http://schemas.openxmlformats.org/drawingml/2006/picture">
                <pic:pic>
                  <pic:nvPicPr>
                    <pic:cNvPr descr="image3.png"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209675"/>
            <wp:effectExtent b="0" l="0" r="0" t="0"/>
            <wp:docPr descr="image10.png" id="26" name="image19.png"/>
            <a:graphic>
              <a:graphicData uri="http://schemas.openxmlformats.org/drawingml/2006/picture">
                <pic:pic>
                  <pic:nvPicPr>
                    <pic:cNvPr descr="image10.png"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Terceros — sin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  <w:t xml:space="preserve">Si el QR no sirve o no está, el ingreso lo haces a mano. Llenas tú lo que normalmente traería el QR.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Vuelo Forestal — con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Vuelo Forestal es la madera que llega del bosque (programa de aprovechamiento forestal). El camión trae tres documentos: </w:t>
      </w:r>
      <w:r w:rsidDel="00000000" w:rsidR="00000000" w:rsidRPr="00000000">
        <w:rPr>
          <w:b w:val="1"/>
          <w:bCs w:val="1"/>
          <w:rtl w:val="0"/>
        </w:rPr>
        <w:t xml:space="preserve">guía de circulación forestal (con QR obligatorio por ley), guía de madera y guía de remisión.</w:t>
      </w:r>
    </w:p>
    <w:p w:rsidR="00000000" w:rsidDel="00000000" w:rsidP="00000000" w:rsidRDefault="00000000" w:rsidRPr="00000000" w14:paraId="0000006B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id w:val="-19609360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Primer paso: seleccionar Tipo de Proveedor → Vuelo Forestal.</w:t>
          </w:r>
        </w:sdtContent>
      </w:sdt>
    </w:p>
    <w:p w:rsidR="00000000" w:rsidDel="00000000" w:rsidP="00000000" w:rsidRDefault="00000000" w:rsidRPr="00000000" w14:paraId="0000006D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86100" cy="571500"/>
            <wp:effectExtent b="0" l="0" r="0" t="0"/>
            <wp:docPr descr="image1.png" id="27" name="image20.png"/>
            <a:graphic>
              <a:graphicData uri="http://schemas.openxmlformats.org/drawingml/2006/picture">
                <pic:pic>
                  <pic:nvPicPr>
                    <pic:cNvPr descr="image1.png"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  <w:t xml:space="preserve">Pasa el QR del camión por el lector. ANI llena automáticamente: bosque, transporte, cosechador, categoría y especie. Revisa los campos — si algo está mal, lo corriges a mano.</w:t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con el QR: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009900"/>
            <wp:effectExtent b="0" l="0" r="0" t="0"/>
            <wp:docPr descr="image2.png" id="28" name="image22.png"/>
            <a:graphic>
              <a:graphicData uri="http://schemas.openxmlformats.org/drawingml/2006/picture">
                <pic:pic>
                  <pic:nvPicPr>
                    <pic:cNvPr descr="image2.png"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 categoría y certificación se autollenan con el código de ubicación)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entrada</w:t>
      </w:r>
    </w:p>
    <w:p w:rsidR="00000000" w:rsidDel="00000000" w:rsidP="00000000" w:rsidRDefault="00000000" w:rsidRPr="00000000" w14:paraId="00000075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  <w:t xml:space="preserve">Verifica que el peso de balanza esté en 0. 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F4 </w:t>
      </w:r>
      <w:r w:rsidDel="00000000" w:rsidR="00000000" w:rsidRPr="00000000">
        <w:rPr>
          <w:rtl w:val="0"/>
        </w:rPr>
        <w:t xml:space="preserve"> para capturar el peso, confirma con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OK 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F12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28888" cy="3429325"/>
            <wp:effectExtent b="0" l="0" r="0" t="0"/>
            <wp:docPr descr="image24.png" id="29" name="image13.png"/>
            <a:graphic>
              <a:graphicData uri="http://schemas.openxmlformats.org/drawingml/2006/picture">
                <pic:pic>
                  <pic:nvPicPr>
                    <pic:cNvPr descr="image24.png"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34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Movilización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  <w:t xml:space="preserve">Escanea el QR de la guía de circulación forestal — por ley toda guía forestal trae QR.</w:t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al escanear: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66800"/>
            <wp:effectExtent b="0" l="0" r="0" t="0"/>
            <wp:docPr descr="image22.png" id="6" name="image10.png"/>
            <a:graphic>
              <a:graphicData uri="http://schemas.openxmlformats.org/drawingml/2006/picture">
                <pic:pic>
                  <pic:nvPicPr>
                    <pic:cNvPr descr="image22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inicio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fin</w:t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(Las dos vienen en la guía.)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00025"/>
            <wp:effectExtent b="0" l="0" r="0" t="0"/>
            <wp:docPr descr="image6.png" id="7" name="image8.png"/>
            <a:graphic>
              <a:graphicData uri="http://schemas.openxmlformats.org/drawingml/2006/picture">
                <pic:pic>
                  <pic:nvPicPr>
                    <pic:cNvPr descr="image6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 para crear el número de entrada. Anota ese número en la guía de madera que devuelves al conductor.</w:t>
      </w:r>
    </w:p>
    <w:p w:rsidR="00000000" w:rsidDel="00000000" w:rsidP="00000000" w:rsidRDefault="00000000" w:rsidRPr="00000000" w14:paraId="00000083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76800" cy="933450"/>
            <wp:effectExtent b="0" l="0" r="0" t="0"/>
            <wp:docPr descr="image5.png" id="8" name="image2.png"/>
            <a:graphic>
              <a:graphicData uri="http://schemas.openxmlformats.org/drawingml/2006/picture">
                <pic:pic>
                  <pic:nvPicPr>
                    <pic:cNvPr descr="image5.png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838325"/>
            <wp:effectExtent b="0" l="0" r="0" t="0"/>
            <wp:docPr descr="image17.png" id="9" name="image3.png"/>
            <a:graphic>
              <a:graphicData uri="http://schemas.openxmlformats.org/drawingml/2006/picture">
                <pic:pic>
                  <pic:nvPicPr>
                    <pic:cNvPr descr="image17.png"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heading=h.bjsdk98omtz1" w:id="1"/>
      <w:bookmarkEnd w:id="1"/>
      <w:r w:rsidDel="00000000" w:rsidR="00000000" w:rsidRPr="00000000">
        <w:rPr>
          <w:rtl w:val="0"/>
        </w:rPr>
        <w:t xml:space="preserve">Ingresos terceros — sin QR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  <w:t xml:space="preserve">Si el QR no sirve o no está, el ingreso lo haces a mano. Llenas tú lo que normalmente traería el QR.</w:t>
      </w:r>
    </w:p>
    <w:p w:rsidR="00000000" w:rsidDel="00000000" w:rsidP="00000000" w:rsidRDefault="00000000" w:rsidRPr="00000000" w14:paraId="00000089">
      <w:pPr>
        <w:pStyle w:val="Heading1"/>
        <w:spacing w:after="200" w:before="3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Vuelo Forestal — sin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Si el camión llega sin QR, llenas la parte del proveedor a mano. La guía forestal sí se escanea igual porque siempre trae QR por ley.</w:t>
      </w:r>
    </w:p>
    <w:p w:rsidR="00000000" w:rsidDel="00000000" w:rsidP="00000000" w:rsidRDefault="00000000" w:rsidRPr="00000000" w14:paraId="0000008D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 —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Llena estos campos uno por uno: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guía de remisión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proveedor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transporte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mano de obra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Provincia y cantón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material (rolliza o subproducto)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 / sitio de descarga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entrada</w:t>
      </w:r>
    </w:p>
    <w:p w:rsidR="00000000" w:rsidDel="00000000" w:rsidP="00000000" w:rsidRDefault="00000000" w:rsidRPr="00000000" w14:paraId="00000099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sdt>
        <w:sdtPr>
          <w:id w:val="1922560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Balanza en 0 → 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F4 </w:t>
      </w:r>
      <w:sdt>
        <w:sdtPr>
          <w:id w:val="-137544272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OK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28888" cy="3429325"/>
            <wp:effectExtent b="0" l="0" r="0" t="0"/>
            <wp:docPr descr="image24.png" id="10" name="image13.png"/>
            <a:graphic>
              <a:graphicData uri="http://schemas.openxmlformats.org/drawingml/2006/picture">
                <pic:pic>
                  <pic:nvPicPr>
                    <pic:cNvPr descr="image24.png"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34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Movilización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  <w:t xml:space="preserve">Escanea el QR de la guía de circulación forestal — por ley toda guía forestal trae QR.</w:t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al escanear: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66800"/>
            <wp:effectExtent b="0" l="0" r="0" t="0"/>
            <wp:docPr descr="image22.png" id="5" name="image10.png"/>
            <a:graphic>
              <a:graphicData uri="http://schemas.openxmlformats.org/drawingml/2006/picture">
                <pic:pic>
                  <pic:nvPicPr>
                    <pic:cNvPr descr="image22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Fecha inicio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Fecha fin</w:t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(Las dos vienen en la guía.)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76800" cy="933450"/>
            <wp:effectExtent b="0" l="0" r="0" t="0"/>
            <wp:docPr descr="image5.png" id="2" name="image2.png"/>
            <a:graphic>
              <a:graphicData uri="http://schemas.openxmlformats.org/drawingml/2006/picture">
                <pic:pic>
                  <pic:nvPicPr>
                    <pic:cNvPr descr="image5.png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Validación de la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  <w:t xml:space="preserve">ANI revisa solo que la guía no esté duplicada en el sistema. Si la rechaza: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camión debe salir de la balanza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proveedor tiene que mandar una guía nueva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dejes descargar hasta que la guía sea válida</w:t>
      </w:r>
    </w:p>
    <w:p w:rsidR="00000000" w:rsidDel="00000000" w:rsidP="00000000" w:rsidRDefault="00000000" w:rsidRPr="00000000" w14:paraId="000000AE">
      <w:pPr>
        <w:pBdr>
          <w:bottom w:color="bbbbbb" w:space="8" w:sz="12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Caso especial — Aserrín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  <w:t xml:space="preserve">Para serrín, además de la guía, pide al conductor una fotografía del producto antes de registrar.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Cuándo hacer ingreso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  <w:t xml:space="preserve">Cuando el QR falla o la cuenta del proveedor no tiene contrato, llenas todo a mano. Los dos casos son: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  <w:t xml:space="preserve">Importante: si haces un ingreso manual, avisa a supervisores. Lo ideal es que todo ingreso sea por QR.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QR no funciona o tiene datos malos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proveedor no tiene contrato registrado, solo cuenta</w:t>
      </w:r>
    </w:p>
    <w:p w:rsidR="00000000" w:rsidDel="00000000" w:rsidP="00000000" w:rsidRDefault="00000000" w:rsidRPr="00000000" w14:paraId="000000B6">
      <w:pPr>
        <w:pBdr>
          <w:bottom w:color="bbbbbb" w:space="8" w:sz="12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Cuándo se anula un ingreso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precio varió respecto al acuerdo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Hubo error al escribir los datos manuales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ANI no se integró con INFOR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i w:val="1"/>
          <w:iCs w:val="1"/>
          <w:color w:val="5f5e5a"/>
          <w:rtl w:val="0"/>
        </w:rPr>
        <w:t xml:space="preserve">Pendiente: lista de precios para verificación.</w:t>
      </w:r>
      <w:r w:rsidDel="00000000" w:rsidR="00000000" w:rsidRPr="00000000">
        <w:rPr>
          <w:rtl w:val="0"/>
        </w:rPr>
      </w:r>
    </w:p>
    <w:p/>
    <w:p>
      <w:pPr>
        <w:pStyle w:val="Heading2"/>
      </w:pPr>
      <w:r>
        <w:t>Recordatorio para descarga y ruma</w:t>
      </w:r>
    </w:p>
    <w:p>
      <w:r>
        <w:t>Cuando el camión llegue al patio, el operador de la máquina debe elegir bien en qué parte de la ruma descarga.</w:t>
      </w:r>
    </w:p>
    <w:p>
      <w:r>
        <w:t>• Extender la ruma lo más posible hasta llegar al camino, sin bloquear el paso.</w:t>
      </w:r>
    </w:p>
    <w:p>
      <w:r>
        <w:t>• Mantener la ruma hasta 5 m de altura (excepcional 6 m), pareja, recta, simétrica y aireada. Patrón: dos rumas + camino + dos rumas, dejando ~1 m de hueco entre pares.</w:t>
      </w:r>
    </w:p>
    <w:p>
      <w:r>
        <w:t>• Seguir la misma línea de la ruma anterior: debe quedar recta y alineada.</w:t>
      </w:r>
    </w:p>
    <w:p>
      <w:r>
        <w:t>• Si la ruma de al lado quedó baja o corta, terminar de llenarla antes de empezar una nueva.</w:t>
      </w:r>
    </w:p>
    <w:p>
      <w:pPr>
        <w:p>
          <w:pPr>
            <w:pStyle w:val="Heading1"/>
          </w:pPr>
          <w:r>
            <w:t xml:space="preserve">TEST</w:t>
          </w:r>
        </w:p>
        <w:p>
          <w:pPr>
            <w:pStyle w:val="Normal"/>
          </w:pPr>
          <w:r>
            <w:t xml:space="preserve">⚠️ MARCADOR DE PRUEBA DEL AGENT — Este texto debe aparecer al final de TODOS los documentos derivados:</w:t>
          </w:r>
        </w:p>
        <w:p>
          <w:pPr>
            <w:pStyle w:val="Normal"/>
          </w:pPr>
          <w:r>
            <w:t xml:space="preserve">Si ves la palabra TEST al final de cada uno de esos documentos, el agent de sincronización está funcionando correctamente. Este marcador se elimina después de validar el test.</w:t>
          </w:r>
        </w:p>
        <w:p>
          <w:pPr>
            <w:pStyle w:val="Normal"/>
          </w:pPr>
          <w:r>
            <w:t xml:space="preserve">TEST — 2026-06-19 12:25 (-05 ECT)</w:t>
          </w:r>
        </w:p>
        <w:p>
          <w:pPr>
            <w:pStyle w:val="Normal"/>
          </w:pPr>
          <w:r>
            <w:t xml:space="preserve">Este marcador fue añadido en la edición del 2026-06-19 a las 12:25 para verificar que el agent de sincronización propaga cambios reales del maestro a los 4 derivados. Si ves esta línea con el timestamp 2026-06-19 12:25 al final de los siguientes archivos, el sistema funciona:</w:t>
          </w:r>
        </w:p>
        <w:p>
          <w:pPr>
            <w:pStyle w:val="Normal"/>
          </w:pPr>
          <w:r>
            <w:t xml:space="preserve">• html-app/NOVOPNHTML1_files/Screens.jsx</w:t>
          </w:r>
        </w:p>
        <w:p>
          <w:pPr>
            <w:pStyle w:val="Normal"/>
          </w:pPr>
          <w:r>
            <w:t xml:space="preserve">• instructivos/finales/IJP_FINAL_ACTUALIZADO_2026-06-19.docx</w:t>
          </w:r>
        </w:p>
        <w:p>
          <w:pPr>
            <w:pStyle w:val="Normal"/>
          </w:pPr>
          <w:r>
            <w:t xml:space="preserve">• instructivos/finales/RECEPCION_DE_MADERA_guia_v2_ACTUALIZADO_2026-06-19.docx</w:t>
          </w:r>
        </w:p>
        <w:p>
          <w:pPr>
            <w:pStyle w:val="Normal"/>
          </w:pPr>
          <w:r>
            <w:t xml:space="preserve">• instructivos/finales/NOVOPAN_Guia_Recepcion_Madera_FINAL_ESTATICO.html</w:t>
          </w:r>
        </w:p>
        <w:pStyle w:val="Heading1"/>
      </w:pPr>
      <w:r>
        <w:t xml:space="preserve">Historial de cambios</w:t>
      </w:r>
    </w:p>
    <w:p>
      <w:pPr>
        <w:pStyle w:val="Normal"/>
      </w:pPr>
      <w:r>
        <w:t xml:space="preserve">Última actualización: 2026-06-19 12:25 (-05 ECT) — Editor: Manuel Montúfar</w:t>
      </w:r>
    </w:p>
    <w:p>
      <w:pPr>
        <w:pStyle w:val="Normal"/>
      </w:pPr>
      <w:r>
        <w:t xml:space="preserve">Fuente única de verdad: instructivos/finales/CONTENIDO_MAESTRO.md</w:t>
      </w:r>
    </w:p>
    <w:p>
      <w:pPr>
        <w:pStyle w:val="Normal"/>
      </w:pPr>
      <w:r>
        <w:t xml:space="preserve">2026-06-19 12:25 (-05 ECT) — Manuel Montúfar</w:t>
      </w:r>
    </w:p>
    <w:p>
      <w:pPr>
        <w:pStyle w:val="Normal"/>
      </w:pPr>
      <w:r>
        <w:t xml:space="preserve">Marcador TEST de sincronización propagado desde CONTENIDO_MAESTRO.md para verificar que cambios reales del maestro llegan a los documentos derivados.</w:t>
      </w:r>
    </w:p>
    <w:p>
      <w:pPr>
        <w:pStyle w:val="Heading2"/>
      </w:pPr>
      <w:r>
        <w:t xml:space="preserve">2026-06-19 09:53 (-05 ECT) — Manuel Montúfar</w:t>
      </w:r>
    </w:p>
    <w:p>
      <w:pPr>
        <w:pStyle w:val="Normal"/>
      </w:pPr>
      <w:r>
        <w:t xml:space="preserve">Cambios al contenido existente:</w:t>
      </w:r>
    </w:p>
    <w:p>
      <w:pPr>
        <w:pStyle w:val="ListBullet"/>
      </w:pPr>
      <w:r>
        <w:t xml:space="preserve">Altura ruma: 4-5 m → hasta 5 m (excepcional 6 m), patrón dos rumas + camino + dos rumas (~1 m de hueco entre pares).</w:t>
      </w:r>
    </w:p>
    <w:p>
      <w:pPr>
        <w:pStyle w:val="ListBullet"/>
      </w:pPr>
      <w:r>
        <w:t xml:space="preserve">Tiempo análisis muestra rolliza: 20-40 min → 25-40 min.</w:t>
      </w:r>
    </w:p>
    <w:p>
      <w:pPr>
        <w:pStyle w:val="ListBullet"/>
      </w:pPr>
      <w:r>
        <w:t xml:space="preserve">Etiquetado Patio 5: llenar manualmente → recibir etiqueta enviada desde balanza.</w:t>
      </w:r>
    </w:p>
    <w:p>
      <w:pPr>
        <w:pStyle w:val="Normal"/>
      </w:pPr>
      <w:r>
        <w:t xml:space="preserve">Secciones nuevas (texto en docs-finales/CONTENIDO_MAESTRO.md y notas/ADENDA_2026-06-19_contenido-nuevo.md):</w:t>
      </w:r>
    </w:p>
    <w:p>
      <w:pPr>
        <w:pStyle w:val="ListBullet"/>
      </w:pPr>
      <w:r>
        <w:t xml:space="preserve">4.10.1 Humedad: último filtro antes del cierre + procedimiento anulación.</w:t>
      </w:r>
    </w:p>
    <w:p>
      <w:pPr>
        <w:pStyle w:val="ListBullet"/>
      </w:pPr>
      <w:r>
        <w:t xml:space="preserve">4.12.1 Verificación de humedad en salida — Balanza 1 (PS1).</w:t>
      </w:r>
    </w:p>
    <w:p>
      <w:pPr>
        <w:pStyle w:val="ListBullet"/>
      </w:pPr>
      <w:r>
        <w:t xml:space="preserve">4.14.1 Orden de descarga: FIFO con excepción justificada.</w:t>
      </w:r>
    </w:p>
    <w:p>
      <w:pPr>
        <w:pStyle w:val="Normal"/>
      </w:pPr>
      <w:r>
        <w:t xml:space="preserve">Por validar con Daniel Sotalin: punto exacto en ANI donde la humedad bloquea edición; procedimiento detallado de anulación.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340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3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1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4.png"/><Relationship Id="rId3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zRJ8TytH+OUergfGor+wj6xaw==">CgMxLjAaHQoBMBIYChYIB0ISEhBBcmlhbCBVbmljb2RlIE1TGh0KATESGAoWCAdCEhIQQXJpYWwgVW5pY29kZSBNUxodCgEyEhgKFggHQhISEEFyaWFsIFVuaWNvZGUgTVMaHQoBMxIYChYIB0ISEhBBcmlhbCBVbmljb2RlIE1TMg5oLjRsNHJ2NTFkOXRxdjIOaC5ianNkazk4b210ejE4AHIhMUZvYnQ2RmZjY3dYaC1pNHJOMDZHVWtDalBHNWZJNnc2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