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8220"/>
        <w:tblBorders>
          <w:top w:val="none" w:color="FFFFFF" w:sz="0"/>
          <w:left w:val="none" w:color="FFFFFF" w:sz="0"/>
          <w:bottom w:val="none" w:color="FFFFFF" w:sz="0"/>
          <w:right w:val="none" w:color="FFFFFF" w:sz="0"/>
          <w:insideH w:val="none" w:color="FFFFFF" w:sz="0"/>
          <w:insideV w:val="none" w:color="FFFFFF" w:sz="0"/>
        </w:tblBorders>
      </w:tblPr>
      <w:tblGrid>
        <w:gridCol w:w="1400"/>
        <w:gridCol w:w="5420"/>
        <w:gridCol w:w="1400"/>
      </w:tblGrid>
      <w:tr>
        <w:tc>
          <w:tcPr>
            <w:tcW w:type="dxa" w:w="1400"/>
            <w:tcBorders>
              <w:top w:val="none" w:color="FFFFFF" w:sz="0"/>
              <w:left w:val="none" w:color="FFFFFF" w:sz="0"/>
              <w:bottom w:val="none" w:color="FFFFFF" w:sz="0"/>
              <w:right w:val="none" w:color="FFFFFF" w:sz="0"/>
            </w:tcBorders>
          </w:tcPr>
          <w:p>
            <w:pPr>
              <w:jc w:val="left"/>
            </w:pPr>
            <w:r>
              <w:drawing>
                <wp:inline distT="0" distB="0" distL="0" distR="0">
                  <wp:extent cx="723900" cy="752475"/>
                  <wp:effectExtent t="0" r="0" b="0" l="0"/>
                  <wp:docPr id="1" name="logo_uan.png" descr="logo_uan.png" title="logo_u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723900" cy="752475"/>
                          </a:xfrm>
                          <a:prstGeom prst="rect">
                            <a:avLst/>
                          </a:prstGeom>
                        </pic:spPr>
                      </pic:pic>
                    </a:graphicData>
                  </a:graphic>
                </wp:inline>
              </w:drawing>
            </w:r>
          </w:p>
        </w:tc>
        <w:tc>
          <w:tcPr>
            <w:tcW w:type="dxa" w:w="5420"/>
            <w:tcBorders>
              <w:top w:val="none" w:color="FFFFFF" w:sz="0"/>
              <w:left w:val="none" w:color="FFFFFF" w:sz="0"/>
              <w:bottom w:val="none" w:color="FFFFFF" w:sz="0"/>
              <w:right w:val="none" w:color="FFFFFF" w:sz="0"/>
            </w:tcBorders>
          </w:tcPr>
          <w:p>
            <w:pPr>
              <w:spacing w:after="60" w:before="0" w:line="276"/>
              <w:jc w:val="center"/>
            </w:pPr>
            <w:r>
              <w:rPr>
                <w:rFonts w:ascii="Times New Roman" w:cs="Times New Roman" w:eastAsia="Times New Roman" w:hAnsi="Times New Roman"/>
                <w:b/>
                <w:bCs/>
                <w:sz w:val="26"/>
                <w:szCs w:val="26"/>
              </w:rPr>
              <w:t xml:space="preserve">UNIVERSIDADE AGOSTINHO NETO</w:t>
            </w:r>
          </w:p>
          <w:p>
            <w:pPr>
              <w:spacing w:after="120" w:before="0" w:line="276"/>
              <w:jc w:val="center"/>
            </w:pPr>
            <w:r>
              <w:rPr>
                <w:rFonts w:ascii="Times New Roman" w:cs="Times New Roman" w:eastAsia="Times New Roman" w:hAnsi="Times New Roman"/>
                <w:b/>
                <w:bCs/>
                <w:sz w:val="24"/>
                <w:szCs w:val="24"/>
              </w:rPr>
              <w:t xml:space="preserve">FACULDADE DE ENGENHARIA</w:t>
            </w:r>
          </w:p>
        </w:tc>
        <w:tc>
          <w:tcPr>
            <w:tcW w:type="dxa" w:w="1400"/>
            <w:tcBorders>
              <w:top w:val="none" w:color="FFFFFF" w:sz="0"/>
              <w:left w:val="none" w:color="FFFFFF" w:sz="0"/>
              <w:bottom w:val="none" w:color="FFFFFF" w:sz="0"/>
              <w:right w:val="none" w:color="FFFFFF" w:sz="0"/>
            </w:tcBorders>
          </w:tcPr>
          <w:p>
            <w:pPr>
              <w:jc w:val="right"/>
            </w:pPr>
            <w:r>
              <w:drawing>
                <wp:inline distT="0" distB="0" distL="0" distR="0">
                  <wp:extent cx="723900" cy="752475"/>
                  <wp:effectExtent t="0" r="0" b="0" l="0"/>
                  <wp:docPr id="1" name="logo_fe.png" descr="logo_fe.png" title="logo_f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723900" cy="752475"/>
                          </a:xfrm>
                          <a:prstGeom prst="rect">
                            <a:avLst/>
                          </a:prstGeom>
                        </pic:spPr>
                      </pic:pic>
                    </a:graphicData>
                  </a:graphic>
                </wp:inline>
              </w:drawing>
            </w:r>
          </w:p>
        </w:tc>
      </w:tr>
    </w:tbl>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spacing w:after="600" w:before="0" w:line="360"/>
        <w:jc w:val="center"/>
      </w:pPr>
      <w:r>
        <w:rPr>
          <w:rFonts w:ascii="Times New Roman" w:cs="Times New Roman" w:eastAsia="Times New Roman" w:hAnsi="Times New Roman"/>
          <w:b/>
          <w:bCs/>
          <w:sz w:val="28"/>
          <w:szCs w:val="28"/>
        </w:rPr>
        <w:t xml:space="preserve">MONITORAMENTO INTELIGENTE DE AMEAÇAS EM REDES SOCIAIS EM ANGOLA PARA O APOIO À DEFESA E SEGURANÇA NACIONAL</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spacing w:after="60" w:before="0" w:line="276"/>
        <w:jc w:val="center"/>
      </w:pPr>
      <w:r>
        <w:rPr>
          <w:rFonts w:ascii="Times New Roman" w:cs="Times New Roman" w:eastAsia="Times New Roman" w:hAnsi="Times New Roman"/>
          <w:sz w:val="26"/>
          <w:szCs w:val="26"/>
        </w:rPr>
        <w:t xml:space="preserve">Manuel Gonga Muinga</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spacing w:after="0" w:before="0" w:line="276"/>
        <w:jc w:val="center"/>
      </w:pPr>
      <w:r>
        <w:rPr>
          <w:rFonts w:ascii="Times New Roman" w:cs="Times New Roman" w:eastAsia="Times New Roman" w:hAnsi="Times New Roman"/>
          <w:sz w:val="24"/>
          <w:szCs w:val="24"/>
        </w:rPr>
        <w:t xml:space="preserve">Luanda</w:t>
      </w:r>
    </w:p>
    <w:p>
      <w:pPr>
        <w:spacing w:after="120" w:before="0" w:line="276"/>
        <w:jc w:val="center"/>
      </w:pPr>
      <w:r>
        <w:rPr>
          <w:rFonts w:ascii="Times New Roman" w:cs="Times New Roman" w:eastAsia="Times New Roman" w:hAnsi="Times New Roman"/>
          <w:sz w:val="24"/>
          <w:szCs w:val="24"/>
        </w:rPr>
        <w:t xml:space="preserve">2026</w:t>
      </w:r>
    </w:p>
    <w:p>
      <w:pPr>
        <w:sectPr>
          <w:headerReference w:type="default" r:id="rId7"/>
          <w:footerReference w:type="default" r:id="rId8"/>
          <w:pgSz w:w="11906" w:h="16838" w:orient="portrait"/>
          <w:pgMar w:top="1701" w:right="1701" w:bottom="1417" w:left="1984" w:header="850" w:footer="567" w:gutter="0"/>
          <w:pgNumType/>
          <w:docGrid w:linePitch="360"/>
        </w:sectPr>
      </w:pPr>
    </w:p>
    <w:tbl>
      <w:tblPr>
        <w:tblW w:type="dxa" w:w="8220"/>
        <w:tblBorders>
          <w:top w:val="none" w:color="FFFFFF" w:sz="0"/>
          <w:left w:val="none" w:color="FFFFFF" w:sz="0"/>
          <w:bottom w:val="none" w:color="FFFFFF" w:sz="0"/>
          <w:right w:val="none" w:color="FFFFFF" w:sz="0"/>
          <w:insideH w:val="none" w:color="FFFFFF" w:sz="0"/>
          <w:insideV w:val="none" w:color="FFFFFF" w:sz="0"/>
        </w:tblBorders>
      </w:tblPr>
      <w:tblGrid>
        <w:gridCol w:w="1400"/>
        <w:gridCol w:w="5420"/>
        <w:gridCol w:w="1400"/>
      </w:tblGrid>
      <w:tr>
        <w:tc>
          <w:tcPr>
            <w:tcW w:type="dxa" w:w="1400"/>
            <w:tcBorders>
              <w:top w:val="none" w:color="FFFFFF" w:sz="0"/>
              <w:left w:val="none" w:color="FFFFFF" w:sz="0"/>
              <w:bottom w:val="none" w:color="FFFFFF" w:sz="0"/>
              <w:right w:val="none" w:color="FFFFFF" w:sz="0"/>
            </w:tcBorders>
          </w:tcPr>
          <w:p>
            <w:pPr>
              <w:jc w:val="left"/>
            </w:pPr>
            <w:r>
              <w:drawing>
                <wp:inline distT="0" distB="0" distL="0" distR="0">
                  <wp:extent cx="723900" cy="752475"/>
                  <wp:effectExtent t="0" r="0" b="0" l="0"/>
                  <wp:docPr id="1" name="logo_uan.png" descr="logo_uan.png" title="logo_u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723900" cy="752475"/>
                          </a:xfrm>
                          <a:prstGeom prst="rect">
                            <a:avLst/>
                          </a:prstGeom>
                        </pic:spPr>
                      </pic:pic>
                    </a:graphicData>
                  </a:graphic>
                </wp:inline>
              </w:drawing>
            </w:r>
          </w:p>
        </w:tc>
        <w:tc>
          <w:tcPr>
            <w:tcW w:type="dxa" w:w="5420"/>
            <w:tcBorders>
              <w:top w:val="none" w:color="FFFFFF" w:sz="0"/>
              <w:left w:val="none" w:color="FFFFFF" w:sz="0"/>
              <w:bottom w:val="none" w:color="FFFFFF" w:sz="0"/>
              <w:right w:val="none" w:color="FFFFFF" w:sz="0"/>
            </w:tcBorders>
          </w:tcPr>
          <w:p>
            <w:pPr>
              <w:spacing w:after="60" w:before="0" w:line="276"/>
              <w:jc w:val="center"/>
            </w:pPr>
            <w:r>
              <w:rPr>
                <w:rFonts w:ascii="Times New Roman" w:cs="Times New Roman" w:eastAsia="Times New Roman" w:hAnsi="Times New Roman"/>
                <w:b/>
                <w:bCs/>
                <w:sz w:val="26"/>
                <w:szCs w:val="26"/>
              </w:rPr>
              <w:t xml:space="preserve">UNIVERSIDADE AGOSTINHO NETO</w:t>
            </w:r>
          </w:p>
          <w:p>
            <w:pPr>
              <w:spacing w:after="120" w:before="0" w:line="276"/>
              <w:jc w:val="center"/>
            </w:pPr>
            <w:r>
              <w:rPr>
                <w:rFonts w:ascii="Times New Roman" w:cs="Times New Roman" w:eastAsia="Times New Roman" w:hAnsi="Times New Roman"/>
                <w:b/>
                <w:bCs/>
                <w:sz w:val="24"/>
                <w:szCs w:val="24"/>
              </w:rPr>
              <w:t xml:space="preserve">FACULDADE DE ENGENHARIA</w:t>
            </w:r>
          </w:p>
        </w:tc>
        <w:tc>
          <w:tcPr>
            <w:tcW w:type="dxa" w:w="1400"/>
            <w:tcBorders>
              <w:top w:val="none" w:color="FFFFFF" w:sz="0"/>
              <w:left w:val="none" w:color="FFFFFF" w:sz="0"/>
              <w:bottom w:val="none" w:color="FFFFFF" w:sz="0"/>
              <w:right w:val="none" w:color="FFFFFF" w:sz="0"/>
            </w:tcBorders>
          </w:tcPr>
          <w:p>
            <w:pPr>
              <w:jc w:val="right"/>
            </w:pPr>
            <w:r>
              <w:drawing>
                <wp:inline distT="0" distB="0" distL="0" distR="0">
                  <wp:extent cx="723900" cy="752475"/>
                  <wp:effectExtent t="0" r="0" b="0" l="0"/>
                  <wp:docPr id="1" name="logo_fe.png" descr="logo_fe.png" title="logo_f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723900" cy="752475"/>
                          </a:xfrm>
                          <a:prstGeom prst="rect">
                            <a:avLst/>
                          </a:prstGeom>
                        </pic:spPr>
                      </pic:pic>
                    </a:graphicData>
                  </a:graphic>
                </wp:inline>
              </w:drawing>
            </w:r>
          </w:p>
        </w:tc>
      </w:tr>
    </w:tbl>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spacing w:after="480" w:before="0" w:line="360"/>
        <w:jc w:val="center"/>
      </w:pPr>
      <w:r>
        <w:rPr>
          <w:rFonts w:ascii="Times New Roman" w:cs="Times New Roman" w:eastAsia="Times New Roman" w:hAnsi="Times New Roman"/>
          <w:b/>
          <w:bCs/>
          <w:sz w:val="28"/>
          <w:szCs w:val="28"/>
        </w:rPr>
        <w:t xml:space="preserve">MONITORAMENTO INTELIGENTE DE AMEAÇAS EM REDES SOCIAIS EM ANGOLA PARA O APOIO À DEFESA E SEGURANÇA NACIONAL</w:t>
      </w:r>
    </w:p>
    <w:p>
      <w:r>
        <w:rPr>
          <w:rFonts w:ascii="Times New Roman" w:cs="Times New Roman" w:eastAsia="Times New Roman" w:hAnsi="Times New Roman"/>
        </w:rPr>
        <w:t xml:space="preserve"/>
      </w:r>
    </w:p>
    <w:p>
      <w:pPr>
        <w:spacing w:after="480" w:line="240"/>
        <w:ind w:left="4110"/>
        <w:jc w:val="both"/>
      </w:pPr>
      <w:r>
        <w:rPr>
          <w:rFonts w:ascii="Times New Roman" w:cs="Times New Roman" w:eastAsia="Times New Roman" w:hAnsi="Times New Roman"/>
          <w:sz w:val="22"/>
          <w:szCs w:val="22"/>
        </w:rPr>
        <w:t xml:space="preserve">Dissertação submetida à Faculdade de Engenharia da Universidade Agostinho Neto como requisito para obtenção do título de Mestre em </w:t>
      </w:r>
      <w:r>
        <w:rPr>
          <w:rFonts w:ascii="Times New Roman" w:cs="Times New Roman" w:eastAsia="Times New Roman" w:hAnsi="Times New Roman"/>
          <w:b/>
          <w:bCs/>
          <w:sz w:val="22"/>
          <w:szCs w:val="22"/>
        </w:rPr>
        <w:t xml:space="preserve">Engenharia e Ciência de Dados</w:t>
      </w:r>
    </w:p>
    <w:p>
      <w:pPr>
        <w:spacing w:after="40" w:before="0" w:line="276"/>
        <w:jc w:val="center"/>
      </w:pPr>
      <w:r>
        <w:rPr>
          <w:rFonts w:ascii="Times New Roman" w:cs="Times New Roman" w:eastAsia="Times New Roman" w:hAnsi="Times New Roman"/>
          <w:sz w:val="24"/>
          <w:szCs w:val="24"/>
        </w:rPr>
        <w:t xml:space="preserve">Manuel Gonga Muinga</w:t>
      </w:r>
    </w:p>
    <w:p>
      <w:pPr>
        <w:spacing w:after="600" w:before="0" w:line="276"/>
        <w:jc w:val="center"/>
      </w:pPr>
      <w:r>
        <w:rPr>
          <w:rFonts w:ascii="Times New Roman" w:cs="Times New Roman" w:eastAsia="Times New Roman" w:hAnsi="Times New Roman"/>
          <w:sz w:val="22"/>
          <w:szCs w:val="22"/>
        </w:rPr>
        <w:t xml:space="preserve">Engenheiro Electrotécnico</w:t>
      </w:r>
    </w:p>
    <w:p>
      <w:pPr>
        <w:spacing w:after="40" w:line="240"/>
        <w:ind w:left="4110"/>
        <w:jc w:val="both"/>
      </w:pPr>
      <w:r>
        <w:rPr>
          <w:rFonts w:ascii="Times New Roman" w:cs="Times New Roman" w:eastAsia="Times New Roman" w:hAnsi="Times New Roman"/>
          <w:b/>
          <w:bCs/>
          <w:sz w:val="22"/>
          <w:szCs w:val="22"/>
        </w:rPr>
        <w:t xml:space="preserve">Orientador científico:</w:t>
      </w:r>
    </w:p>
    <w:p>
      <w:pPr>
        <w:spacing w:after="240" w:line="240"/>
        <w:ind w:left="4110"/>
        <w:jc w:val="both"/>
      </w:pPr>
      <w:r>
        <w:rPr>
          <w:rFonts w:ascii="Times New Roman" w:cs="Times New Roman" w:eastAsia="Times New Roman" w:hAnsi="Times New Roman"/>
          <w:i/>
          <w:iCs/>
          <w:sz w:val="22"/>
          <w:szCs w:val="22"/>
        </w:rPr>
        <w:t xml:space="preserve">Professor Doutor Joaquim Fortes (UAN)</w:t>
      </w:r>
    </w:p>
    <w:p>
      <w:pPr>
        <w:spacing w:after="40" w:line="240"/>
        <w:ind w:left="4110"/>
        <w:jc w:val="both"/>
      </w:pPr>
      <w:r>
        <w:rPr>
          <w:rFonts w:ascii="Times New Roman" w:cs="Times New Roman" w:eastAsia="Times New Roman" w:hAnsi="Times New Roman"/>
          <w:b/>
          <w:bCs/>
          <w:sz w:val="22"/>
          <w:szCs w:val="22"/>
        </w:rPr>
        <w:t xml:space="preserve">Co-orientador:</w:t>
      </w:r>
    </w:p>
    <w:p>
      <w:pPr>
        <w:spacing w:after="240" w:line="240"/>
        <w:ind w:left="4110"/>
        <w:jc w:val="both"/>
      </w:pPr>
      <w:r>
        <w:rPr>
          <w:rFonts w:ascii="Times New Roman" w:cs="Times New Roman" w:eastAsia="Times New Roman" w:hAnsi="Times New Roman"/>
          <w:i/>
          <w:iCs/>
          <w:sz w:val="22"/>
          <w:szCs w:val="22"/>
        </w:rPr>
        <w:t xml:space="preserve">Professor Doutor Judice Cumbunga (UAN)</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spacing w:after="0" w:before="0" w:line="276"/>
        <w:jc w:val="center"/>
      </w:pPr>
      <w:r>
        <w:rPr>
          <w:rFonts w:ascii="Times New Roman" w:cs="Times New Roman" w:eastAsia="Times New Roman" w:hAnsi="Times New Roman"/>
          <w:sz w:val="24"/>
          <w:szCs w:val="24"/>
        </w:rPr>
        <w:t xml:space="preserve">Luanda</w:t>
      </w:r>
    </w:p>
    <w:p>
      <w:pPr>
        <w:spacing w:after="120" w:before="0" w:line="276"/>
        <w:jc w:val="center"/>
      </w:pPr>
      <w:r>
        <w:rPr>
          <w:rFonts w:ascii="Times New Roman" w:cs="Times New Roman" w:eastAsia="Times New Roman" w:hAnsi="Times New Roman"/>
          <w:sz w:val="24"/>
          <w:szCs w:val="24"/>
        </w:rPr>
        <w:t xml:space="preserve">2026</w:t>
      </w:r>
    </w:p>
    <w:p>
      <w:pPr>
        <w:pStyle w:val="TituloSemIndice"/>
        <w:pageBreakBefore/>
        <w:spacing w:after="480" w:before="567"/>
        <w:jc w:val="center"/>
      </w:pPr>
      <w:r>
        <w:rPr>
          <w:rFonts w:ascii="Times New Roman" w:cs="Times New Roman" w:eastAsia="Times New Roman" w:hAnsi="Times New Roman"/>
          <w:b/>
          <w:bCs/>
          <w:sz w:val="28"/>
          <w:szCs w:val="28"/>
        </w:rPr>
        <w:t xml:space="preserve">FICHA CATALOGRÁFICA</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7000"/>
      </w:tblGrid>
      <w:tr>
        <w:tc>
          <w:tcPr>
            <w:tcW w:type="dxa" w:w="7000"/>
            <w:tcMar>
              <w:top w:type="dxa" w:w="200"/>
              <w:left w:type="dxa" w:w="240"/>
              <w:bottom w:type="dxa" w:w="200"/>
              <w:right w:type="dxa" w:w="240"/>
            </w:tcMar>
          </w:tcPr>
          <w:p>
            <w:pPr>
              <w:spacing w:after="140" w:line="240"/>
              <w:jc w:val="both"/>
            </w:pPr>
            <w:r>
              <w:rPr>
                <w:rFonts w:ascii="Times New Roman" w:cs="Times New Roman" w:eastAsia="Times New Roman" w:hAnsi="Times New Roman"/>
                <w:b/>
                <w:bCs/>
                <w:sz w:val="20"/>
                <w:szCs w:val="20"/>
              </w:rPr>
              <w:t xml:space="preserve">Muinga, M. G.</w:t>
            </w:r>
            <w:r>
              <w:rPr>
                <w:rFonts w:ascii="Times New Roman" w:cs="Times New Roman" w:eastAsia="Times New Roman" w:hAnsi="Times New Roman"/>
                <w:sz w:val="20"/>
                <w:szCs w:val="20"/>
              </w:rPr>
              <w:t xml:space="preserve"> (2026). </w:t>
            </w:r>
            <w:r>
              <w:rPr>
                <w:rFonts w:ascii="Times New Roman" w:cs="Times New Roman" w:eastAsia="Times New Roman" w:hAnsi="Times New Roman"/>
                <w:i/>
                <w:iCs/>
                <w:sz w:val="20"/>
                <w:szCs w:val="20"/>
              </w:rPr>
              <w:t xml:space="preserve">Monitoramento inteligente de ameaças em redes sociais em Angola para o apoio à defesa e segurança nacional</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highlight w:val="yellow"/>
              </w:rPr>
              <w:t xml:space="preserve">[n.º]</w:t>
            </w:r>
            <w:r>
              <w:rPr>
                <w:rFonts w:ascii="Times New Roman" w:cs="Times New Roman" w:eastAsia="Times New Roman" w:hAnsi="Times New Roman"/>
                <w:sz w:val="20"/>
                <w:szCs w:val="20"/>
              </w:rPr>
              <w:t xml:space="preserve"> p.; il.; 30 cm.</w:t>
            </w:r>
          </w:p>
          <w:p>
            <w:pPr>
              <w:spacing w:after="140" w:line="240"/>
              <w:jc w:val="both"/>
            </w:pPr>
            <w:r>
              <w:rPr>
                <w:rFonts w:ascii="Times New Roman" w:cs="Times New Roman" w:eastAsia="Times New Roman" w:hAnsi="Times New Roman"/>
                <w:sz w:val="20"/>
                <w:szCs w:val="20"/>
              </w:rPr>
              <w:t xml:space="preserve">Dissertação de Mestrado em Engenharia e Ciência de Dados (Mecdata), 2024–2026. Universidade Agostinho Neto, Faculdade de Engenharia, Departamento de Engenharia Mecânica.</w:t>
            </w:r>
          </w:p>
          <w:p>
            <w:pPr>
              <w:spacing w:after="140" w:line="240"/>
              <w:jc w:val="both"/>
            </w:pPr>
            <w:r>
              <w:rPr>
                <w:rFonts w:ascii="Times New Roman" w:cs="Times New Roman" w:eastAsia="Times New Roman" w:hAnsi="Times New Roman"/>
                <w:sz w:val="20"/>
                <w:szCs w:val="20"/>
              </w:rPr>
              <w:t xml:space="preserve">Orientador: Professor Doutor Joaquim Fortes. Co-orientador: Professor Doutor Judice Cumbunga.</w:t>
            </w:r>
          </w:p>
          <w:p>
            <w:pPr>
              <w:spacing w:after="140" w:line="240"/>
              <w:jc w:val="both"/>
            </w:pPr>
            <w:r>
              <w:rPr>
                <w:rFonts w:ascii="Times New Roman" w:cs="Times New Roman" w:eastAsia="Times New Roman" w:hAnsi="Times New Roman"/>
                <w:sz w:val="20"/>
                <w:szCs w:val="20"/>
              </w:rPr>
              <w:t xml:space="preserve">Palavras-chave: 1. Redes sociais. 2. Detecção de discurso de ódio. 3. Desinformação. 4. BERTimbau. 5. Processamento de linguagem natural. 6. Segurança nacional.</w:t>
            </w:r>
          </w:p>
        </w:tc>
      </w:tr>
    </w:tbl>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jc w:val="center"/>
      </w:pPr>
      <w:r>
        <w:rPr>
          <w:rFonts w:ascii="Times New Roman" w:cs="Times New Roman" w:eastAsia="Times New Roman" w:hAnsi="Times New Roman"/>
          <w:i/>
          <w:iCs/>
          <w:sz w:val="20"/>
          <w:szCs w:val="20"/>
        </w:rPr>
        <w:t xml:space="preserve">É permitida a reprodução total ou parcial deste documento para fins académicos e não comerciais, desde que citada a fonte.</w:t>
      </w:r>
    </w:p>
    <w:p>
      <w:pPr>
        <w:pStyle w:val="TituloSemIndice"/>
        <w:pageBreakBefore/>
        <w:spacing w:after="480" w:before="567"/>
        <w:jc w:val="center"/>
      </w:pPr>
      <w:r>
        <w:rPr>
          <w:rFonts w:ascii="Times New Roman" w:cs="Times New Roman" w:eastAsia="Times New Roman" w:hAnsi="Times New Roman"/>
          <w:b/>
          <w:bCs/>
          <w:sz w:val="28"/>
          <w:szCs w:val="28"/>
        </w:rPr>
        <w:t xml:space="preserve">EPÍGRAFE</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ind w:left="4110"/>
        <w:jc w:val="right"/>
      </w:pPr>
      <w:r>
        <w:rPr>
          <w:rFonts w:ascii="Times New Roman" w:cs="Times New Roman" w:eastAsia="Times New Roman" w:hAnsi="Times New Roman"/>
          <w:i/>
          <w:iCs/>
          <w:sz w:val="24"/>
          <w:szCs w:val="24"/>
        </w:rPr>
        <w:t xml:space="preserve">"A informação é a moeda do século XXI. Quem a controla, controla o futuro."</w:t>
      </w:r>
    </w:p>
    <w:p>
      <w:pPr>
        <w:ind w:left="4110"/>
        <w:jc w:val="right"/>
      </w:pPr>
      <w:r>
        <w:rPr>
          <w:rFonts w:ascii="Times New Roman" w:cs="Times New Roman" w:eastAsia="Times New Roman" w:hAnsi="Times New Roman"/>
          <w:sz w:val="22"/>
          <w:szCs w:val="22"/>
        </w:rPr>
        <w:t xml:space="preserve">Adaptado de Peter Drucker</w:t>
      </w:r>
    </w:p>
    <w:p>
      <w:pPr>
        <w:pStyle w:val="TituloSemIndice"/>
        <w:pageBreakBefore/>
        <w:spacing w:after="480" w:before="567"/>
        <w:jc w:val="center"/>
      </w:pPr>
      <w:r>
        <w:rPr>
          <w:rFonts w:ascii="Times New Roman" w:cs="Times New Roman" w:eastAsia="Times New Roman" w:hAnsi="Times New Roman"/>
          <w:b/>
          <w:bCs/>
          <w:sz w:val="28"/>
          <w:szCs w:val="28"/>
        </w:rPr>
        <w:t xml:space="preserve">DEDICATÓRIA</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spacing w:line="360"/>
        <w:ind w:left="3402"/>
        <w:jc w:val="both"/>
      </w:pPr>
      <w:r>
        <w:rPr>
          <w:rFonts w:ascii="Times New Roman" w:cs="Times New Roman" w:eastAsia="Times New Roman" w:hAnsi="Times New Roman"/>
          <w:i/>
          <w:iCs/>
          <w:sz w:val="24"/>
          <w:szCs w:val="24"/>
        </w:rPr>
        <w:t xml:space="preserve">À minha querida esposa, Rosalina Muinga, cuja presença ilumina cada etapa da minha vida. Este trabalho é dedicado a ti, pelo amor, pela paciência e pelo apoio incondicional que sempre me ofereceste. A tua força e a tua compreensão foram fundamentais para que eu pudesse chegar até aqui. Que esta conquista seja também o reflexo da nossa caminhada conjunta, marcada pela fé, pela perseverança e pela esperança.</w:t>
      </w:r>
    </w:p>
    <w:p>
      <w:pPr>
        <w:pStyle w:val="TituloSemIndice"/>
        <w:pageBreakBefore/>
        <w:spacing w:after="480" w:before="567"/>
        <w:jc w:val="center"/>
      </w:pPr>
      <w:r>
        <w:rPr>
          <w:rFonts w:ascii="Times New Roman" w:cs="Times New Roman" w:eastAsia="Times New Roman" w:hAnsi="Times New Roman"/>
          <w:b/>
          <w:bCs/>
          <w:sz w:val="28"/>
          <w:szCs w:val="28"/>
        </w:rPr>
        <w:t xml:space="preserve">AGRADECIMENTOS</w:t>
      </w:r>
    </w:p>
    <w:p>
      <w:pPr>
        <w:spacing w:after="120" w:before="0" w:line="360"/>
        <w:ind w:firstLine="567"/>
        <w:jc w:val="both"/>
      </w:pPr>
      <w:r>
        <w:rPr>
          <w:rFonts w:ascii="Times New Roman" w:cs="Times New Roman" w:eastAsia="Times New Roman" w:hAnsi="Times New Roman"/>
          <w:sz w:val="24"/>
          <w:szCs w:val="24"/>
        </w:rPr>
        <w:t xml:space="preserve">Tenho a honra de expressar os meus mais sinceros agradecimentos aos meus orientadores, pela orientação científica, pela disponibilidade e pelo rigor académico que tornaram possível a realização desta dissertação.</w:t>
      </w:r>
    </w:p>
    <w:p>
      <w:pPr>
        <w:spacing w:after="120" w:before="0" w:line="360"/>
        <w:ind w:firstLine="567"/>
        <w:jc w:val="both"/>
      </w:pPr>
      <w:r>
        <w:rPr>
          <w:rFonts w:ascii="Times New Roman" w:cs="Times New Roman" w:eastAsia="Times New Roman" w:hAnsi="Times New Roman"/>
          <w:sz w:val="24"/>
          <w:szCs w:val="24"/>
        </w:rPr>
        <w:t xml:space="preserve">À Universidade Agostinho Neto e à Faculdade de Engenharia, pela sólida formação académica e pelo ambiente científico que proporcionaram ao longo desta jornada.</w:t>
      </w:r>
    </w:p>
    <w:p>
      <w:pPr>
        <w:spacing w:after="120" w:before="0" w:line="360"/>
        <w:ind w:firstLine="567"/>
        <w:jc w:val="both"/>
      </w:pPr>
      <w:r>
        <w:rPr>
          <w:rFonts w:ascii="Times New Roman" w:cs="Times New Roman" w:eastAsia="Times New Roman" w:hAnsi="Times New Roman"/>
          <w:sz w:val="24"/>
          <w:szCs w:val="24"/>
        </w:rPr>
        <w:t xml:space="preserve">À minha família e aos meus amigos, pelo apoio incondicional, pela paciência e pelo encorajamento, que foram fundamentais para superar os desafios e alcançar esta etapa.</w:t>
      </w:r>
    </w:p>
    <w:p>
      <w:pPr>
        <w:spacing w:after="120" w:before="0" w:line="360"/>
        <w:ind w:firstLine="567"/>
        <w:jc w:val="both"/>
      </w:pPr>
      <w:r>
        <w:rPr>
          <w:rFonts w:ascii="Times New Roman" w:cs="Times New Roman" w:eastAsia="Times New Roman" w:hAnsi="Times New Roman"/>
          <w:sz w:val="24"/>
          <w:szCs w:val="24"/>
        </w:rPr>
        <w:t xml:space="preserve">Às Forças Armadas Angolanas, instituição que financiou a minha formação, pelo investimento e pela confiança depositada.</w:t>
      </w:r>
    </w:p>
    <w:p>
      <w:pPr>
        <w:spacing w:after="120" w:before="0" w:line="360"/>
        <w:ind w:firstLine="567"/>
        <w:jc w:val="both"/>
      </w:pPr>
      <w:r>
        <w:rPr>
          <w:rFonts w:ascii="Times New Roman" w:cs="Times New Roman" w:eastAsia="Times New Roman" w:hAnsi="Times New Roman"/>
          <w:sz w:val="24"/>
          <w:szCs w:val="24"/>
        </w:rPr>
        <w:t xml:space="preserve">Ao Comando da Brigada de Forças Especiais, pela confiança, pelo apoio institucional e pelo incentivo constante ao meu desenvolvimento académico e profissional.</w:t>
      </w:r>
    </w:p>
    <w:p>
      <w:pPr>
        <w:spacing w:after="120" w:before="0" w:line="360"/>
        <w:ind w:firstLine="567"/>
        <w:jc w:val="both"/>
      </w:pPr>
      <w:r>
        <w:rPr>
          <w:rFonts w:ascii="Times New Roman" w:cs="Times New Roman" w:eastAsia="Times New Roman" w:hAnsi="Times New Roman"/>
          <w:sz w:val="24"/>
          <w:szCs w:val="24"/>
        </w:rPr>
        <w:t xml:space="preserve">Um agradecimento especial a Sua Excelência Tenente General Tussen, cujo incentivo e motivação foram decisivos para que eu pudesse frequentar este curso e concretizar este trabalho.</w:t>
      </w:r>
    </w:p>
    <w:p>
      <w:pPr>
        <w:spacing w:after="120" w:before="0" w:line="360"/>
        <w:ind w:firstLine="567"/>
        <w:jc w:val="both"/>
      </w:pPr>
      <w:r>
        <w:rPr>
          <w:rFonts w:ascii="Times New Roman" w:cs="Times New Roman" w:eastAsia="Times New Roman" w:hAnsi="Times New Roman"/>
          <w:sz w:val="24"/>
          <w:szCs w:val="24"/>
        </w:rPr>
        <w:t xml:space="preserve">Aos anotadores que classificaram, com paciência e rigor, os comentários do corpus angolano, e aos colegas investigadores e a todos os que, de forma directa ou indirecta, contribuíram para a realização desta dissertação, manifesto a minha profunda gratidão.</w:t>
      </w:r>
    </w:p>
    <w:p>
      <w:pPr>
        <w:pStyle w:val="TituloSemIndice"/>
        <w:pageBreakBefore/>
        <w:spacing w:after="480" w:before="567"/>
        <w:jc w:val="center"/>
      </w:pPr>
      <w:r>
        <w:rPr>
          <w:rFonts w:ascii="Times New Roman" w:cs="Times New Roman" w:eastAsia="Times New Roman" w:hAnsi="Times New Roman"/>
          <w:b/>
          <w:bCs/>
          <w:sz w:val="28"/>
          <w:szCs w:val="28"/>
        </w:rPr>
        <w:t xml:space="preserve">AUTORIZAÇÃO INSTITUCIONAL DO PROJECTO</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spacing w:after="120" w:before="0" w:line="276"/>
        <w:jc w:val="center"/>
      </w:pPr>
      <w:r>
        <w:rPr>
          <w:rFonts w:ascii="Times New Roman" w:cs="Times New Roman" w:eastAsia="Times New Roman" w:hAnsi="Times New Roman"/>
          <w:sz w:val="24"/>
          <w:szCs w:val="24"/>
          <w:highlight w:val="yellow"/>
        </w:rPr>
        <w:t xml:space="preserve">[Inserir aqui o documento de autorização institucional digitalizado.]</w:t>
      </w:r>
    </w:p>
    <w:p>
      <w:pPr>
        <w:pStyle w:val="TituloSemIndice"/>
        <w:pageBreakBefore/>
        <w:spacing w:after="480" w:before="567"/>
        <w:jc w:val="center"/>
      </w:pPr>
      <w:r>
        <w:rPr>
          <w:rFonts w:ascii="Times New Roman" w:cs="Times New Roman" w:eastAsia="Times New Roman" w:hAnsi="Times New Roman"/>
          <w:b/>
          <w:bCs/>
          <w:sz w:val="28"/>
          <w:szCs w:val="28"/>
        </w:rPr>
        <w:t xml:space="preserve">RESUMO</w:t>
      </w:r>
    </w:p>
    <w:p>
      <w:pPr>
        <w:spacing w:after="120" w:before="0" w:line="360"/>
        <w:jc w:val="both"/>
      </w:pPr>
      <w:r>
        <w:rPr>
          <w:rFonts w:ascii="Times New Roman" w:cs="Times New Roman" w:eastAsia="Times New Roman" w:hAnsi="Times New Roman"/>
          <w:sz w:val="24"/>
          <w:szCs w:val="24"/>
        </w:rPr>
        <w:t xml:space="preserve">Em Angola, as redes sociais passaram a ser também um lugar onde a desinformação, o discurso de ódio e os apelos à mobilização hostil circulam ao lado da conversa de todos os dias. Com cerca de 5,5 milhões de identidades activas no final de 2025, há mais publicações do que uma equipa de analistas consegue ler. Esta dissertação desenvolve e avalia um sistema que ajuda a fazer a triagem dessas publicações, pensado para ordenar o trabalho do analista e não para o substituir. Construiu-se um corpus de 2.637 publicações públicas angolanas, na sua maioria comentários do YouTube, anotadas por três anotadores em quatro categorias (Normal, Desinformação, Discurso de Ódio e Mobilização Hostil), com κ de Fleiss de 0,718. Este corpus foi juntado a três corpora públicos do português do Brasil (HateBR, ToLD-BR e Fake.br), num total de 26.859 registos, e serviu para comparar quatro classificadores: SVM, Floresta Aleatória, Bi-LSTM e BERTimbau. No conjunto de teste (n = 3.987), o BERTimbau obteve F1-macro de 0,807 (IC 95% de 0,774 a 0,838), entre 14,6 e 17,4 pontos percentuais acima dos outros modelos (teste de McNemar com correcção de Bonferroni, p &lt; 10</w:t>
      </w:r>
      <w:r>
        <w:rPr>
          <w:rFonts w:ascii="Times New Roman" w:cs="Times New Roman" w:eastAsia="Times New Roman" w:hAnsi="Times New Roman"/>
          <w:sz w:val="24"/>
          <w:szCs w:val="24"/>
          <w:vertAlign w:val="superscript"/>
        </w:rPr>
        <w:t xml:space="preserve">-47</w:t>
      </w:r>
      <w:r>
        <w:rPr>
          <w:rFonts w:ascii="Times New Roman" w:cs="Times New Roman" w:eastAsia="Times New Roman" w:hAnsi="Times New Roman"/>
          <w:sz w:val="24"/>
          <w:szCs w:val="24"/>
        </w:rPr>
        <w:t xml:space="preserve">), enquanto o Bi-LSTM não se distinguiu da Floresta Aleatória. Nas publicações angolanas, porém, o F1-macro do BERTimbau caiu para 0,533, contra 0,919 no corpus público, uma diferença de 38,6 pontos percentuais. A queda foi maior na Desinformação, sinal de que o modelo aprendeu sobretudo o estilo das notícias do Fake.br. Com base nestes resultados, desenvolveu-se uma aplicação web com contas individuais, anonimização à entrada conforme a Lei n.º 22/11, registo de proveniência, auditoria e uma fila de revisão ordenada por prioridade, sem decisões automáticas. Num computador sem GPU, o sistema processou cada publicação em cerca de 0,63 segundos e, gravando as classificações por sublotes, pôs as primeiras publicações na fila em 36 segundos, o que confirma com condições a hipótese sobre o tempo de processamento. A antecedência de detecção não foi testada. Os principais contributos são o corpus angolano anotado, a medida da lacuna de domínio e uma arquitectura reprodutível e de baixo custo para triagem com revisão humana.</w:t>
      </w:r>
    </w:p>
    <w:p>
      <w:pPr>
        <w:spacing w:after="120" w:before="0" w:line="360"/>
        <w:jc w:val="both"/>
      </w:pPr>
      <w:r>
        <w:rPr>
          <w:rFonts w:ascii="Times New Roman" w:cs="Times New Roman" w:eastAsia="Times New Roman" w:hAnsi="Times New Roman"/>
          <w:b/>
          <w:bCs/>
          <w:sz w:val="24"/>
          <w:szCs w:val="24"/>
        </w:rPr>
        <w:t xml:space="preserve">Palavras-chave:</w:t>
      </w:r>
      <w:r>
        <w:rPr>
          <w:rFonts w:ascii="Times New Roman" w:cs="Times New Roman" w:eastAsia="Times New Roman" w:hAnsi="Times New Roman"/>
          <w:sz w:val="24"/>
          <w:szCs w:val="24"/>
        </w:rPr>
        <w:t xml:space="preserve"> Redes sociais. Discurso de ódio. Desinformação. BERTimbau. Adaptação de domínio. Português de Angola. Segurança nacional.</w:t>
      </w:r>
    </w:p>
    <w:p>
      <w:pPr>
        <w:pStyle w:val="TituloSemIndice"/>
        <w:pageBreakBefore/>
        <w:spacing w:after="480" w:before="567"/>
        <w:jc w:val="center"/>
      </w:pPr>
      <w:r>
        <w:rPr>
          <w:rFonts w:ascii="Times New Roman" w:cs="Times New Roman" w:eastAsia="Times New Roman" w:hAnsi="Times New Roman"/>
          <w:b/>
          <w:bCs/>
          <w:sz w:val="28"/>
          <w:szCs w:val="28"/>
        </w:rPr>
        <w:t xml:space="preserve">ABSTRACT</w:t>
      </w:r>
    </w:p>
    <w:p>
      <w:pPr>
        <w:spacing w:after="120" w:before="0" w:line="360"/>
        <w:jc w:val="both"/>
      </w:pPr>
      <w:r>
        <w:rPr>
          <w:rFonts w:ascii="Times New Roman" w:cs="Times New Roman" w:eastAsia="Times New Roman" w:hAnsi="Times New Roman"/>
          <w:sz w:val="24"/>
          <w:szCs w:val="24"/>
        </w:rPr>
        <w:t xml:space="preserve">In Angola, social media have also become a place where disinformation, hate speech and calls for hostile mobilisation circulate alongside everyday conversation. With about 5.5 million active identities at the end of 2025, there are more posts than a team of analysts can read. This dissertation develops and evaluates a system that helps triage these posts, designed to order the analyst's work rather than replace it. A corpus of 2,637 public Angolan posts, mostly YouTube comments, was built and annotated by three annotators into four categories (Normal, Disinformation, Hate Speech and Hostile Mobilisation), with a Fleiss' kappa of 0.718. It was combined with three public Brazilian Portuguese corpora (HateBR, ToLD-BR and Fake.br), for a total of 26,859 records, and used to compare four classifiers: SVM, Random Forest, Bi-LSTM and BERTimbau. On the test set (n = 3,987), BERTimbau reached a macro-F1 of 0.807 (95% CI 0.774 to 0.838), between 14.6 and 17.4 percentage points above the other models (McNemar test with Bonferroni correction, p &lt; 10</w:t>
      </w:r>
      <w:r>
        <w:rPr>
          <w:rFonts w:ascii="Times New Roman" w:cs="Times New Roman" w:eastAsia="Times New Roman" w:hAnsi="Times New Roman"/>
          <w:sz w:val="24"/>
          <w:szCs w:val="24"/>
          <w:vertAlign w:val="superscript"/>
        </w:rPr>
        <w:t xml:space="preserve">-47</w:t>
      </w:r>
      <w:r>
        <w:rPr>
          <w:rFonts w:ascii="Times New Roman" w:cs="Times New Roman" w:eastAsia="Times New Roman" w:hAnsi="Times New Roman"/>
          <w:sz w:val="24"/>
          <w:szCs w:val="24"/>
        </w:rPr>
        <w:t xml:space="preserve">), while the Bi-LSTM did not differ from the Random Forest. On Angolan posts, however, BERTimbau's macro-F1 fell to 0.533, against 0.919 on the public corpus, a gap of 38.6 percentage points. The drop was largest for disinformation, a sign that the model learned mainly the style of the Fake.br news articles. Building on these results, a web application was developed with individual accounts, anonymisation at ingestion in line with Angolan Law No. 22/11, provenance records, auditing and a review queue ordered by priority, with no automatic decisions. On a computer without a GPU, the system processed each post in about 0.63 seconds and, by writing classifications in sub-batches, placed the first posts in the queue within 36 seconds, which conditionally supports the processing-time hypothesis. Early warning was not tested. The main contributions are the annotated Angolan corpus, the measurement of the domain gap and a reproducible, low-cost architecture for human-in-the-loop triage.</w:t>
      </w:r>
    </w:p>
    <w:p>
      <w:pPr>
        <w:spacing w:after="120" w:before="0" w:line="360"/>
        <w:jc w:val="both"/>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Social media. Hate speech. Disinformation. BERTimbau. Domain adaptation. Angolan Portuguese. National security.</w:t>
      </w:r>
    </w:p>
    <w:p>
      <w:pPr>
        <w:pStyle w:val="TituloSemIndice"/>
        <w:pageBreakBefore/>
        <w:spacing w:after="480" w:before="567"/>
        <w:jc w:val="center"/>
      </w:pPr>
      <w:r>
        <w:rPr>
          <w:rFonts w:ascii="Times New Roman" w:cs="Times New Roman" w:eastAsia="Times New Roman" w:hAnsi="Times New Roman"/>
          <w:b/>
          <w:bCs/>
          <w:sz w:val="28"/>
          <w:szCs w:val="28"/>
        </w:rPr>
        <w:t xml:space="preserve">ABREVIATURAS, SIGLAS E SÍMBOLOS</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6420"/>
      </w:tblGrid>
      <w:tr>
        <w:trPr>
          <w:cantSplit/>
          <w:tblHeader/>
        </w:trPr>
        <w:tc>
          <w:tcPr>
            <w:tcW w:type="dxa" w:w="18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20"/>
                <w:szCs w:val="20"/>
              </w:rPr>
              <w:t xml:space="preserve">Sigla ou símbolo</w:t>
            </w:r>
          </w:p>
        </w:tc>
        <w:tc>
          <w:tcPr>
            <w:tcW w:type="dxa" w:w="64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20"/>
                <w:szCs w:val="20"/>
              </w:rPr>
              <w:t xml:space="preserve">Significado</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API</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Interface de programação de aplicações (</w:t>
            </w:r>
            <w:r>
              <w:rPr>
                <w:rFonts w:ascii="Times New Roman" w:cs="Times New Roman" w:eastAsia="Times New Roman" w:hAnsi="Times New Roman"/>
                <w:b w:val="false"/>
                <w:bCs w:val="false"/>
                <w:i/>
                <w:iCs/>
                <w:sz w:val="20"/>
                <w:szCs w:val="20"/>
              </w:rPr>
              <w:t xml:space="preserve">Application Programming Interface</w:t>
            </w:r>
            <w:r>
              <w:rPr>
                <w:rFonts w:ascii="Times New Roman" w:cs="Times New Roman" w:eastAsia="Times New Roman" w:hAnsi="Times New Roman"/>
                <w:b w:val="false"/>
                <w:bCs w:val="false"/>
                <w:sz w:val="20"/>
                <w:szCs w:val="20"/>
              </w:rPr>
              <w:t xml:space="preserve">)</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AUC-ROC</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Área sob a curva ROC (</w:t>
            </w:r>
            <w:r>
              <w:rPr>
                <w:rFonts w:ascii="Times New Roman" w:cs="Times New Roman" w:eastAsia="Times New Roman" w:hAnsi="Times New Roman"/>
                <w:b w:val="false"/>
                <w:bCs w:val="false"/>
                <w:i/>
                <w:iCs/>
                <w:sz w:val="20"/>
                <w:szCs w:val="20"/>
              </w:rPr>
              <w:t xml:space="preserve">Receiver Operating Characteristic</w:t>
            </w:r>
            <w:r>
              <w:rPr>
                <w:rFonts w:ascii="Times New Roman" w:cs="Times New Roman" w:eastAsia="Times New Roman" w:hAnsi="Times New Roman"/>
                <w:b w:val="false"/>
                <w:bCs w:val="false"/>
                <w:sz w:val="20"/>
                <w:szCs w:val="20"/>
              </w:rPr>
              <w:t xml:space="preserve">)</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BERT</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Representações bidireccionais de codificador baseadas em </w:t>
            </w:r>
            <w:r>
              <w:rPr>
                <w:rFonts w:ascii="Times New Roman" w:cs="Times New Roman" w:eastAsia="Times New Roman" w:hAnsi="Times New Roman"/>
                <w:b w:val="false"/>
                <w:bCs w:val="false"/>
                <w:i/>
                <w:iCs/>
                <w:sz w:val="20"/>
                <w:szCs w:val="20"/>
              </w:rPr>
              <w:t xml:space="preserve">Transformers</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Bi-LSTM</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Rede de memória de longo e curto prazo bidireccional</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CPLP</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Comunidade dos Países de Língua Portuguesa</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CRA</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Constituição da República de Angola</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CSV</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Valores separados por vírgulas (formato de ficheiro)</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F1</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Média harmónica entre precisão e sensibilidade</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GPU</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Unidade de processamento gráfico</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HMAC</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Código de autenticação de mensagens baseado em </w:t>
            </w:r>
            <w:r>
              <w:rPr>
                <w:rFonts w:ascii="Times New Roman" w:cs="Times New Roman" w:eastAsia="Times New Roman" w:hAnsi="Times New Roman"/>
                <w:b w:val="false"/>
                <w:bCs w:val="false"/>
                <w:i/>
                <w:iCs/>
                <w:sz w:val="20"/>
                <w:szCs w:val="20"/>
              </w:rPr>
              <w:t xml:space="preserve">hash</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IA</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Inteligência artificial</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IC 95%</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Intervalo de confiança a 95%</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LSTM</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Memória de longo e curto prazo (</w:t>
            </w:r>
            <w:r>
              <w:rPr>
                <w:rFonts w:ascii="Times New Roman" w:cs="Times New Roman" w:eastAsia="Times New Roman" w:hAnsi="Times New Roman"/>
                <w:b w:val="false"/>
                <w:bCs w:val="false"/>
                <w:i/>
                <w:iCs/>
                <w:sz w:val="20"/>
                <w:szCs w:val="20"/>
              </w:rPr>
              <w:t xml:space="preserve">Long Short-Term Memory</w:t>
            </w:r>
            <w:r>
              <w:rPr>
                <w:rFonts w:ascii="Times New Roman" w:cs="Times New Roman" w:eastAsia="Times New Roman" w:hAnsi="Times New Roman"/>
                <w:b w:val="false"/>
                <w:bCs w:val="false"/>
                <w:sz w:val="20"/>
                <w:szCs w:val="20"/>
              </w:rPr>
              <w:t xml:space="preserve">)</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OSINT</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Inteligência de fontes abertas (</w:t>
            </w:r>
            <w:r>
              <w:rPr>
                <w:rFonts w:ascii="Times New Roman" w:cs="Times New Roman" w:eastAsia="Times New Roman" w:hAnsi="Times New Roman"/>
                <w:b w:val="false"/>
                <w:bCs w:val="false"/>
                <w:i/>
                <w:iCs/>
                <w:sz w:val="20"/>
                <w:szCs w:val="20"/>
              </w:rPr>
              <w:t xml:space="preserve">Open Source Intelligence</w:t>
            </w:r>
            <w:r>
              <w:rPr>
                <w:rFonts w:ascii="Times New Roman" w:cs="Times New Roman" w:eastAsia="Times New Roman" w:hAnsi="Times New Roman"/>
                <w:b w:val="false"/>
                <w:bCs w:val="false"/>
                <w:sz w:val="20"/>
                <w:szCs w:val="20"/>
              </w:rPr>
              <w:t xml:space="preserve">)</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p.p.</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Pontos percentuais</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PLN</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Processamento de linguagem natural</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SHA-256</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Algoritmo de </w:t>
            </w:r>
            <w:r>
              <w:rPr>
                <w:rFonts w:ascii="Times New Roman" w:cs="Times New Roman" w:eastAsia="Times New Roman" w:hAnsi="Times New Roman"/>
                <w:b w:val="false"/>
                <w:bCs w:val="false"/>
                <w:i/>
                <w:iCs/>
                <w:sz w:val="20"/>
                <w:szCs w:val="20"/>
              </w:rPr>
              <w:t xml:space="preserve">hash</w:t>
            </w:r>
            <w:r>
              <w:rPr>
                <w:rFonts w:ascii="Times New Roman" w:cs="Times New Roman" w:eastAsia="Times New Roman" w:hAnsi="Times New Roman"/>
                <w:b w:val="false"/>
                <w:bCs w:val="false"/>
                <w:sz w:val="20"/>
                <w:szCs w:val="20"/>
              </w:rPr>
              <w:t xml:space="preserve"> seguro de 256 bits</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SMOTE</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Técnica de sobreamostragem sintética de minorias</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SQL</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Linguagem de consulta estruturada</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SVM</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Máquina de vectores de suporte (</w:t>
            </w:r>
            <w:r>
              <w:rPr>
                <w:rFonts w:ascii="Times New Roman" w:cs="Times New Roman" w:eastAsia="Times New Roman" w:hAnsi="Times New Roman"/>
                <w:b w:val="false"/>
                <w:bCs w:val="false"/>
                <w:i/>
                <w:iCs/>
                <w:sz w:val="20"/>
                <w:szCs w:val="20"/>
              </w:rPr>
              <w:t xml:space="preserve">Support Vector Machine</w:t>
            </w:r>
            <w:r>
              <w:rPr>
                <w:rFonts w:ascii="Times New Roman" w:cs="Times New Roman" w:eastAsia="Times New Roman" w:hAnsi="Times New Roman"/>
                <w:b w:val="false"/>
                <w:bCs w:val="false"/>
                <w:sz w:val="20"/>
                <w:szCs w:val="20"/>
              </w:rPr>
              <w:t xml:space="preserve">)</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TF-IDF</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Frequência do termo × inverso da frequência nos documentos</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UAN</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Universidade Agostinho Neto</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UML</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Linguagem de modelação unificada</w:t>
            </w:r>
          </w:p>
        </w:tc>
      </w:tr>
      <w:tr>
        <w:trPr>
          <w:cantSplit/>
          <w:tblHeader w:val="false"/>
        </w:trPr>
        <w:tc>
          <w:tcPr>
            <w:tcW w:type="dxa" w:w="18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κ</w:t>
            </w:r>
          </w:p>
        </w:tc>
        <w:tc>
          <w:tcPr>
            <w:tcW w:type="dxa" w:w="64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Coeficiente Kappa (de Cohen ou de Fleiss)</w:t>
            </w:r>
          </w:p>
        </w:tc>
      </w:tr>
    </w:tbl>
    <w:p>
      <w:pPr>
        <w:pStyle w:val="TituloSemIndice"/>
        <w:pageBreakBefore/>
        <w:spacing w:after="480" w:before="567"/>
        <w:jc w:val="center"/>
      </w:pPr>
      <w:r>
        <w:rPr>
          <w:rFonts w:ascii="Times New Roman" w:cs="Times New Roman" w:eastAsia="Times New Roman" w:hAnsi="Times New Roman"/>
          <w:b/>
          <w:bCs/>
          <w:sz w:val="28"/>
          <w:szCs w:val="28"/>
        </w:rPr>
        <w:t xml:space="preserve">ÍNDICE</w:t>
      </w:r>
    </w:p>
    <w:sdt>
      <w:sdtPr>
        <w:alias w:val="Índice"/>
      </w:sdtPr>
      <w:sdtContent>
        <w:p>
          <w:r>
            <w:fldChar w:fldCharType="begin"/>
            <w:instrText xml:space="preserve">TOC \h \o "1-3"</w:instrText>
            <w:fldChar w:fldCharType="separate"/>
          </w:r>
        </w:p>
        <w:p>
          <w:pPr>
            <w:tabs>
              <w:tab w:val="right" w:leader="dot" w:pos="8221"/>
            </w:tabs>
            <w:spacing w:before="60" w:after="60" w:line="276" w:lineRule="auto"/>
            <w:ind w:left="0" w:right="560" w:hanging="0"/>
            <w:jc w:val="left"/>
          </w:pPr>
          <w:r>
            <w:rPr>
              <w:rFonts w:ascii="Times New Roman" w:hAnsi="Times New Roman" w:cs="Times New Roman"/>
              <w:b/>
              <w:bCs/>
              <w:sz w:val="24"/>
              <w:szCs w:val="24"/>
            </w:rPr>
            <w:t xml:space="preserve">CAPÍTULO 1 – INTRODUÇÃO</w:t>
          </w:r>
          <w:r>
            <w:rPr>
              <w:rFonts w:ascii="Times New Roman" w:hAnsi="Times New Roman" w:cs="Times New Roman"/>
              <w:sz w:val="24"/>
              <w:szCs w:val="24"/>
            </w:rPr>
            <w:tab/>
          </w:r>
          <w:r>
            <w:rPr>
              <w:rFonts w:ascii="Times New Roman" w:hAnsi="Times New Roman" w:cs="Times New Roman"/>
              <w:sz w:val="24"/>
              <w:szCs w:val="24"/>
            </w:rPr>
            <w:t>1</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1.1 Contextualização</w:t>
          </w:r>
          <w:r>
            <w:rPr>
              <w:rFonts w:ascii="Times New Roman" w:hAnsi="Times New Roman" w:cs="Times New Roman"/>
              <w:sz w:val="24"/>
              <w:szCs w:val="24"/>
            </w:rPr>
            <w:tab/>
          </w:r>
          <w:r>
            <w:rPr>
              <w:rFonts w:ascii="Times New Roman" w:hAnsi="Times New Roman" w:cs="Times New Roman"/>
              <w:sz w:val="24"/>
              <w:szCs w:val="24"/>
            </w:rPr>
            <w:t>1</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1.2 Problema de investigação</w:t>
          </w:r>
          <w:r>
            <w:rPr>
              <w:rFonts w:ascii="Times New Roman" w:hAnsi="Times New Roman" w:cs="Times New Roman"/>
              <w:sz w:val="24"/>
              <w:szCs w:val="24"/>
            </w:rPr>
            <w:tab/>
          </w:r>
          <w:r>
            <w:rPr>
              <w:rFonts w:ascii="Times New Roman" w:hAnsi="Times New Roman" w:cs="Times New Roman"/>
              <w:sz w:val="24"/>
              <w:szCs w:val="24"/>
            </w:rPr>
            <w:t>2</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1.3 Hipóteses de investigação</w:t>
          </w:r>
          <w:r>
            <w:rPr>
              <w:rFonts w:ascii="Times New Roman" w:hAnsi="Times New Roman" w:cs="Times New Roman"/>
              <w:sz w:val="24"/>
              <w:szCs w:val="24"/>
            </w:rPr>
            <w:tab/>
          </w:r>
          <w:r>
            <w:rPr>
              <w:rFonts w:ascii="Times New Roman" w:hAnsi="Times New Roman" w:cs="Times New Roman"/>
              <w:sz w:val="24"/>
              <w:szCs w:val="24"/>
            </w:rPr>
            <w:t>2</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1.4 Objectivos</w:t>
          </w:r>
          <w:r>
            <w:rPr>
              <w:rFonts w:ascii="Times New Roman" w:hAnsi="Times New Roman" w:cs="Times New Roman"/>
              <w:sz w:val="24"/>
              <w:szCs w:val="24"/>
            </w:rPr>
            <w:tab/>
          </w:r>
          <w:r>
            <w:rPr>
              <w:rFonts w:ascii="Times New Roman" w:hAnsi="Times New Roman" w:cs="Times New Roman"/>
              <w:sz w:val="24"/>
              <w:szCs w:val="24"/>
            </w:rPr>
            <w:t>3</w:t>
          </w:r>
        </w:p>
        <w:p>
          <w:pPr>
            <w:tabs>
              <w:tab w:val="right" w:leader="dot" w:pos="8221"/>
            </w:tabs>
            <w:spacing w:before="0" w:after="60" w:line="276" w:lineRule="auto"/>
            <w:ind w:left="800" w:right="560" w:hanging="0"/>
            <w:jc w:val="left"/>
          </w:pPr>
          <w:r>
            <w:rPr>
              <w:rFonts w:ascii="Times New Roman" w:hAnsi="Times New Roman" w:cs="Times New Roman"/>
              <w:sz w:val="24"/>
              <w:szCs w:val="24"/>
            </w:rPr>
            <w:t xml:space="preserve">1.4.1 Objectivo geral</w:t>
          </w:r>
          <w:r>
            <w:rPr>
              <w:rFonts w:ascii="Times New Roman" w:hAnsi="Times New Roman" w:cs="Times New Roman"/>
              <w:sz w:val="24"/>
              <w:szCs w:val="24"/>
            </w:rPr>
            <w:tab/>
          </w:r>
          <w:r>
            <w:rPr>
              <w:rFonts w:ascii="Times New Roman" w:hAnsi="Times New Roman" w:cs="Times New Roman"/>
              <w:sz w:val="24"/>
              <w:szCs w:val="24"/>
            </w:rPr>
            <w:t>3</w:t>
          </w:r>
        </w:p>
        <w:p>
          <w:pPr>
            <w:tabs>
              <w:tab w:val="right" w:leader="dot" w:pos="8221"/>
            </w:tabs>
            <w:spacing w:before="0" w:after="60" w:line="276" w:lineRule="auto"/>
            <w:ind w:left="800" w:right="560" w:hanging="0"/>
            <w:jc w:val="left"/>
          </w:pPr>
          <w:r>
            <w:rPr>
              <w:rFonts w:ascii="Times New Roman" w:hAnsi="Times New Roman" w:cs="Times New Roman"/>
              <w:sz w:val="24"/>
              <w:szCs w:val="24"/>
            </w:rPr>
            <w:t xml:space="preserve">1.4.2 Objectivos específicos</w:t>
          </w:r>
          <w:r>
            <w:rPr>
              <w:rFonts w:ascii="Times New Roman" w:hAnsi="Times New Roman" w:cs="Times New Roman"/>
              <w:sz w:val="24"/>
              <w:szCs w:val="24"/>
            </w:rPr>
            <w:tab/>
          </w:r>
          <w:r>
            <w:rPr>
              <w:rFonts w:ascii="Times New Roman" w:hAnsi="Times New Roman" w:cs="Times New Roman"/>
              <w:sz w:val="24"/>
              <w:szCs w:val="24"/>
            </w:rPr>
            <w:t>3</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1.5 Justificação e relevância</w:t>
          </w:r>
          <w:r>
            <w:rPr>
              <w:rFonts w:ascii="Times New Roman" w:hAnsi="Times New Roman" w:cs="Times New Roman"/>
              <w:sz w:val="24"/>
              <w:szCs w:val="24"/>
            </w:rPr>
            <w:tab/>
          </w:r>
          <w:r>
            <w:rPr>
              <w:rFonts w:ascii="Times New Roman" w:hAnsi="Times New Roman" w:cs="Times New Roman"/>
              <w:sz w:val="24"/>
              <w:szCs w:val="24"/>
            </w:rPr>
            <w:t>4</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1.6 Delimitação do estudo</w:t>
          </w:r>
          <w:r>
            <w:rPr>
              <w:rFonts w:ascii="Times New Roman" w:hAnsi="Times New Roman" w:cs="Times New Roman"/>
              <w:sz w:val="24"/>
              <w:szCs w:val="24"/>
            </w:rPr>
            <w:tab/>
          </w:r>
          <w:r>
            <w:rPr>
              <w:rFonts w:ascii="Times New Roman" w:hAnsi="Times New Roman" w:cs="Times New Roman"/>
              <w:sz w:val="24"/>
              <w:szCs w:val="24"/>
            </w:rPr>
            <w:t>4</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1.7 Estrutura da dissertação</w:t>
          </w:r>
          <w:r>
            <w:rPr>
              <w:rFonts w:ascii="Times New Roman" w:hAnsi="Times New Roman" w:cs="Times New Roman"/>
              <w:sz w:val="24"/>
              <w:szCs w:val="24"/>
            </w:rPr>
            <w:tab/>
          </w:r>
          <w:r>
            <w:rPr>
              <w:rFonts w:ascii="Times New Roman" w:hAnsi="Times New Roman" w:cs="Times New Roman"/>
              <w:sz w:val="24"/>
              <w:szCs w:val="24"/>
            </w:rPr>
            <w:t>5</w:t>
          </w:r>
        </w:p>
        <w:p>
          <w:pPr>
            <w:tabs>
              <w:tab w:val="right" w:leader="dot" w:pos="8221"/>
            </w:tabs>
            <w:spacing w:before="60" w:after="60" w:line="276" w:lineRule="auto"/>
            <w:ind w:left="0" w:right="560" w:hanging="0"/>
            <w:jc w:val="left"/>
          </w:pPr>
          <w:r>
            <w:rPr>
              <w:rFonts w:ascii="Times New Roman" w:hAnsi="Times New Roman" w:cs="Times New Roman"/>
              <w:b/>
              <w:bCs/>
              <w:sz w:val="24"/>
              <w:szCs w:val="24"/>
            </w:rPr>
            <w:t xml:space="preserve">CAPÍTULO 2 – REVISÃO DA LITERATURA</w:t>
          </w:r>
          <w:r>
            <w:rPr>
              <w:rFonts w:ascii="Times New Roman" w:hAnsi="Times New Roman" w:cs="Times New Roman"/>
              <w:sz w:val="24"/>
              <w:szCs w:val="24"/>
            </w:rPr>
            <w:tab/>
          </w:r>
          <w:r>
            <w:rPr>
              <w:rFonts w:ascii="Times New Roman" w:hAnsi="Times New Roman" w:cs="Times New Roman"/>
              <w:sz w:val="24"/>
              <w:szCs w:val="24"/>
            </w:rPr>
            <w:t>6</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2.1 Redes sociais: conceito, evolução e dimensão securitária</w:t>
          </w:r>
          <w:r>
            <w:rPr>
              <w:rFonts w:ascii="Times New Roman" w:hAnsi="Times New Roman" w:cs="Times New Roman"/>
              <w:sz w:val="24"/>
              <w:szCs w:val="24"/>
            </w:rPr>
            <w:tab/>
          </w:r>
          <w:r>
            <w:rPr>
              <w:rFonts w:ascii="Times New Roman" w:hAnsi="Times New Roman" w:cs="Times New Roman"/>
              <w:sz w:val="24"/>
              <w:szCs w:val="24"/>
            </w:rPr>
            <w:t>6</w:t>
          </w:r>
        </w:p>
        <w:p>
          <w:pPr>
            <w:tabs>
              <w:tab w:val="right" w:leader="dot" w:pos="8221"/>
            </w:tabs>
            <w:spacing w:before="0" w:after="60" w:line="276" w:lineRule="auto"/>
            <w:ind w:left="800" w:right="560" w:hanging="0"/>
            <w:jc w:val="left"/>
          </w:pPr>
          <w:r>
            <w:rPr>
              <w:rFonts w:ascii="Times New Roman" w:hAnsi="Times New Roman" w:cs="Times New Roman"/>
              <w:sz w:val="24"/>
              <w:szCs w:val="24"/>
            </w:rPr>
            <w:t xml:space="preserve">2.1.1 Conceito e evolução</w:t>
          </w:r>
          <w:r>
            <w:rPr>
              <w:rFonts w:ascii="Times New Roman" w:hAnsi="Times New Roman" w:cs="Times New Roman"/>
              <w:sz w:val="24"/>
              <w:szCs w:val="24"/>
            </w:rPr>
            <w:tab/>
          </w:r>
          <w:r>
            <w:rPr>
              <w:rFonts w:ascii="Times New Roman" w:hAnsi="Times New Roman" w:cs="Times New Roman"/>
              <w:sz w:val="24"/>
              <w:szCs w:val="24"/>
            </w:rPr>
            <w:t>6</w:t>
          </w:r>
        </w:p>
        <w:p>
          <w:pPr>
            <w:tabs>
              <w:tab w:val="right" w:leader="dot" w:pos="8221"/>
            </w:tabs>
            <w:spacing w:before="0" w:after="60" w:line="276" w:lineRule="auto"/>
            <w:ind w:left="800" w:right="560" w:hanging="0"/>
            <w:jc w:val="left"/>
          </w:pPr>
          <w:r>
            <w:rPr>
              <w:rFonts w:ascii="Times New Roman" w:hAnsi="Times New Roman" w:cs="Times New Roman"/>
              <w:sz w:val="24"/>
              <w:szCs w:val="24"/>
            </w:rPr>
            <w:t xml:space="preserve">2.1.2 O ecossistema digital angolano</w:t>
          </w:r>
          <w:r>
            <w:rPr>
              <w:rFonts w:ascii="Times New Roman" w:hAnsi="Times New Roman" w:cs="Times New Roman"/>
              <w:sz w:val="24"/>
              <w:szCs w:val="24"/>
            </w:rPr>
            <w:tab/>
          </w:r>
          <w:r>
            <w:rPr>
              <w:rFonts w:ascii="Times New Roman" w:hAnsi="Times New Roman" w:cs="Times New Roman"/>
              <w:sz w:val="24"/>
              <w:szCs w:val="24"/>
            </w:rPr>
            <w:t>6</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2.2 Categorias de ameaças digitais</w:t>
          </w:r>
          <w:r>
            <w:rPr>
              <w:rFonts w:ascii="Times New Roman" w:hAnsi="Times New Roman" w:cs="Times New Roman"/>
              <w:sz w:val="24"/>
              <w:szCs w:val="24"/>
            </w:rPr>
            <w:tab/>
          </w:r>
          <w:r>
            <w:rPr>
              <w:rFonts w:ascii="Times New Roman" w:hAnsi="Times New Roman" w:cs="Times New Roman"/>
              <w:sz w:val="24"/>
              <w:szCs w:val="24"/>
            </w:rPr>
            <w:t>7</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2.3 Sistemas de monitorização de ameaças</w:t>
          </w:r>
          <w:r>
            <w:rPr>
              <w:rFonts w:ascii="Times New Roman" w:hAnsi="Times New Roman" w:cs="Times New Roman"/>
              <w:sz w:val="24"/>
              <w:szCs w:val="24"/>
            </w:rPr>
            <w:tab/>
          </w:r>
          <w:r>
            <w:rPr>
              <w:rFonts w:ascii="Times New Roman" w:hAnsi="Times New Roman" w:cs="Times New Roman"/>
              <w:sz w:val="24"/>
              <w:szCs w:val="24"/>
            </w:rPr>
            <w:t>8</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2.4 Recursos e modelos de linguagem para o português</w:t>
          </w:r>
          <w:r>
            <w:rPr>
              <w:rFonts w:ascii="Times New Roman" w:hAnsi="Times New Roman" w:cs="Times New Roman"/>
              <w:sz w:val="24"/>
              <w:szCs w:val="24"/>
            </w:rPr>
            <w:tab/>
          </w:r>
          <w:r>
            <w:rPr>
              <w:rFonts w:ascii="Times New Roman" w:hAnsi="Times New Roman" w:cs="Times New Roman"/>
              <w:sz w:val="24"/>
              <w:szCs w:val="24"/>
            </w:rPr>
            <w:t>9</w:t>
          </w:r>
        </w:p>
        <w:p>
          <w:pPr>
            <w:tabs>
              <w:tab w:val="right" w:leader="dot" w:pos="8221"/>
            </w:tabs>
            <w:spacing w:before="0" w:after="60" w:line="276" w:lineRule="auto"/>
            <w:ind w:left="800" w:right="560" w:hanging="0"/>
            <w:jc w:val="left"/>
          </w:pPr>
          <w:r>
            <w:rPr>
              <w:rFonts w:ascii="Times New Roman" w:hAnsi="Times New Roman" w:cs="Times New Roman"/>
              <w:sz w:val="24"/>
              <w:szCs w:val="24"/>
            </w:rPr>
            <w:t xml:space="preserve">2.4.1 Corpora anotados</w:t>
          </w:r>
          <w:r>
            <w:rPr>
              <w:rFonts w:ascii="Times New Roman" w:hAnsi="Times New Roman" w:cs="Times New Roman"/>
              <w:sz w:val="24"/>
              <w:szCs w:val="24"/>
            </w:rPr>
            <w:tab/>
          </w:r>
          <w:r>
            <w:rPr>
              <w:rFonts w:ascii="Times New Roman" w:hAnsi="Times New Roman" w:cs="Times New Roman"/>
              <w:sz w:val="24"/>
              <w:szCs w:val="24"/>
            </w:rPr>
            <w:t>9</w:t>
          </w:r>
        </w:p>
        <w:p>
          <w:pPr>
            <w:tabs>
              <w:tab w:val="right" w:leader="dot" w:pos="8221"/>
            </w:tabs>
            <w:spacing w:before="0" w:after="60" w:line="276" w:lineRule="auto"/>
            <w:ind w:left="800" w:right="560" w:hanging="0"/>
            <w:jc w:val="left"/>
          </w:pPr>
          <w:r>
            <w:rPr>
              <w:rFonts w:ascii="Times New Roman" w:hAnsi="Times New Roman" w:cs="Times New Roman"/>
              <w:sz w:val="24"/>
              <w:szCs w:val="24"/>
            </w:rPr>
            <w:t xml:space="preserve">2.4.2 Modelos de linguagem</w:t>
          </w:r>
          <w:r>
            <w:rPr>
              <w:rFonts w:ascii="Times New Roman" w:hAnsi="Times New Roman" w:cs="Times New Roman"/>
              <w:sz w:val="24"/>
              <w:szCs w:val="24"/>
            </w:rPr>
            <w:tab/>
          </w:r>
          <w:r>
            <w:rPr>
              <w:rFonts w:ascii="Times New Roman" w:hAnsi="Times New Roman" w:cs="Times New Roman"/>
              <w:sz w:val="24"/>
              <w:szCs w:val="24"/>
            </w:rPr>
            <w:t>9</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2.5 Algoritmos de classificação de texto</w:t>
          </w:r>
          <w:r>
            <w:rPr>
              <w:rFonts w:ascii="Times New Roman" w:hAnsi="Times New Roman" w:cs="Times New Roman"/>
              <w:sz w:val="24"/>
              <w:szCs w:val="24"/>
            </w:rPr>
            <w:tab/>
          </w:r>
          <w:r>
            <w:rPr>
              <w:rFonts w:ascii="Times New Roman" w:hAnsi="Times New Roman" w:cs="Times New Roman"/>
              <w:sz w:val="24"/>
              <w:szCs w:val="24"/>
            </w:rPr>
            <w:t>10</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2.6 Avaliação de classificadores</w:t>
          </w:r>
          <w:r>
            <w:rPr>
              <w:rFonts w:ascii="Times New Roman" w:hAnsi="Times New Roman" w:cs="Times New Roman"/>
              <w:sz w:val="24"/>
              <w:szCs w:val="24"/>
            </w:rPr>
            <w:tab/>
          </w:r>
          <w:r>
            <w:rPr>
              <w:rFonts w:ascii="Times New Roman" w:hAnsi="Times New Roman" w:cs="Times New Roman"/>
              <w:sz w:val="24"/>
              <w:szCs w:val="24"/>
            </w:rPr>
            <w:t>11</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2.7 Generalização entre domínios e aprendizagem de atalhos</w:t>
          </w:r>
          <w:r>
            <w:rPr>
              <w:rFonts w:ascii="Times New Roman" w:hAnsi="Times New Roman" w:cs="Times New Roman"/>
              <w:sz w:val="24"/>
              <w:szCs w:val="24"/>
            </w:rPr>
            <w:tab/>
          </w:r>
          <w:r>
            <w:rPr>
              <w:rFonts w:ascii="Times New Roman" w:hAnsi="Times New Roman" w:cs="Times New Roman"/>
              <w:sz w:val="24"/>
              <w:szCs w:val="24"/>
            </w:rPr>
            <w:t>11</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2.8 Aspectos éticos, legais e de direitos humanos</w:t>
          </w:r>
          <w:r>
            <w:rPr>
              <w:rFonts w:ascii="Times New Roman" w:hAnsi="Times New Roman" w:cs="Times New Roman"/>
              <w:sz w:val="24"/>
              <w:szCs w:val="24"/>
            </w:rPr>
            <w:tab/>
          </w:r>
          <w:r>
            <w:rPr>
              <w:rFonts w:ascii="Times New Roman" w:hAnsi="Times New Roman" w:cs="Times New Roman"/>
              <w:sz w:val="24"/>
              <w:szCs w:val="24"/>
            </w:rPr>
            <w:t>12</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2.9 Síntese e lacuna de investigação</w:t>
          </w:r>
          <w:r>
            <w:rPr>
              <w:rFonts w:ascii="Times New Roman" w:hAnsi="Times New Roman" w:cs="Times New Roman"/>
              <w:sz w:val="24"/>
              <w:szCs w:val="24"/>
            </w:rPr>
            <w:tab/>
          </w:r>
          <w:r>
            <w:rPr>
              <w:rFonts w:ascii="Times New Roman" w:hAnsi="Times New Roman" w:cs="Times New Roman"/>
              <w:sz w:val="24"/>
              <w:szCs w:val="24"/>
            </w:rPr>
            <w:t>13</w:t>
          </w:r>
        </w:p>
        <w:p>
          <w:pPr>
            <w:tabs>
              <w:tab w:val="right" w:leader="dot" w:pos="8221"/>
            </w:tabs>
            <w:spacing w:before="60" w:after="60" w:line="276" w:lineRule="auto"/>
            <w:ind w:left="0" w:right="560" w:hanging="0"/>
            <w:jc w:val="left"/>
          </w:pPr>
          <w:r>
            <w:rPr>
              <w:rFonts w:ascii="Times New Roman" w:hAnsi="Times New Roman" w:cs="Times New Roman"/>
              <w:b/>
              <w:bCs/>
              <w:sz w:val="24"/>
              <w:szCs w:val="24"/>
            </w:rPr>
            <w:t xml:space="preserve">CAPÍTULO 3 – METODOLOGIA</w:t>
          </w:r>
          <w:r>
            <w:rPr>
              <w:rFonts w:ascii="Times New Roman" w:hAnsi="Times New Roman" w:cs="Times New Roman"/>
              <w:sz w:val="24"/>
              <w:szCs w:val="24"/>
            </w:rPr>
            <w:tab/>
          </w:r>
          <w:r>
            <w:rPr>
              <w:rFonts w:ascii="Times New Roman" w:hAnsi="Times New Roman" w:cs="Times New Roman"/>
              <w:sz w:val="24"/>
              <w:szCs w:val="24"/>
            </w:rPr>
            <w:t>14</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3.1 Paradigma e desenho da investigação</w:t>
          </w:r>
          <w:r>
            <w:rPr>
              <w:rFonts w:ascii="Times New Roman" w:hAnsi="Times New Roman" w:cs="Times New Roman"/>
              <w:sz w:val="24"/>
              <w:szCs w:val="24"/>
            </w:rPr>
            <w:tab/>
          </w:r>
          <w:r>
            <w:rPr>
              <w:rFonts w:ascii="Times New Roman" w:hAnsi="Times New Roman" w:cs="Times New Roman"/>
              <w:sz w:val="24"/>
              <w:szCs w:val="24"/>
            </w:rPr>
            <w:t>14</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3.2 Considerações éticas e protecção de dados</w:t>
          </w:r>
          <w:r>
            <w:rPr>
              <w:rFonts w:ascii="Times New Roman" w:hAnsi="Times New Roman" w:cs="Times New Roman"/>
              <w:sz w:val="24"/>
              <w:szCs w:val="24"/>
            </w:rPr>
            <w:tab/>
          </w:r>
          <w:r>
            <w:rPr>
              <w:rFonts w:ascii="Times New Roman" w:hAnsi="Times New Roman" w:cs="Times New Roman"/>
              <w:sz w:val="24"/>
              <w:szCs w:val="24"/>
            </w:rPr>
            <w:t>15</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3.3 Recolha de dados do piloto angolano</w:t>
          </w:r>
          <w:r>
            <w:rPr>
              <w:rFonts w:ascii="Times New Roman" w:hAnsi="Times New Roman" w:cs="Times New Roman"/>
              <w:sz w:val="24"/>
              <w:szCs w:val="24"/>
            </w:rPr>
            <w:tab/>
          </w:r>
          <w:r>
            <w:rPr>
              <w:rFonts w:ascii="Times New Roman" w:hAnsi="Times New Roman" w:cs="Times New Roman"/>
              <w:sz w:val="24"/>
              <w:szCs w:val="24"/>
            </w:rPr>
            <w:t>16</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3.4 Anotação e acordo entre anotadores</w:t>
          </w:r>
          <w:r>
            <w:rPr>
              <w:rFonts w:ascii="Times New Roman" w:hAnsi="Times New Roman" w:cs="Times New Roman"/>
              <w:sz w:val="24"/>
              <w:szCs w:val="24"/>
            </w:rPr>
            <w:tab/>
          </w:r>
          <w:r>
            <w:rPr>
              <w:rFonts w:ascii="Times New Roman" w:hAnsi="Times New Roman" w:cs="Times New Roman"/>
              <w:sz w:val="24"/>
              <w:szCs w:val="24"/>
            </w:rPr>
            <w:t>17</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3.5 Construção do corpus híbrido</w:t>
          </w:r>
          <w:r>
            <w:rPr>
              <w:rFonts w:ascii="Times New Roman" w:hAnsi="Times New Roman" w:cs="Times New Roman"/>
              <w:sz w:val="24"/>
              <w:szCs w:val="24"/>
            </w:rPr>
            <w:tab/>
          </w:r>
          <w:r>
            <w:rPr>
              <w:rFonts w:ascii="Times New Roman" w:hAnsi="Times New Roman" w:cs="Times New Roman"/>
              <w:sz w:val="24"/>
              <w:szCs w:val="24"/>
            </w:rPr>
            <w:t>18</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3.6 Modelos e treino</w:t>
          </w:r>
          <w:r>
            <w:rPr>
              <w:rFonts w:ascii="Times New Roman" w:hAnsi="Times New Roman" w:cs="Times New Roman"/>
              <w:sz w:val="24"/>
              <w:szCs w:val="24"/>
            </w:rPr>
            <w:tab/>
          </w:r>
          <w:r>
            <w:rPr>
              <w:rFonts w:ascii="Times New Roman" w:hAnsi="Times New Roman" w:cs="Times New Roman"/>
              <w:sz w:val="24"/>
              <w:szCs w:val="24"/>
            </w:rPr>
            <w:t>19</w:t>
          </w:r>
        </w:p>
        <w:p>
          <w:pPr>
            <w:tabs>
              <w:tab w:val="right" w:leader="dot" w:pos="8221"/>
            </w:tabs>
            <w:spacing w:before="0" w:after="60" w:line="276" w:lineRule="auto"/>
            <w:ind w:left="800" w:right="560" w:hanging="0"/>
            <w:jc w:val="left"/>
          </w:pPr>
          <w:r>
            <w:rPr>
              <w:rFonts w:ascii="Times New Roman" w:hAnsi="Times New Roman" w:cs="Times New Roman"/>
              <w:sz w:val="24"/>
              <w:szCs w:val="24"/>
            </w:rPr>
            <w:t xml:space="preserve">3.6.1 Pré-processamento e representação</w:t>
          </w:r>
          <w:r>
            <w:rPr>
              <w:rFonts w:ascii="Times New Roman" w:hAnsi="Times New Roman" w:cs="Times New Roman"/>
              <w:sz w:val="24"/>
              <w:szCs w:val="24"/>
            </w:rPr>
            <w:tab/>
          </w:r>
          <w:r>
            <w:rPr>
              <w:rFonts w:ascii="Times New Roman" w:hAnsi="Times New Roman" w:cs="Times New Roman"/>
              <w:sz w:val="24"/>
              <w:szCs w:val="24"/>
            </w:rPr>
            <w:t>19</w:t>
          </w:r>
        </w:p>
        <w:p>
          <w:pPr>
            <w:tabs>
              <w:tab w:val="right" w:leader="dot" w:pos="8221"/>
            </w:tabs>
            <w:spacing w:before="0" w:after="60" w:line="276" w:lineRule="auto"/>
            <w:ind w:left="800" w:right="560" w:hanging="0"/>
            <w:jc w:val="left"/>
          </w:pPr>
          <w:r>
            <w:rPr>
              <w:rFonts w:ascii="Times New Roman" w:hAnsi="Times New Roman" w:cs="Times New Roman"/>
              <w:sz w:val="24"/>
              <w:szCs w:val="24"/>
            </w:rPr>
            <w:t xml:space="preserve">3.6.2 Configuração dos modelos</w:t>
          </w:r>
          <w:r>
            <w:rPr>
              <w:rFonts w:ascii="Times New Roman" w:hAnsi="Times New Roman" w:cs="Times New Roman"/>
              <w:sz w:val="24"/>
              <w:szCs w:val="24"/>
            </w:rPr>
            <w:tab/>
          </w:r>
          <w:r>
            <w:rPr>
              <w:rFonts w:ascii="Times New Roman" w:hAnsi="Times New Roman" w:cs="Times New Roman"/>
              <w:sz w:val="24"/>
              <w:szCs w:val="24"/>
            </w:rPr>
            <w:t>19</w:t>
          </w:r>
        </w:p>
        <w:p>
          <w:pPr>
            <w:tabs>
              <w:tab w:val="right" w:leader="dot" w:pos="8221"/>
            </w:tabs>
            <w:spacing w:before="0" w:after="60" w:line="276" w:lineRule="auto"/>
            <w:ind w:left="800" w:right="560" w:hanging="0"/>
            <w:jc w:val="left"/>
          </w:pPr>
          <w:r>
            <w:rPr>
              <w:rFonts w:ascii="Times New Roman" w:hAnsi="Times New Roman" w:cs="Times New Roman"/>
              <w:sz w:val="24"/>
              <w:szCs w:val="24"/>
            </w:rPr>
            <w:t xml:space="preserve">3.6.3 Ambiente de desenvolvimento</w:t>
          </w:r>
          <w:r>
            <w:rPr>
              <w:rFonts w:ascii="Times New Roman" w:hAnsi="Times New Roman" w:cs="Times New Roman"/>
              <w:sz w:val="24"/>
              <w:szCs w:val="24"/>
            </w:rPr>
            <w:tab/>
          </w:r>
          <w:r>
            <w:rPr>
              <w:rFonts w:ascii="Times New Roman" w:hAnsi="Times New Roman" w:cs="Times New Roman"/>
              <w:sz w:val="24"/>
              <w:szCs w:val="24"/>
            </w:rPr>
            <w:t>20</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3.7 Protocolo de avaliação</w:t>
          </w:r>
          <w:r>
            <w:rPr>
              <w:rFonts w:ascii="Times New Roman" w:hAnsi="Times New Roman" w:cs="Times New Roman"/>
              <w:sz w:val="24"/>
              <w:szCs w:val="24"/>
            </w:rPr>
            <w:tab/>
          </w:r>
          <w:r>
            <w:rPr>
              <w:rFonts w:ascii="Times New Roman" w:hAnsi="Times New Roman" w:cs="Times New Roman"/>
              <w:sz w:val="24"/>
              <w:szCs w:val="24"/>
            </w:rPr>
            <w:t>20</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3.8 Arquitectura do sistema</w:t>
          </w:r>
          <w:r>
            <w:rPr>
              <w:rFonts w:ascii="Times New Roman" w:hAnsi="Times New Roman" w:cs="Times New Roman"/>
              <w:sz w:val="24"/>
              <w:szCs w:val="24"/>
            </w:rPr>
            <w:tab/>
          </w:r>
          <w:r>
            <w:rPr>
              <w:rFonts w:ascii="Times New Roman" w:hAnsi="Times New Roman" w:cs="Times New Roman"/>
              <w:sz w:val="24"/>
              <w:szCs w:val="24"/>
            </w:rPr>
            <w:t>21</w:t>
          </w:r>
        </w:p>
        <w:p>
          <w:pPr>
            <w:tabs>
              <w:tab w:val="right" w:leader="dot" w:pos="8221"/>
            </w:tabs>
            <w:spacing w:before="0" w:after="60" w:line="276" w:lineRule="auto"/>
            <w:ind w:left="800" w:right="560" w:hanging="0"/>
            <w:jc w:val="left"/>
          </w:pPr>
          <w:r>
            <w:rPr>
              <w:rFonts w:ascii="Times New Roman" w:hAnsi="Times New Roman" w:cs="Times New Roman"/>
              <w:sz w:val="24"/>
              <w:szCs w:val="24"/>
            </w:rPr>
            <w:t xml:space="preserve">3.8.1 Requisitos</w:t>
          </w:r>
          <w:r>
            <w:rPr>
              <w:rFonts w:ascii="Times New Roman" w:hAnsi="Times New Roman" w:cs="Times New Roman"/>
              <w:sz w:val="24"/>
              <w:szCs w:val="24"/>
            </w:rPr>
            <w:tab/>
          </w:r>
          <w:r>
            <w:rPr>
              <w:rFonts w:ascii="Times New Roman" w:hAnsi="Times New Roman" w:cs="Times New Roman"/>
              <w:sz w:val="24"/>
              <w:szCs w:val="24"/>
            </w:rPr>
            <w:t>21</w:t>
          </w:r>
        </w:p>
        <w:p>
          <w:pPr>
            <w:tabs>
              <w:tab w:val="right" w:leader="dot" w:pos="8221"/>
            </w:tabs>
            <w:spacing w:before="0" w:after="60" w:line="276" w:lineRule="auto"/>
            <w:ind w:left="800" w:right="560" w:hanging="0"/>
            <w:jc w:val="left"/>
          </w:pPr>
          <w:r>
            <w:rPr>
              <w:rFonts w:ascii="Times New Roman" w:hAnsi="Times New Roman" w:cs="Times New Roman"/>
              <w:sz w:val="24"/>
              <w:szCs w:val="24"/>
            </w:rPr>
            <w:t xml:space="preserve">3.8.2 Alternativas e decisão</w:t>
          </w:r>
          <w:r>
            <w:rPr>
              <w:rFonts w:ascii="Times New Roman" w:hAnsi="Times New Roman" w:cs="Times New Roman"/>
              <w:sz w:val="24"/>
              <w:szCs w:val="24"/>
            </w:rPr>
            <w:tab/>
          </w:r>
          <w:r>
            <w:rPr>
              <w:rFonts w:ascii="Times New Roman" w:hAnsi="Times New Roman" w:cs="Times New Roman"/>
              <w:sz w:val="24"/>
              <w:szCs w:val="24"/>
            </w:rPr>
            <w:t>21</w:t>
          </w:r>
        </w:p>
        <w:p>
          <w:pPr>
            <w:tabs>
              <w:tab w:val="right" w:leader="dot" w:pos="8221"/>
            </w:tabs>
            <w:spacing w:before="0" w:after="60" w:line="276" w:lineRule="auto"/>
            <w:ind w:left="800" w:right="560" w:hanging="0"/>
            <w:jc w:val="left"/>
          </w:pPr>
          <w:r>
            <w:rPr>
              <w:rFonts w:ascii="Times New Roman" w:hAnsi="Times New Roman" w:cs="Times New Roman"/>
              <w:sz w:val="24"/>
              <w:szCs w:val="24"/>
            </w:rPr>
            <w:t xml:space="preserve">3.8.3 Camadas e componentes</w:t>
          </w:r>
          <w:r>
            <w:rPr>
              <w:rFonts w:ascii="Times New Roman" w:hAnsi="Times New Roman" w:cs="Times New Roman"/>
              <w:sz w:val="24"/>
              <w:szCs w:val="24"/>
            </w:rPr>
            <w:tab/>
          </w:r>
          <w:r>
            <w:rPr>
              <w:rFonts w:ascii="Times New Roman" w:hAnsi="Times New Roman" w:cs="Times New Roman"/>
              <w:sz w:val="24"/>
              <w:szCs w:val="24"/>
            </w:rPr>
            <w:t>22</w:t>
          </w:r>
        </w:p>
        <w:p>
          <w:pPr>
            <w:tabs>
              <w:tab w:val="right" w:leader="dot" w:pos="8221"/>
            </w:tabs>
            <w:spacing w:before="0" w:after="60" w:line="276" w:lineRule="auto"/>
            <w:ind w:left="800" w:right="560" w:hanging="0"/>
            <w:jc w:val="left"/>
          </w:pPr>
          <w:r>
            <w:rPr>
              <w:rFonts w:ascii="Times New Roman" w:hAnsi="Times New Roman" w:cs="Times New Roman"/>
              <w:sz w:val="24"/>
              <w:szCs w:val="24"/>
            </w:rPr>
            <w:t xml:space="preserve">3.8.4 Casos de uso e fluxo de processamento</w:t>
          </w:r>
          <w:r>
            <w:rPr>
              <w:rFonts w:ascii="Times New Roman" w:hAnsi="Times New Roman" w:cs="Times New Roman"/>
              <w:sz w:val="24"/>
              <w:szCs w:val="24"/>
            </w:rPr>
            <w:tab/>
          </w:r>
          <w:r>
            <w:rPr>
              <w:rFonts w:ascii="Times New Roman" w:hAnsi="Times New Roman" w:cs="Times New Roman"/>
              <w:sz w:val="24"/>
              <w:szCs w:val="24"/>
            </w:rPr>
            <w:t>24</w:t>
          </w:r>
        </w:p>
        <w:p>
          <w:pPr>
            <w:tabs>
              <w:tab w:val="right" w:leader="dot" w:pos="8221"/>
            </w:tabs>
            <w:spacing w:before="0" w:after="60" w:line="276" w:lineRule="auto"/>
            <w:ind w:left="800" w:right="560" w:hanging="0"/>
            <w:jc w:val="left"/>
          </w:pPr>
          <w:r>
            <w:rPr>
              <w:rFonts w:ascii="Times New Roman" w:hAnsi="Times New Roman" w:cs="Times New Roman"/>
              <w:sz w:val="24"/>
              <w:szCs w:val="24"/>
            </w:rPr>
            <w:t xml:space="preserve">3.8.5 Interface do analista</w:t>
          </w:r>
          <w:r>
            <w:rPr>
              <w:rFonts w:ascii="Times New Roman" w:hAnsi="Times New Roman" w:cs="Times New Roman"/>
              <w:sz w:val="24"/>
              <w:szCs w:val="24"/>
            </w:rPr>
            <w:tab/>
          </w:r>
          <w:r>
            <w:rPr>
              <w:rFonts w:ascii="Times New Roman" w:hAnsi="Times New Roman" w:cs="Times New Roman"/>
              <w:sz w:val="24"/>
              <w:szCs w:val="24"/>
            </w:rPr>
            <w:t>26</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3.9 Plano de testes e avaliação operacional</w:t>
          </w:r>
          <w:r>
            <w:rPr>
              <w:rFonts w:ascii="Times New Roman" w:hAnsi="Times New Roman" w:cs="Times New Roman"/>
              <w:sz w:val="24"/>
              <w:szCs w:val="24"/>
            </w:rPr>
            <w:tab/>
          </w:r>
          <w:r>
            <w:rPr>
              <w:rFonts w:ascii="Times New Roman" w:hAnsi="Times New Roman" w:cs="Times New Roman"/>
              <w:sz w:val="24"/>
              <w:szCs w:val="24"/>
            </w:rPr>
            <w:t>27</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3.10 Plano de implementação faseada</w:t>
          </w:r>
          <w:r>
            <w:rPr>
              <w:rFonts w:ascii="Times New Roman" w:hAnsi="Times New Roman" w:cs="Times New Roman"/>
              <w:sz w:val="24"/>
              <w:szCs w:val="24"/>
            </w:rPr>
            <w:tab/>
          </w:r>
          <w:r>
            <w:rPr>
              <w:rFonts w:ascii="Times New Roman" w:hAnsi="Times New Roman" w:cs="Times New Roman"/>
              <w:sz w:val="24"/>
              <w:szCs w:val="24"/>
            </w:rPr>
            <w:t>28</w:t>
          </w:r>
        </w:p>
        <w:p>
          <w:pPr>
            <w:tabs>
              <w:tab w:val="right" w:leader="dot" w:pos="8221"/>
            </w:tabs>
            <w:spacing w:before="60" w:after="60" w:line="276" w:lineRule="auto"/>
            <w:ind w:left="0" w:right="560" w:hanging="0"/>
            <w:jc w:val="left"/>
          </w:pPr>
          <w:r>
            <w:rPr>
              <w:rFonts w:ascii="Times New Roman" w:hAnsi="Times New Roman" w:cs="Times New Roman"/>
              <w:b/>
              <w:bCs/>
              <w:sz w:val="24"/>
              <w:szCs w:val="24"/>
            </w:rPr>
            <w:t xml:space="preserve">CAPÍTULO 4 – RESULTADOS E DISCUSSÃO</w:t>
          </w:r>
          <w:r>
            <w:rPr>
              <w:rFonts w:ascii="Times New Roman" w:hAnsi="Times New Roman" w:cs="Times New Roman"/>
              <w:sz w:val="24"/>
              <w:szCs w:val="24"/>
            </w:rPr>
            <w:tab/>
          </w:r>
          <w:r>
            <w:rPr>
              <w:rFonts w:ascii="Times New Roman" w:hAnsi="Times New Roman" w:cs="Times New Roman"/>
              <w:sz w:val="24"/>
              <w:szCs w:val="24"/>
            </w:rPr>
            <w:t>29</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4.1 Corpus de avaliação e protocolo experimental</w:t>
          </w:r>
          <w:r>
            <w:rPr>
              <w:rFonts w:ascii="Times New Roman" w:hAnsi="Times New Roman" w:cs="Times New Roman"/>
              <w:sz w:val="24"/>
              <w:szCs w:val="24"/>
            </w:rPr>
            <w:tab/>
          </w:r>
          <w:r>
            <w:rPr>
              <w:rFonts w:ascii="Times New Roman" w:hAnsi="Times New Roman" w:cs="Times New Roman"/>
              <w:sz w:val="24"/>
              <w:szCs w:val="24"/>
            </w:rPr>
            <w:t>29</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4.2 Desempenho global dos modelos</w:t>
          </w:r>
          <w:r>
            <w:rPr>
              <w:rFonts w:ascii="Times New Roman" w:hAnsi="Times New Roman" w:cs="Times New Roman"/>
              <w:sz w:val="24"/>
              <w:szCs w:val="24"/>
            </w:rPr>
            <w:tab/>
          </w:r>
          <w:r>
            <w:rPr>
              <w:rFonts w:ascii="Times New Roman" w:hAnsi="Times New Roman" w:cs="Times New Roman"/>
              <w:sz w:val="24"/>
              <w:szCs w:val="24"/>
            </w:rPr>
            <w:t>30</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4.3 Significância estatística das diferenças</w:t>
          </w:r>
          <w:r>
            <w:rPr>
              <w:rFonts w:ascii="Times New Roman" w:hAnsi="Times New Roman" w:cs="Times New Roman"/>
              <w:sz w:val="24"/>
              <w:szCs w:val="24"/>
            </w:rPr>
            <w:tab/>
          </w:r>
          <w:r>
            <w:rPr>
              <w:rFonts w:ascii="Times New Roman" w:hAnsi="Times New Roman" w:cs="Times New Roman"/>
              <w:sz w:val="24"/>
              <w:szCs w:val="24"/>
            </w:rPr>
            <w:t>31</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4.4 Desempenho por categoria e análise de erros</w:t>
          </w:r>
          <w:r>
            <w:rPr>
              <w:rFonts w:ascii="Times New Roman" w:hAnsi="Times New Roman" w:cs="Times New Roman"/>
              <w:sz w:val="24"/>
              <w:szCs w:val="24"/>
            </w:rPr>
            <w:tab/>
          </w:r>
          <w:r>
            <w:rPr>
              <w:rFonts w:ascii="Times New Roman" w:hAnsi="Times New Roman" w:cs="Times New Roman"/>
              <w:sz w:val="24"/>
              <w:szCs w:val="24"/>
            </w:rPr>
            <w:t>32</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4.5 Análises de robustez</w:t>
          </w:r>
          <w:r>
            <w:rPr>
              <w:rFonts w:ascii="Times New Roman" w:hAnsi="Times New Roman" w:cs="Times New Roman"/>
              <w:sz w:val="24"/>
              <w:szCs w:val="24"/>
            </w:rPr>
            <w:tab/>
          </w:r>
          <w:r>
            <w:rPr>
              <w:rFonts w:ascii="Times New Roman" w:hAnsi="Times New Roman" w:cs="Times New Roman"/>
              <w:sz w:val="24"/>
              <w:szCs w:val="24"/>
            </w:rPr>
            <w:t>35</w:t>
          </w:r>
        </w:p>
        <w:p>
          <w:pPr>
            <w:tabs>
              <w:tab w:val="right" w:leader="dot" w:pos="8221"/>
            </w:tabs>
            <w:spacing w:before="0" w:after="60" w:line="276" w:lineRule="auto"/>
            <w:ind w:left="800" w:right="560" w:hanging="0"/>
            <w:jc w:val="left"/>
          </w:pPr>
          <w:r>
            <w:rPr>
              <w:rFonts w:ascii="Times New Roman" w:hAnsi="Times New Roman" w:cs="Times New Roman"/>
              <w:sz w:val="24"/>
              <w:szCs w:val="24"/>
            </w:rPr>
            <w:t xml:space="preserve">4.5.1 Variabilidade entre sementes, ensemble e ablações</w:t>
          </w:r>
          <w:r>
            <w:rPr>
              <w:rFonts w:ascii="Times New Roman" w:hAnsi="Times New Roman" w:cs="Times New Roman"/>
              <w:sz w:val="24"/>
              <w:szCs w:val="24"/>
            </w:rPr>
            <w:tab/>
          </w:r>
          <w:r>
            <w:rPr>
              <w:rFonts w:ascii="Times New Roman" w:hAnsi="Times New Roman" w:cs="Times New Roman"/>
              <w:sz w:val="24"/>
              <w:szCs w:val="24"/>
            </w:rPr>
            <w:t>35</w:t>
          </w:r>
        </w:p>
        <w:p>
          <w:pPr>
            <w:tabs>
              <w:tab w:val="right" w:leader="dot" w:pos="8221"/>
            </w:tabs>
            <w:spacing w:before="0" w:after="60" w:line="276" w:lineRule="auto"/>
            <w:ind w:left="800" w:right="560" w:hanging="0"/>
            <w:jc w:val="left"/>
          </w:pPr>
          <w:r>
            <w:rPr>
              <w:rFonts w:ascii="Times New Roman" w:hAnsi="Times New Roman" w:cs="Times New Roman"/>
              <w:sz w:val="24"/>
              <w:szCs w:val="24"/>
            </w:rPr>
            <w:t xml:space="preserve">4.5.2 Ajuste de limiares de decisão</w:t>
          </w:r>
          <w:r>
            <w:rPr>
              <w:rFonts w:ascii="Times New Roman" w:hAnsi="Times New Roman" w:cs="Times New Roman"/>
              <w:sz w:val="24"/>
              <w:szCs w:val="24"/>
            </w:rPr>
            <w:tab/>
          </w:r>
          <w:r>
            <w:rPr>
              <w:rFonts w:ascii="Times New Roman" w:hAnsi="Times New Roman" w:cs="Times New Roman"/>
              <w:sz w:val="24"/>
              <w:szCs w:val="24"/>
            </w:rPr>
            <w:t>36</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4.6 Lacuna de domínio: piloto angolano e corpus público (Hipótese H4)</w:t>
          </w:r>
          <w:r>
            <w:rPr>
              <w:rFonts w:ascii="Times New Roman" w:hAnsi="Times New Roman" w:cs="Times New Roman"/>
              <w:sz w:val="24"/>
              <w:szCs w:val="24"/>
            </w:rPr>
            <w:tab/>
          </w:r>
          <w:r>
            <w:rPr>
              <w:rFonts w:ascii="Times New Roman" w:hAnsi="Times New Roman" w:cs="Times New Roman"/>
              <w:sz w:val="24"/>
              <w:szCs w:val="24"/>
            </w:rPr>
            <w:t>37</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4.7 Avaliação operacional do sistema (Hipóteses H2 e H3)</w:t>
          </w:r>
          <w:r>
            <w:rPr>
              <w:rFonts w:ascii="Times New Roman" w:hAnsi="Times New Roman" w:cs="Times New Roman"/>
              <w:sz w:val="24"/>
              <w:szCs w:val="24"/>
            </w:rPr>
            <w:tab/>
          </w:r>
          <w:r>
            <w:rPr>
              <w:rFonts w:ascii="Times New Roman" w:hAnsi="Times New Roman" w:cs="Times New Roman"/>
              <w:sz w:val="24"/>
              <w:szCs w:val="24"/>
            </w:rPr>
            <w:t>38</w:t>
          </w:r>
        </w:p>
        <w:p>
          <w:pPr>
            <w:tabs>
              <w:tab w:val="right" w:leader="dot" w:pos="8221"/>
            </w:tabs>
            <w:spacing w:before="0" w:after="60" w:line="276" w:lineRule="auto"/>
            <w:ind w:left="800" w:right="560" w:hanging="0"/>
            <w:jc w:val="left"/>
          </w:pPr>
          <w:r>
            <w:rPr>
              <w:rFonts w:ascii="Times New Roman" w:hAnsi="Times New Roman" w:cs="Times New Roman"/>
              <w:sz w:val="24"/>
              <w:szCs w:val="24"/>
            </w:rPr>
            <w:t xml:space="preserve">4.7.1 Tempo de processamento (H2)</w:t>
          </w:r>
          <w:r>
            <w:rPr>
              <w:rFonts w:ascii="Times New Roman" w:hAnsi="Times New Roman" w:cs="Times New Roman"/>
              <w:sz w:val="24"/>
              <w:szCs w:val="24"/>
            </w:rPr>
            <w:tab/>
          </w:r>
          <w:r>
            <w:rPr>
              <w:rFonts w:ascii="Times New Roman" w:hAnsi="Times New Roman" w:cs="Times New Roman"/>
              <w:sz w:val="24"/>
              <w:szCs w:val="24"/>
            </w:rPr>
            <w:t>38</w:t>
          </w:r>
        </w:p>
        <w:p>
          <w:pPr>
            <w:tabs>
              <w:tab w:val="right" w:leader="dot" w:pos="8221"/>
            </w:tabs>
            <w:spacing w:before="0" w:after="60" w:line="276" w:lineRule="auto"/>
            <w:ind w:left="800" w:right="560" w:hanging="0"/>
            <w:jc w:val="left"/>
          </w:pPr>
          <w:r>
            <w:rPr>
              <w:rFonts w:ascii="Times New Roman" w:hAnsi="Times New Roman" w:cs="Times New Roman"/>
              <w:sz w:val="24"/>
              <w:szCs w:val="24"/>
            </w:rPr>
            <w:t xml:space="preserve">4.7.2 Antecedência de detecção (H3)</w:t>
          </w:r>
          <w:r>
            <w:rPr>
              <w:rFonts w:ascii="Times New Roman" w:hAnsi="Times New Roman" w:cs="Times New Roman"/>
              <w:sz w:val="24"/>
              <w:szCs w:val="24"/>
            </w:rPr>
            <w:tab/>
          </w:r>
          <w:r>
            <w:rPr>
              <w:rFonts w:ascii="Times New Roman" w:hAnsi="Times New Roman" w:cs="Times New Roman"/>
              <w:sz w:val="24"/>
              <w:szCs w:val="24"/>
            </w:rPr>
            <w:t>40</w:t>
          </w:r>
        </w:p>
        <w:p>
          <w:pPr>
            <w:tabs>
              <w:tab w:val="right" w:leader="dot" w:pos="8221"/>
            </w:tabs>
            <w:spacing w:before="0" w:after="60" w:line="276" w:lineRule="auto"/>
            <w:ind w:left="800" w:right="560" w:hanging="0"/>
            <w:jc w:val="left"/>
          </w:pPr>
          <w:r>
            <w:rPr>
              <w:rFonts w:ascii="Times New Roman" w:hAnsi="Times New Roman" w:cs="Times New Roman"/>
              <w:sz w:val="24"/>
              <w:szCs w:val="24"/>
            </w:rPr>
            <w:t xml:space="preserve">4.7.3 Implicações para o desenho operacional</w:t>
          </w:r>
          <w:r>
            <w:rPr>
              <w:rFonts w:ascii="Times New Roman" w:hAnsi="Times New Roman" w:cs="Times New Roman"/>
              <w:sz w:val="24"/>
              <w:szCs w:val="24"/>
            </w:rPr>
            <w:tab/>
          </w:r>
          <w:r>
            <w:rPr>
              <w:rFonts w:ascii="Times New Roman" w:hAnsi="Times New Roman" w:cs="Times New Roman"/>
              <w:sz w:val="24"/>
              <w:szCs w:val="24"/>
            </w:rPr>
            <w:t>40</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4.8 Discussão e verificação formal das hipóteses</w:t>
          </w:r>
          <w:r>
            <w:rPr>
              <w:rFonts w:ascii="Times New Roman" w:hAnsi="Times New Roman" w:cs="Times New Roman"/>
              <w:sz w:val="24"/>
              <w:szCs w:val="24"/>
            </w:rPr>
            <w:tab/>
          </w:r>
          <w:r>
            <w:rPr>
              <w:rFonts w:ascii="Times New Roman" w:hAnsi="Times New Roman" w:cs="Times New Roman"/>
              <w:sz w:val="24"/>
              <w:szCs w:val="24"/>
            </w:rPr>
            <w:t>40</w:t>
          </w:r>
        </w:p>
        <w:p>
          <w:pPr>
            <w:tabs>
              <w:tab w:val="right" w:leader="dot" w:pos="8221"/>
            </w:tabs>
            <w:spacing w:before="60" w:after="60" w:line="276" w:lineRule="auto"/>
            <w:ind w:left="0" w:right="560" w:hanging="0"/>
            <w:jc w:val="left"/>
          </w:pPr>
          <w:r>
            <w:rPr>
              <w:rFonts w:ascii="Times New Roman" w:hAnsi="Times New Roman" w:cs="Times New Roman"/>
              <w:b/>
              <w:bCs/>
              <w:sz w:val="24"/>
              <w:szCs w:val="24"/>
            </w:rPr>
            <w:t xml:space="preserve">CAPÍTULO 5 – CONCLUSÕES E RECOMENDAÇÕES</w:t>
          </w:r>
          <w:r>
            <w:rPr>
              <w:rFonts w:ascii="Times New Roman" w:hAnsi="Times New Roman" w:cs="Times New Roman"/>
              <w:sz w:val="24"/>
              <w:szCs w:val="24"/>
            </w:rPr>
            <w:tab/>
          </w:r>
          <w:r>
            <w:rPr>
              <w:rFonts w:ascii="Times New Roman" w:hAnsi="Times New Roman" w:cs="Times New Roman"/>
              <w:sz w:val="24"/>
              <w:szCs w:val="24"/>
            </w:rPr>
            <w:t>43</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5.1 Síntese dos objectivos</w:t>
          </w:r>
          <w:r>
            <w:rPr>
              <w:rFonts w:ascii="Times New Roman" w:hAnsi="Times New Roman" w:cs="Times New Roman"/>
              <w:sz w:val="24"/>
              <w:szCs w:val="24"/>
            </w:rPr>
            <w:tab/>
          </w:r>
          <w:r>
            <w:rPr>
              <w:rFonts w:ascii="Times New Roman" w:hAnsi="Times New Roman" w:cs="Times New Roman"/>
              <w:sz w:val="24"/>
              <w:szCs w:val="24"/>
            </w:rPr>
            <w:t>43</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5.2 Resposta às hipóteses</w:t>
          </w:r>
          <w:r>
            <w:rPr>
              <w:rFonts w:ascii="Times New Roman" w:hAnsi="Times New Roman" w:cs="Times New Roman"/>
              <w:sz w:val="24"/>
              <w:szCs w:val="24"/>
            </w:rPr>
            <w:tab/>
          </w:r>
          <w:r>
            <w:rPr>
              <w:rFonts w:ascii="Times New Roman" w:hAnsi="Times New Roman" w:cs="Times New Roman"/>
              <w:sz w:val="24"/>
              <w:szCs w:val="24"/>
            </w:rPr>
            <w:t>43</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5.3 Contributos</w:t>
          </w:r>
          <w:r>
            <w:rPr>
              <w:rFonts w:ascii="Times New Roman" w:hAnsi="Times New Roman" w:cs="Times New Roman"/>
              <w:sz w:val="24"/>
              <w:szCs w:val="24"/>
            </w:rPr>
            <w:tab/>
          </w:r>
          <w:r>
            <w:rPr>
              <w:rFonts w:ascii="Times New Roman" w:hAnsi="Times New Roman" w:cs="Times New Roman"/>
              <w:sz w:val="24"/>
              <w:szCs w:val="24"/>
            </w:rPr>
            <w:t>44</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5.4 Limitações</w:t>
          </w:r>
          <w:r>
            <w:rPr>
              <w:rFonts w:ascii="Times New Roman" w:hAnsi="Times New Roman" w:cs="Times New Roman"/>
              <w:sz w:val="24"/>
              <w:szCs w:val="24"/>
            </w:rPr>
            <w:tab/>
          </w:r>
          <w:r>
            <w:rPr>
              <w:rFonts w:ascii="Times New Roman" w:hAnsi="Times New Roman" w:cs="Times New Roman"/>
              <w:sz w:val="24"/>
              <w:szCs w:val="24"/>
            </w:rPr>
            <w:t>44</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5.5 Recomendações e trabalho futuro</w:t>
          </w:r>
          <w:r>
            <w:rPr>
              <w:rFonts w:ascii="Times New Roman" w:hAnsi="Times New Roman" w:cs="Times New Roman"/>
              <w:sz w:val="24"/>
              <w:szCs w:val="24"/>
            </w:rPr>
            <w:tab/>
          </w:r>
          <w:r>
            <w:rPr>
              <w:rFonts w:ascii="Times New Roman" w:hAnsi="Times New Roman" w:cs="Times New Roman"/>
              <w:sz w:val="24"/>
              <w:szCs w:val="24"/>
            </w:rPr>
            <w:t>45</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5.6 Considerações finais</w:t>
          </w:r>
          <w:r>
            <w:rPr>
              <w:rFonts w:ascii="Times New Roman" w:hAnsi="Times New Roman" w:cs="Times New Roman"/>
              <w:sz w:val="24"/>
              <w:szCs w:val="24"/>
            </w:rPr>
            <w:tab/>
          </w:r>
          <w:r>
            <w:rPr>
              <w:rFonts w:ascii="Times New Roman" w:hAnsi="Times New Roman" w:cs="Times New Roman"/>
              <w:sz w:val="24"/>
              <w:szCs w:val="24"/>
            </w:rPr>
            <w:t>46</w:t>
          </w:r>
        </w:p>
        <w:p>
          <w:pPr>
            <w:tabs>
              <w:tab w:val="right" w:leader="dot" w:pos="8221"/>
            </w:tabs>
            <w:spacing w:before="60" w:after="60" w:line="276" w:lineRule="auto"/>
            <w:ind w:left="0" w:right="560" w:hanging="0"/>
            <w:jc w:val="left"/>
          </w:pPr>
          <w:r>
            <w:rPr>
              <w:rFonts w:ascii="Times New Roman" w:hAnsi="Times New Roman" w:cs="Times New Roman"/>
              <w:b/>
              <w:bCs/>
              <w:sz w:val="24"/>
              <w:szCs w:val="24"/>
            </w:rPr>
            <w:t xml:space="preserve">REFERÊNCIAS BIBLIOGRÁFICAS</w:t>
          </w:r>
          <w:r>
            <w:rPr>
              <w:rFonts w:ascii="Times New Roman" w:hAnsi="Times New Roman" w:cs="Times New Roman"/>
              <w:sz w:val="24"/>
              <w:szCs w:val="24"/>
            </w:rPr>
            <w:tab/>
          </w:r>
          <w:r>
            <w:rPr>
              <w:rFonts w:ascii="Times New Roman" w:hAnsi="Times New Roman" w:cs="Times New Roman"/>
              <w:sz w:val="24"/>
              <w:szCs w:val="24"/>
            </w:rPr>
            <w:t>47</w:t>
          </w:r>
        </w:p>
        <w:p>
          <w:pPr>
            <w:tabs>
              <w:tab w:val="right" w:leader="dot" w:pos="8221"/>
            </w:tabs>
            <w:spacing w:before="60" w:after="60" w:line="276" w:lineRule="auto"/>
            <w:ind w:left="0" w:right="560" w:hanging="0"/>
            <w:jc w:val="left"/>
          </w:pPr>
          <w:r>
            <w:rPr>
              <w:rFonts w:ascii="Times New Roman" w:hAnsi="Times New Roman" w:cs="Times New Roman"/>
              <w:b/>
              <w:bCs/>
              <w:sz w:val="24"/>
              <w:szCs w:val="24"/>
            </w:rPr>
            <w:t xml:space="preserve">GLOSSÁRIO</w:t>
          </w:r>
          <w:r>
            <w:rPr>
              <w:rFonts w:ascii="Times New Roman" w:hAnsi="Times New Roman" w:cs="Times New Roman"/>
              <w:sz w:val="24"/>
              <w:szCs w:val="24"/>
            </w:rPr>
            <w:tab/>
          </w:r>
          <w:r>
            <w:rPr>
              <w:rFonts w:ascii="Times New Roman" w:hAnsi="Times New Roman" w:cs="Times New Roman"/>
              <w:sz w:val="24"/>
              <w:szCs w:val="24"/>
            </w:rPr>
            <w:t>51</w:t>
          </w:r>
        </w:p>
        <w:p>
          <w:pPr>
            <w:tabs>
              <w:tab w:val="right" w:leader="dot" w:pos="8221"/>
            </w:tabs>
            <w:spacing w:before="60" w:after="60" w:line="276" w:lineRule="auto"/>
            <w:ind w:left="0" w:right="560" w:hanging="0"/>
            <w:jc w:val="left"/>
          </w:pPr>
          <w:r>
            <w:rPr>
              <w:rFonts w:ascii="Times New Roman" w:hAnsi="Times New Roman" w:cs="Times New Roman"/>
              <w:b/>
              <w:bCs/>
              <w:sz w:val="24"/>
              <w:szCs w:val="24"/>
            </w:rPr>
            <w:t xml:space="preserve">APÊNDICE A – EXCERTOS DE CÓDIGO-FONTE</w:t>
          </w:r>
          <w:r>
            <w:rPr>
              <w:rFonts w:ascii="Times New Roman" w:hAnsi="Times New Roman" w:cs="Times New Roman"/>
              <w:sz w:val="24"/>
              <w:szCs w:val="24"/>
            </w:rPr>
            <w:tab/>
          </w:r>
          <w:r>
            <w:rPr>
              <w:rFonts w:ascii="Times New Roman" w:hAnsi="Times New Roman" w:cs="Times New Roman"/>
              <w:sz w:val="24"/>
              <w:szCs w:val="24"/>
            </w:rPr>
            <w:t>A1</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A.1 Anonimização à entrada</w:t>
          </w:r>
          <w:r>
            <w:rPr>
              <w:rFonts w:ascii="Times New Roman" w:hAnsi="Times New Roman" w:cs="Times New Roman"/>
              <w:sz w:val="24"/>
              <w:szCs w:val="24"/>
            </w:rPr>
            <w:tab/>
          </w:r>
          <w:r>
            <w:rPr>
              <w:rFonts w:ascii="Times New Roman" w:hAnsi="Times New Roman" w:cs="Times New Roman"/>
              <w:sz w:val="24"/>
              <w:szCs w:val="24"/>
            </w:rPr>
            <w:t>A1</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A.2 Classificação em lote com o BERTimbau</w:t>
          </w:r>
          <w:r>
            <w:rPr>
              <w:rFonts w:ascii="Times New Roman" w:hAnsi="Times New Roman" w:cs="Times New Roman"/>
              <w:sz w:val="24"/>
              <w:szCs w:val="24"/>
            </w:rPr>
            <w:tab/>
          </w:r>
          <w:r>
            <w:rPr>
              <w:rFonts w:ascii="Times New Roman" w:hAnsi="Times New Roman" w:cs="Times New Roman"/>
              <w:sz w:val="24"/>
              <w:szCs w:val="24"/>
            </w:rPr>
            <w:t>A1</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A.3 Prioridade e classificação das publicações pendentes</w:t>
          </w:r>
          <w:r>
            <w:rPr>
              <w:rFonts w:ascii="Times New Roman" w:hAnsi="Times New Roman" w:cs="Times New Roman"/>
              <w:sz w:val="24"/>
              <w:szCs w:val="24"/>
            </w:rPr>
            <w:tab/>
          </w:r>
          <w:r>
            <w:rPr>
              <w:rFonts w:ascii="Times New Roman" w:hAnsi="Times New Roman" w:cs="Times New Roman"/>
              <w:sz w:val="24"/>
              <w:szCs w:val="24"/>
            </w:rPr>
            <w:t>A2</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A.4 Métricas operacionais</w:t>
          </w:r>
          <w:r>
            <w:rPr>
              <w:rFonts w:ascii="Times New Roman" w:hAnsi="Times New Roman" w:cs="Times New Roman"/>
              <w:sz w:val="24"/>
              <w:szCs w:val="24"/>
            </w:rPr>
            <w:tab/>
          </w:r>
          <w:r>
            <w:rPr>
              <w:rFonts w:ascii="Times New Roman" w:hAnsi="Times New Roman" w:cs="Times New Roman"/>
              <w:sz w:val="24"/>
              <w:szCs w:val="24"/>
            </w:rPr>
            <w:t>A2</w:t>
          </w:r>
        </w:p>
        <w:p>
          <w:pPr>
            <w:tabs>
              <w:tab w:val="right" w:leader="dot" w:pos="8221"/>
            </w:tabs>
            <w:spacing w:before="60" w:after="60" w:line="276" w:lineRule="auto"/>
            <w:ind w:left="0" w:right="560" w:hanging="0"/>
            <w:jc w:val="left"/>
          </w:pPr>
          <w:r>
            <w:rPr>
              <w:rFonts w:ascii="Times New Roman" w:hAnsi="Times New Roman" w:cs="Times New Roman"/>
              <w:b/>
              <w:bCs/>
              <w:sz w:val="24"/>
              <w:szCs w:val="24"/>
            </w:rPr>
            <w:t xml:space="preserve">APÊNDICE B – GUIA DE ANOTAÇÃO PADRONIZADO</w:t>
          </w:r>
          <w:r>
            <w:rPr>
              <w:rFonts w:ascii="Times New Roman" w:hAnsi="Times New Roman" w:cs="Times New Roman"/>
              <w:sz w:val="24"/>
              <w:szCs w:val="24"/>
            </w:rPr>
            <w:tab/>
          </w:r>
          <w:r>
            <w:rPr>
              <w:rFonts w:ascii="Times New Roman" w:hAnsi="Times New Roman" w:cs="Times New Roman"/>
              <w:sz w:val="24"/>
              <w:szCs w:val="24"/>
            </w:rPr>
            <w:t>B1</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B.1 Identificação do projecto</w:t>
          </w:r>
          <w:r>
            <w:rPr>
              <w:rFonts w:ascii="Times New Roman" w:hAnsi="Times New Roman" w:cs="Times New Roman"/>
              <w:sz w:val="24"/>
              <w:szCs w:val="24"/>
            </w:rPr>
            <w:tab/>
          </w:r>
          <w:r>
            <w:rPr>
              <w:rFonts w:ascii="Times New Roman" w:hAnsi="Times New Roman" w:cs="Times New Roman"/>
              <w:sz w:val="24"/>
              <w:szCs w:val="24"/>
            </w:rPr>
            <w:t>B1</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B.2 Objectivo da anotação</w:t>
          </w:r>
          <w:r>
            <w:rPr>
              <w:rFonts w:ascii="Times New Roman" w:hAnsi="Times New Roman" w:cs="Times New Roman"/>
              <w:sz w:val="24"/>
              <w:szCs w:val="24"/>
            </w:rPr>
            <w:tab/>
          </w:r>
          <w:r>
            <w:rPr>
              <w:rFonts w:ascii="Times New Roman" w:hAnsi="Times New Roman" w:cs="Times New Roman"/>
              <w:sz w:val="24"/>
              <w:szCs w:val="24"/>
            </w:rPr>
            <w:t>B1</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B.3 Categorias</w:t>
          </w:r>
          <w:r>
            <w:rPr>
              <w:rFonts w:ascii="Times New Roman" w:hAnsi="Times New Roman" w:cs="Times New Roman"/>
              <w:sz w:val="24"/>
              <w:szCs w:val="24"/>
            </w:rPr>
            <w:tab/>
          </w:r>
          <w:r>
            <w:rPr>
              <w:rFonts w:ascii="Times New Roman" w:hAnsi="Times New Roman" w:cs="Times New Roman"/>
              <w:sz w:val="24"/>
              <w:szCs w:val="24"/>
            </w:rPr>
            <w:t>B1</w:t>
          </w:r>
        </w:p>
        <w:p>
          <w:pPr>
            <w:tabs>
              <w:tab w:val="right" w:leader="dot" w:pos="8221"/>
            </w:tabs>
            <w:spacing w:before="0" w:after="60" w:line="276" w:lineRule="auto"/>
            <w:ind w:left="800" w:right="560" w:hanging="0"/>
            <w:jc w:val="left"/>
          </w:pPr>
          <w:r>
            <w:rPr>
              <w:rFonts w:ascii="Times New Roman" w:hAnsi="Times New Roman" w:cs="Times New Roman"/>
              <w:sz w:val="24"/>
              <w:szCs w:val="24"/>
            </w:rPr>
            <w:t xml:space="preserve">B.3.1 Normal (rótulo Normal)</w:t>
          </w:r>
          <w:r>
            <w:rPr>
              <w:rFonts w:ascii="Times New Roman" w:hAnsi="Times New Roman" w:cs="Times New Roman"/>
              <w:sz w:val="24"/>
              <w:szCs w:val="24"/>
            </w:rPr>
            <w:tab/>
          </w:r>
          <w:r>
            <w:rPr>
              <w:rFonts w:ascii="Times New Roman" w:hAnsi="Times New Roman" w:cs="Times New Roman"/>
              <w:sz w:val="24"/>
              <w:szCs w:val="24"/>
            </w:rPr>
            <w:t>B1</w:t>
          </w:r>
        </w:p>
        <w:p>
          <w:pPr>
            <w:tabs>
              <w:tab w:val="right" w:leader="dot" w:pos="8221"/>
            </w:tabs>
            <w:spacing w:before="0" w:after="60" w:line="276" w:lineRule="auto"/>
            <w:ind w:left="800" w:right="560" w:hanging="0"/>
            <w:jc w:val="left"/>
          </w:pPr>
          <w:r>
            <w:rPr>
              <w:rFonts w:ascii="Times New Roman" w:hAnsi="Times New Roman" w:cs="Times New Roman"/>
              <w:sz w:val="24"/>
              <w:szCs w:val="24"/>
            </w:rPr>
            <w:t xml:space="preserve">B.3.2 Desinformação (rótulo Desinformacao)</w:t>
          </w:r>
          <w:r>
            <w:rPr>
              <w:rFonts w:ascii="Times New Roman" w:hAnsi="Times New Roman" w:cs="Times New Roman"/>
              <w:sz w:val="24"/>
              <w:szCs w:val="24"/>
            </w:rPr>
            <w:tab/>
          </w:r>
          <w:r>
            <w:rPr>
              <w:rFonts w:ascii="Times New Roman" w:hAnsi="Times New Roman" w:cs="Times New Roman"/>
              <w:sz w:val="24"/>
              <w:szCs w:val="24"/>
            </w:rPr>
            <w:t>B1</w:t>
          </w:r>
        </w:p>
        <w:p>
          <w:pPr>
            <w:tabs>
              <w:tab w:val="right" w:leader="dot" w:pos="8221"/>
            </w:tabs>
            <w:spacing w:before="0" w:after="60" w:line="276" w:lineRule="auto"/>
            <w:ind w:left="800" w:right="560" w:hanging="0"/>
            <w:jc w:val="left"/>
          </w:pPr>
          <w:r>
            <w:rPr>
              <w:rFonts w:ascii="Times New Roman" w:hAnsi="Times New Roman" w:cs="Times New Roman"/>
              <w:sz w:val="24"/>
              <w:szCs w:val="24"/>
            </w:rPr>
            <w:t xml:space="preserve">B.3.3 Discurso de ódio (rótulo Odio)</w:t>
          </w:r>
          <w:r>
            <w:rPr>
              <w:rFonts w:ascii="Times New Roman" w:hAnsi="Times New Roman" w:cs="Times New Roman"/>
              <w:sz w:val="24"/>
              <w:szCs w:val="24"/>
            </w:rPr>
            <w:tab/>
          </w:r>
          <w:r>
            <w:rPr>
              <w:rFonts w:ascii="Times New Roman" w:hAnsi="Times New Roman" w:cs="Times New Roman"/>
              <w:sz w:val="24"/>
              <w:szCs w:val="24"/>
            </w:rPr>
            <w:t>B2</w:t>
          </w:r>
        </w:p>
        <w:p>
          <w:pPr>
            <w:tabs>
              <w:tab w:val="right" w:leader="dot" w:pos="8221"/>
            </w:tabs>
            <w:spacing w:before="0" w:after="60" w:line="276" w:lineRule="auto"/>
            <w:ind w:left="800" w:right="560" w:hanging="0"/>
            <w:jc w:val="left"/>
          </w:pPr>
          <w:r>
            <w:rPr>
              <w:rFonts w:ascii="Times New Roman" w:hAnsi="Times New Roman" w:cs="Times New Roman"/>
              <w:sz w:val="24"/>
              <w:szCs w:val="24"/>
            </w:rPr>
            <w:t xml:space="preserve">B.3.4 Mobilização hostil (rótulo Mobilizacao)</w:t>
          </w:r>
          <w:r>
            <w:rPr>
              <w:rFonts w:ascii="Times New Roman" w:hAnsi="Times New Roman" w:cs="Times New Roman"/>
              <w:sz w:val="24"/>
              <w:szCs w:val="24"/>
            </w:rPr>
            <w:tab/>
          </w:r>
          <w:r>
            <w:rPr>
              <w:rFonts w:ascii="Times New Roman" w:hAnsi="Times New Roman" w:cs="Times New Roman"/>
              <w:sz w:val="24"/>
              <w:szCs w:val="24"/>
            </w:rPr>
            <w:t>B2</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B.4 Casos limítrofes</w:t>
          </w:r>
          <w:r>
            <w:rPr>
              <w:rFonts w:ascii="Times New Roman" w:hAnsi="Times New Roman" w:cs="Times New Roman"/>
              <w:sz w:val="24"/>
              <w:szCs w:val="24"/>
            </w:rPr>
            <w:tab/>
          </w:r>
          <w:r>
            <w:rPr>
              <w:rFonts w:ascii="Times New Roman" w:hAnsi="Times New Roman" w:cs="Times New Roman"/>
              <w:sz w:val="24"/>
              <w:szCs w:val="24"/>
            </w:rPr>
            <w:t>B2</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B.5 Regras de desempate</w:t>
          </w:r>
          <w:r>
            <w:rPr>
              <w:rFonts w:ascii="Times New Roman" w:hAnsi="Times New Roman" w:cs="Times New Roman"/>
              <w:sz w:val="24"/>
              <w:szCs w:val="24"/>
            </w:rPr>
            <w:tab/>
          </w:r>
          <w:r>
            <w:rPr>
              <w:rFonts w:ascii="Times New Roman" w:hAnsi="Times New Roman" w:cs="Times New Roman"/>
              <w:sz w:val="24"/>
              <w:szCs w:val="24"/>
            </w:rPr>
            <w:t>B2</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B.6 Instruções de preenchimento</w:t>
          </w:r>
          <w:r>
            <w:rPr>
              <w:rFonts w:ascii="Times New Roman" w:hAnsi="Times New Roman" w:cs="Times New Roman"/>
              <w:sz w:val="24"/>
              <w:szCs w:val="24"/>
            </w:rPr>
            <w:tab/>
          </w:r>
          <w:r>
            <w:rPr>
              <w:rFonts w:ascii="Times New Roman" w:hAnsi="Times New Roman" w:cs="Times New Roman"/>
              <w:sz w:val="24"/>
              <w:szCs w:val="24"/>
            </w:rPr>
            <w:t>B3</w:t>
          </w:r>
        </w:p>
        <w:p>
          <w:pPr>
            <w:tabs>
              <w:tab w:val="right" w:leader="dot" w:pos="8221"/>
            </w:tabs>
            <w:spacing w:before="60" w:after="60" w:line="276" w:lineRule="auto"/>
            <w:ind w:left="0" w:right="560" w:hanging="0"/>
            <w:jc w:val="left"/>
          </w:pPr>
          <w:r>
            <w:rPr>
              <w:rFonts w:ascii="Times New Roman" w:hAnsi="Times New Roman" w:cs="Times New Roman"/>
              <w:b/>
              <w:bCs/>
              <w:sz w:val="24"/>
              <w:szCs w:val="24"/>
            </w:rPr>
            <w:t xml:space="preserve">APÊNDICE C – ACORDO ENTRE ANOTADORES</w:t>
          </w:r>
          <w:r>
            <w:rPr>
              <w:rFonts w:ascii="Times New Roman" w:hAnsi="Times New Roman" w:cs="Times New Roman"/>
              <w:sz w:val="24"/>
              <w:szCs w:val="24"/>
            </w:rPr>
            <w:tab/>
          </w:r>
          <w:r>
            <w:rPr>
              <w:rFonts w:ascii="Times New Roman" w:hAnsi="Times New Roman" w:cs="Times New Roman"/>
              <w:sz w:val="24"/>
              <w:szCs w:val="24"/>
            </w:rPr>
            <w:t>C1</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C.1 Escala de interpretação</w:t>
          </w:r>
          <w:r>
            <w:rPr>
              <w:rFonts w:ascii="Times New Roman" w:hAnsi="Times New Roman" w:cs="Times New Roman"/>
              <w:sz w:val="24"/>
              <w:szCs w:val="24"/>
            </w:rPr>
            <w:tab/>
          </w:r>
          <w:r>
            <w:rPr>
              <w:rFonts w:ascii="Times New Roman" w:hAnsi="Times New Roman" w:cs="Times New Roman"/>
              <w:sz w:val="24"/>
              <w:szCs w:val="24"/>
            </w:rPr>
            <w:t>C1</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C.2 Fórmulas</w:t>
          </w:r>
          <w:r>
            <w:rPr>
              <w:rFonts w:ascii="Times New Roman" w:hAnsi="Times New Roman" w:cs="Times New Roman"/>
              <w:sz w:val="24"/>
              <w:szCs w:val="24"/>
            </w:rPr>
            <w:tab/>
          </w:r>
          <w:r>
            <w:rPr>
              <w:rFonts w:ascii="Times New Roman" w:hAnsi="Times New Roman" w:cs="Times New Roman"/>
              <w:sz w:val="24"/>
              <w:szCs w:val="24"/>
            </w:rPr>
            <w:t>C1</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C.3 Resultados</w:t>
          </w:r>
          <w:r>
            <w:rPr>
              <w:rFonts w:ascii="Times New Roman" w:hAnsi="Times New Roman" w:cs="Times New Roman"/>
              <w:sz w:val="24"/>
              <w:szCs w:val="24"/>
            </w:rPr>
            <w:tab/>
          </w:r>
          <w:r>
            <w:rPr>
              <w:rFonts w:ascii="Times New Roman" w:hAnsi="Times New Roman" w:cs="Times New Roman"/>
              <w:sz w:val="24"/>
              <w:szCs w:val="24"/>
            </w:rPr>
            <w:t>C1</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C.4 Distribuição das etiquetas finais</w:t>
          </w:r>
          <w:r>
            <w:rPr>
              <w:rFonts w:ascii="Times New Roman" w:hAnsi="Times New Roman" w:cs="Times New Roman"/>
              <w:sz w:val="24"/>
              <w:szCs w:val="24"/>
            </w:rPr>
            <w:tab/>
          </w:r>
          <w:r>
            <w:rPr>
              <w:rFonts w:ascii="Times New Roman" w:hAnsi="Times New Roman" w:cs="Times New Roman"/>
              <w:sz w:val="24"/>
              <w:szCs w:val="24"/>
            </w:rPr>
            <w:t>C2</w:t>
          </w:r>
        </w:p>
        <w:p>
          <w:pPr>
            <w:tabs>
              <w:tab w:val="right" w:leader="dot" w:pos="8221"/>
            </w:tabs>
            <w:spacing w:before="60" w:after="60" w:line="276" w:lineRule="auto"/>
            <w:ind w:left="0" w:right="560" w:hanging="0"/>
            <w:jc w:val="left"/>
          </w:pPr>
          <w:r>
            <w:rPr>
              <w:rFonts w:ascii="Times New Roman" w:hAnsi="Times New Roman" w:cs="Times New Roman"/>
              <w:b/>
              <w:bCs/>
              <w:sz w:val="24"/>
              <w:szCs w:val="24"/>
            </w:rPr>
            <w:t xml:space="preserve">APÊNDICE D – DECLARAÇÃO DE CONSENTIMENTO E CONFIDENCIALIDADE DOS ANOTADORES</w:t>
          </w:r>
          <w:r>
            <w:rPr>
              <w:rFonts w:ascii="Times New Roman" w:hAnsi="Times New Roman" w:cs="Times New Roman"/>
              <w:sz w:val="24"/>
              <w:szCs w:val="24"/>
            </w:rPr>
            <w:tab/>
          </w:r>
          <w:r>
            <w:rPr>
              <w:rFonts w:ascii="Times New Roman" w:hAnsi="Times New Roman" w:cs="Times New Roman"/>
              <w:sz w:val="24"/>
              <w:szCs w:val="24"/>
            </w:rPr>
            <w:t>D1</w:t>
          </w:r>
        </w:p>
        <w:p>
          <w:pPr>
            <w:tabs>
              <w:tab w:val="right" w:leader="dot" w:pos="8221"/>
            </w:tabs>
            <w:spacing w:before="60" w:after="60" w:line="276" w:lineRule="auto"/>
            <w:ind w:left="0" w:right="560" w:hanging="0"/>
            <w:jc w:val="left"/>
          </w:pPr>
          <w:r>
            <w:rPr>
              <w:rFonts w:ascii="Times New Roman" w:hAnsi="Times New Roman" w:cs="Times New Roman"/>
              <w:b/>
              <w:bCs/>
              <w:sz w:val="24"/>
              <w:szCs w:val="24"/>
            </w:rPr>
            <w:t xml:space="preserve">APÊNDICE E – AMOSTRA ANOTADA DO CORPUS</w:t>
          </w:r>
          <w:r>
            <w:rPr>
              <w:rFonts w:ascii="Times New Roman" w:hAnsi="Times New Roman" w:cs="Times New Roman"/>
              <w:sz w:val="24"/>
              <w:szCs w:val="24"/>
            </w:rPr>
            <w:tab/>
          </w:r>
          <w:r>
            <w:rPr>
              <w:rFonts w:ascii="Times New Roman" w:hAnsi="Times New Roman" w:cs="Times New Roman"/>
              <w:sz w:val="24"/>
              <w:szCs w:val="24"/>
            </w:rPr>
            <w:t>E1</w:t>
          </w:r>
        </w:p>
        <w:p>
          <w:pPr>
            <w:tabs>
              <w:tab w:val="right" w:leader="dot" w:pos="8221"/>
            </w:tabs>
            <w:spacing w:before="60" w:after="60" w:line="276" w:lineRule="auto"/>
            <w:ind w:left="0" w:right="560" w:hanging="0"/>
            <w:jc w:val="left"/>
          </w:pPr>
          <w:r>
            <w:rPr>
              <w:rFonts w:ascii="Times New Roman" w:hAnsi="Times New Roman" w:cs="Times New Roman"/>
              <w:b/>
              <w:bCs/>
              <w:sz w:val="24"/>
              <w:szCs w:val="24"/>
            </w:rPr>
            <w:t xml:space="preserve">APÊNDICE F – MANUAL DE INSTALAÇÃO E UTILIZAÇÃO DO SISTEMA</w:t>
          </w:r>
          <w:r>
            <w:rPr>
              <w:rFonts w:ascii="Times New Roman" w:hAnsi="Times New Roman" w:cs="Times New Roman"/>
              <w:sz w:val="24"/>
              <w:szCs w:val="24"/>
            </w:rPr>
            <w:tab/>
          </w:r>
          <w:r>
            <w:rPr>
              <w:rFonts w:ascii="Times New Roman" w:hAnsi="Times New Roman" w:cs="Times New Roman"/>
              <w:sz w:val="24"/>
              <w:szCs w:val="24"/>
            </w:rPr>
            <w:t>F1</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F.1 Instalação</w:t>
          </w:r>
          <w:r>
            <w:rPr>
              <w:rFonts w:ascii="Times New Roman" w:hAnsi="Times New Roman" w:cs="Times New Roman"/>
              <w:sz w:val="24"/>
              <w:szCs w:val="24"/>
            </w:rPr>
            <w:tab/>
          </w:r>
          <w:r>
            <w:rPr>
              <w:rFonts w:ascii="Times New Roman" w:hAnsi="Times New Roman" w:cs="Times New Roman"/>
              <w:sz w:val="24"/>
              <w:szCs w:val="24"/>
            </w:rPr>
            <w:t>F1</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F.2 Configuração</w:t>
          </w:r>
          <w:r>
            <w:rPr>
              <w:rFonts w:ascii="Times New Roman" w:hAnsi="Times New Roman" w:cs="Times New Roman"/>
              <w:sz w:val="24"/>
              <w:szCs w:val="24"/>
            </w:rPr>
            <w:tab/>
          </w:r>
          <w:r>
            <w:rPr>
              <w:rFonts w:ascii="Times New Roman" w:hAnsi="Times New Roman" w:cs="Times New Roman"/>
              <w:sz w:val="24"/>
              <w:szCs w:val="24"/>
            </w:rPr>
            <w:t>F1</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F.3 Arranque e primeira utilização</w:t>
          </w:r>
          <w:r>
            <w:rPr>
              <w:rFonts w:ascii="Times New Roman" w:hAnsi="Times New Roman" w:cs="Times New Roman"/>
              <w:sz w:val="24"/>
              <w:szCs w:val="24"/>
            </w:rPr>
            <w:tab/>
          </w:r>
          <w:r>
            <w:rPr>
              <w:rFonts w:ascii="Times New Roman" w:hAnsi="Times New Roman" w:cs="Times New Roman"/>
              <w:sz w:val="24"/>
              <w:szCs w:val="24"/>
            </w:rPr>
            <w:t>F1</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F.4 Linha de comandos</w:t>
          </w:r>
          <w:r>
            <w:rPr>
              <w:rFonts w:ascii="Times New Roman" w:hAnsi="Times New Roman" w:cs="Times New Roman"/>
              <w:sz w:val="24"/>
              <w:szCs w:val="24"/>
            </w:rPr>
            <w:tab/>
          </w:r>
          <w:r>
            <w:rPr>
              <w:rFonts w:ascii="Times New Roman" w:hAnsi="Times New Roman" w:cs="Times New Roman"/>
              <w:sz w:val="24"/>
              <w:szCs w:val="24"/>
            </w:rPr>
            <w:t>F2</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F.5 Guardar o modelo depois do treino</w:t>
          </w:r>
          <w:r>
            <w:rPr>
              <w:rFonts w:ascii="Times New Roman" w:hAnsi="Times New Roman" w:cs="Times New Roman"/>
              <w:sz w:val="24"/>
              <w:szCs w:val="24"/>
            </w:rPr>
            <w:tab/>
          </w:r>
          <w:r>
            <w:rPr>
              <w:rFonts w:ascii="Times New Roman" w:hAnsi="Times New Roman" w:cs="Times New Roman"/>
              <w:sz w:val="24"/>
              <w:szCs w:val="24"/>
            </w:rPr>
            <w:t>F2</w:t>
          </w:r>
        </w:p>
        <w:p>
          <w:r>
            <w:fldChar w:fldCharType="end"/>
          </w:r>
        </w:p>
      </w:sdtContent>
    </w:sdt>
    <w:p>
      <w:pPr>
        <w:pStyle w:val="TituloSemIndice"/>
        <w:pageBreakBefore/>
        <w:spacing w:after="480" w:before="567"/>
        <w:jc w:val="center"/>
      </w:pPr>
      <w:r>
        <w:rPr>
          <w:rFonts w:ascii="Times New Roman" w:cs="Times New Roman" w:eastAsia="Times New Roman" w:hAnsi="Times New Roman"/>
          <w:b/>
          <w:bCs/>
          <w:sz w:val="28"/>
          <w:szCs w:val="28"/>
        </w:rPr>
        <w:t xml:space="preserve">ÍNDICE DE TABELAS</w:t>
      </w:r>
    </w:p>
    <w:sdt>
      <w:sdtPr>
        <w:alias w:val="Índice de tabelas"/>
      </w:sdtPr>
      <w:sdtContent>
        <w:p>
          <w:r>
            <w:fldChar w:fldCharType="begin"/>
            <w:instrText xml:space="preserve">TOC \h \t "LegendaTabela,1"</w:instrText>
            <w:fldChar w:fldCharType="separate"/>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Tabela 1.1 – Correspondência entre objectivos específicos e hipóteses</w:t>
          </w:r>
          <w:r>
            <w:rPr>
              <w:rFonts w:ascii="Times New Roman" w:hAnsi="Times New Roman" w:cs="Times New Roman"/>
              <w:sz w:val="24"/>
              <w:szCs w:val="24"/>
            </w:rPr>
            <w:tab/>
          </w:r>
          <w:r>
            <w:rPr>
              <w:rFonts w:ascii="Times New Roman" w:hAnsi="Times New Roman" w:cs="Times New Roman"/>
              <w:sz w:val="24"/>
              <w:szCs w:val="24"/>
            </w:rPr>
            <w:t>4</w:t>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Tabela 2.1 – Algoritmos de classificação comparados</w:t>
          </w:r>
          <w:r>
            <w:rPr>
              <w:rFonts w:ascii="Times New Roman" w:hAnsi="Times New Roman" w:cs="Times New Roman"/>
              <w:sz w:val="24"/>
              <w:szCs w:val="24"/>
            </w:rPr>
            <w:tab/>
          </w:r>
          <w:r>
            <w:rPr>
              <w:rFonts w:ascii="Times New Roman" w:hAnsi="Times New Roman" w:cs="Times New Roman"/>
              <w:sz w:val="24"/>
              <w:szCs w:val="24"/>
            </w:rPr>
            <w:t>10</w:t>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Tabela 3.1 – Configuração dos modelos</w:t>
          </w:r>
          <w:r>
            <w:rPr>
              <w:rFonts w:ascii="Times New Roman" w:hAnsi="Times New Roman" w:cs="Times New Roman"/>
              <w:sz w:val="24"/>
              <w:szCs w:val="24"/>
            </w:rPr>
            <w:tab/>
          </w:r>
          <w:r>
            <w:rPr>
              <w:rFonts w:ascii="Times New Roman" w:hAnsi="Times New Roman" w:cs="Times New Roman"/>
              <w:sz w:val="24"/>
              <w:szCs w:val="24"/>
            </w:rPr>
            <w:t>19</w:t>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Tabela 3.2 – Ambiente de desenvolvimento</w:t>
          </w:r>
          <w:r>
            <w:rPr>
              <w:rFonts w:ascii="Times New Roman" w:hAnsi="Times New Roman" w:cs="Times New Roman"/>
              <w:sz w:val="24"/>
              <w:szCs w:val="24"/>
            </w:rPr>
            <w:tab/>
          </w:r>
          <w:r>
            <w:rPr>
              <w:rFonts w:ascii="Times New Roman" w:hAnsi="Times New Roman" w:cs="Times New Roman"/>
              <w:sz w:val="24"/>
              <w:szCs w:val="24"/>
            </w:rPr>
            <w:t>20</w:t>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Tabela 3.3 – Requisitos do sistema</w:t>
          </w:r>
          <w:r>
            <w:rPr>
              <w:rFonts w:ascii="Times New Roman" w:hAnsi="Times New Roman" w:cs="Times New Roman"/>
              <w:sz w:val="24"/>
              <w:szCs w:val="24"/>
            </w:rPr>
            <w:tab/>
          </w:r>
          <w:r>
            <w:rPr>
              <w:rFonts w:ascii="Times New Roman" w:hAnsi="Times New Roman" w:cs="Times New Roman"/>
              <w:sz w:val="24"/>
              <w:szCs w:val="24"/>
            </w:rPr>
            <w:t>21</w:t>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Tabela 3.4 – Comparação das arquitecturas consideradas</w:t>
          </w:r>
          <w:r>
            <w:rPr>
              <w:rFonts w:ascii="Times New Roman" w:hAnsi="Times New Roman" w:cs="Times New Roman"/>
              <w:sz w:val="24"/>
              <w:szCs w:val="24"/>
            </w:rPr>
            <w:tab/>
          </w:r>
          <w:r>
            <w:rPr>
              <w:rFonts w:ascii="Times New Roman" w:hAnsi="Times New Roman" w:cs="Times New Roman"/>
              <w:sz w:val="24"/>
              <w:szCs w:val="24"/>
            </w:rPr>
            <w:t>22</w:t>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Tabela 3.5 – Plano de implementação faseada</w:t>
          </w:r>
          <w:r>
            <w:rPr>
              <w:rFonts w:ascii="Times New Roman" w:hAnsi="Times New Roman" w:cs="Times New Roman"/>
              <w:sz w:val="24"/>
              <w:szCs w:val="24"/>
            </w:rPr>
            <w:tab/>
          </w:r>
          <w:r>
            <w:rPr>
              <w:rFonts w:ascii="Times New Roman" w:hAnsi="Times New Roman" w:cs="Times New Roman"/>
              <w:sz w:val="24"/>
              <w:szCs w:val="24"/>
            </w:rPr>
            <w:t>28</w:t>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Tabela 4.1 – Composição do corpus harmonizado por fonte e categoria</w:t>
          </w:r>
          <w:r>
            <w:rPr>
              <w:rFonts w:ascii="Times New Roman" w:hAnsi="Times New Roman" w:cs="Times New Roman"/>
              <w:sz w:val="24"/>
              <w:szCs w:val="24"/>
            </w:rPr>
            <w:tab/>
          </w:r>
          <w:r>
            <w:rPr>
              <w:rFonts w:ascii="Times New Roman" w:hAnsi="Times New Roman" w:cs="Times New Roman"/>
              <w:sz w:val="24"/>
              <w:szCs w:val="24"/>
            </w:rPr>
            <w:t>29</w:t>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Tabela 4.2 – Desempenho dos modelos no conjunto de teste</w:t>
          </w:r>
          <w:r>
            <w:rPr>
              <w:rFonts w:ascii="Times New Roman" w:hAnsi="Times New Roman" w:cs="Times New Roman"/>
              <w:sz w:val="24"/>
              <w:szCs w:val="24"/>
            </w:rPr>
            <w:tab/>
          </w:r>
          <w:r>
            <w:rPr>
              <w:rFonts w:ascii="Times New Roman" w:hAnsi="Times New Roman" w:cs="Times New Roman"/>
              <w:sz w:val="24"/>
              <w:szCs w:val="24"/>
            </w:rPr>
            <w:t>30</w:t>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Tabela 4.3 – Comparações emparelhadas: diferença de F1-macro e teste de McNemar</w:t>
          </w:r>
          <w:r>
            <w:rPr>
              <w:rFonts w:ascii="Times New Roman" w:hAnsi="Times New Roman" w:cs="Times New Roman"/>
              <w:sz w:val="24"/>
              <w:szCs w:val="24"/>
            </w:rPr>
            <w:tab/>
          </w:r>
          <w:r>
            <w:rPr>
              <w:rFonts w:ascii="Times New Roman" w:hAnsi="Times New Roman" w:cs="Times New Roman"/>
              <w:sz w:val="24"/>
              <w:szCs w:val="24"/>
            </w:rPr>
            <w:t>32</w:t>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Tabela 4.4 – F1 por categoria e modelo; precisão e sensibilidade do BERTimbau</w:t>
          </w:r>
          <w:r>
            <w:rPr>
              <w:rFonts w:ascii="Times New Roman" w:hAnsi="Times New Roman" w:cs="Times New Roman"/>
              <w:sz w:val="24"/>
              <w:szCs w:val="24"/>
            </w:rPr>
            <w:tab/>
          </w:r>
          <w:r>
            <w:rPr>
              <w:rFonts w:ascii="Times New Roman" w:hAnsi="Times New Roman" w:cs="Times New Roman"/>
              <w:sz w:val="24"/>
              <w:szCs w:val="24"/>
            </w:rPr>
            <w:t>32</w:t>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Tabela 4.5 – Variantes do BERTimbau: validação, teste e comparação com a referência</w:t>
          </w:r>
          <w:r>
            <w:rPr>
              <w:rFonts w:ascii="Times New Roman" w:hAnsi="Times New Roman" w:cs="Times New Roman"/>
              <w:sz w:val="24"/>
              <w:szCs w:val="24"/>
            </w:rPr>
            <w:tab/>
          </w:r>
          <w:r>
            <w:rPr>
              <w:rFonts w:ascii="Times New Roman" w:hAnsi="Times New Roman" w:cs="Times New Roman"/>
              <w:sz w:val="24"/>
              <w:szCs w:val="24"/>
            </w:rPr>
            <w:t>35</w:t>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Tabela 4.6 – Efeito do ajuste de limiares no F1-macro</w:t>
          </w:r>
          <w:r>
            <w:rPr>
              <w:rFonts w:ascii="Times New Roman" w:hAnsi="Times New Roman" w:cs="Times New Roman"/>
              <w:sz w:val="24"/>
              <w:szCs w:val="24"/>
            </w:rPr>
            <w:tab/>
          </w:r>
          <w:r>
            <w:rPr>
              <w:rFonts w:ascii="Times New Roman" w:hAnsi="Times New Roman" w:cs="Times New Roman"/>
              <w:sz w:val="24"/>
              <w:szCs w:val="24"/>
            </w:rPr>
            <w:t>36</w:t>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Tabela 4.7 – Desempenho do BERTimbau no piloto angolano e no corpus público</w:t>
          </w:r>
          <w:r>
            <w:rPr>
              <w:rFonts w:ascii="Times New Roman" w:hAnsi="Times New Roman" w:cs="Times New Roman"/>
              <w:sz w:val="24"/>
              <w:szCs w:val="24"/>
            </w:rPr>
            <w:tab/>
          </w:r>
          <w:r>
            <w:rPr>
              <w:rFonts w:ascii="Times New Roman" w:hAnsi="Times New Roman" w:cs="Times New Roman"/>
              <w:sz w:val="24"/>
              <w:szCs w:val="24"/>
            </w:rPr>
            <w:t>37</w:t>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Tabela 4.8 – Tempo de processamento do protótipo com o modelo do sistema</w:t>
          </w:r>
          <w:r>
            <w:rPr>
              <w:rFonts w:ascii="Times New Roman" w:hAnsi="Times New Roman" w:cs="Times New Roman"/>
              <w:sz w:val="24"/>
              <w:szCs w:val="24"/>
            </w:rPr>
            <w:tab/>
          </w:r>
          <w:r>
            <w:rPr>
              <w:rFonts w:ascii="Times New Roman" w:hAnsi="Times New Roman" w:cs="Times New Roman"/>
              <w:sz w:val="24"/>
              <w:szCs w:val="24"/>
            </w:rPr>
            <w:t>39</w:t>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Tabela 4.9 – Verificação formal das hipóteses de investigação</w:t>
          </w:r>
          <w:r>
            <w:rPr>
              <w:rFonts w:ascii="Times New Roman" w:hAnsi="Times New Roman" w:cs="Times New Roman"/>
              <w:sz w:val="24"/>
              <w:szCs w:val="24"/>
            </w:rPr>
            <w:tab/>
          </w:r>
          <w:r>
            <w:rPr>
              <w:rFonts w:ascii="Times New Roman" w:hAnsi="Times New Roman" w:cs="Times New Roman"/>
              <w:sz w:val="24"/>
              <w:szCs w:val="24"/>
            </w:rPr>
            <w:t>40</w:t>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Tabela 5.1 – Cumprimento dos objectivos específicos</w:t>
          </w:r>
          <w:r>
            <w:rPr>
              <w:rFonts w:ascii="Times New Roman" w:hAnsi="Times New Roman" w:cs="Times New Roman"/>
              <w:sz w:val="24"/>
              <w:szCs w:val="24"/>
            </w:rPr>
            <w:tab/>
          </w:r>
          <w:r>
            <w:rPr>
              <w:rFonts w:ascii="Times New Roman" w:hAnsi="Times New Roman" w:cs="Times New Roman"/>
              <w:sz w:val="24"/>
              <w:szCs w:val="24"/>
            </w:rPr>
            <w:t>43</w:t>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Tabela C.1 – Escala de interpretação do Kappa (Landis &amp; Koch, 1977)</w:t>
          </w:r>
          <w:r>
            <w:rPr>
              <w:rFonts w:ascii="Times New Roman" w:hAnsi="Times New Roman" w:cs="Times New Roman"/>
              <w:sz w:val="24"/>
              <w:szCs w:val="24"/>
            </w:rPr>
            <w:tab/>
          </w:r>
          <w:r>
            <w:rPr>
              <w:rFonts w:ascii="Times New Roman" w:hAnsi="Times New Roman" w:cs="Times New Roman"/>
              <w:sz w:val="24"/>
              <w:szCs w:val="24"/>
            </w:rPr>
            <w:t>C1</w:t>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Tabela C.2 – Acordo entre os três anotadores</w:t>
          </w:r>
          <w:r>
            <w:rPr>
              <w:rFonts w:ascii="Times New Roman" w:hAnsi="Times New Roman" w:cs="Times New Roman"/>
              <w:sz w:val="24"/>
              <w:szCs w:val="24"/>
            </w:rPr>
            <w:tab/>
          </w:r>
          <w:r>
            <w:rPr>
              <w:rFonts w:ascii="Times New Roman" w:hAnsi="Times New Roman" w:cs="Times New Roman"/>
              <w:sz w:val="24"/>
              <w:szCs w:val="24"/>
            </w:rPr>
            <w:t>C1</w:t>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Tabela C.3 – Acordo por par de anotadores e por categoria (amostras aleatórias, n = 2.443)</w:t>
          </w:r>
          <w:r>
            <w:rPr>
              <w:rFonts w:ascii="Times New Roman" w:hAnsi="Times New Roman" w:cs="Times New Roman"/>
              <w:sz w:val="24"/>
              <w:szCs w:val="24"/>
            </w:rPr>
            <w:tab/>
          </w:r>
          <w:r>
            <w:rPr>
              <w:rFonts w:ascii="Times New Roman" w:hAnsi="Times New Roman" w:cs="Times New Roman"/>
              <w:sz w:val="24"/>
              <w:szCs w:val="24"/>
            </w:rPr>
            <w:t>C2</w:t>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Tabela C.4 – Distribuição das etiquetas finais do corpus angolano</w:t>
          </w:r>
          <w:r>
            <w:rPr>
              <w:rFonts w:ascii="Times New Roman" w:hAnsi="Times New Roman" w:cs="Times New Roman"/>
              <w:sz w:val="24"/>
              <w:szCs w:val="24"/>
            </w:rPr>
            <w:tab/>
          </w:r>
          <w:r>
            <w:rPr>
              <w:rFonts w:ascii="Times New Roman" w:hAnsi="Times New Roman" w:cs="Times New Roman"/>
              <w:sz w:val="24"/>
              <w:szCs w:val="24"/>
            </w:rPr>
            <w:t>C2</w:t>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Tabela E.1 – Amostra de comentários anotados</w:t>
          </w:r>
          <w:r>
            <w:rPr>
              <w:rFonts w:ascii="Times New Roman" w:hAnsi="Times New Roman" w:cs="Times New Roman"/>
              <w:sz w:val="24"/>
              <w:szCs w:val="24"/>
            </w:rPr>
            <w:tab/>
          </w:r>
          <w:r>
            <w:rPr>
              <w:rFonts w:ascii="Times New Roman" w:hAnsi="Times New Roman" w:cs="Times New Roman"/>
              <w:sz w:val="24"/>
              <w:szCs w:val="24"/>
            </w:rPr>
            <w:t>E1</w:t>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Tabela F.1 – Variáveis de configuração</w:t>
          </w:r>
          <w:r>
            <w:rPr>
              <w:rFonts w:ascii="Times New Roman" w:hAnsi="Times New Roman" w:cs="Times New Roman"/>
              <w:sz w:val="24"/>
              <w:szCs w:val="24"/>
            </w:rPr>
            <w:tab/>
          </w:r>
          <w:r>
            <w:rPr>
              <w:rFonts w:ascii="Times New Roman" w:hAnsi="Times New Roman" w:cs="Times New Roman"/>
              <w:sz w:val="24"/>
              <w:szCs w:val="24"/>
            </w:rPr>
            <w:t>F1</w:t>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Tabela F.2 – Páginas da aplicação web</w:t>
          </w:r>
          <w:r>
            <w:rPr>
              <w:rFonts w:ascii="Times New Roman" w:hAnsi="Times New Roman" w:cs="Times New Roman"/>
              <w:sz w:val="24"/>
              <w:szCs w:val="24"/>
            </w:rPr>
            <w:tab/>
          </w:r>
          <w:r>
            <w:rPr>
              <w:rFonts w:ascii="Times New Roman" w:hAnsi="Times New Roman" w:cs="Times New Roman"/>
              <w:sz w:val="24"/>
              <w:szCs w:val="24"/>
            </w:rPr>
            <w:t>F2</w:t>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Tabela F.3 – Comandos do sistema</w:t>
          </w:r>
          <w:r>
            <w:rPr>
              <w:rFonts w:ascii="Times New Roman" w:hAnsi="Times New Roman" w:cs="Times New Roman"/>
              <w:sz w:val="24"/>
              <w:szCs w:val="24"/>
            </w:rPr>
            <w:tab/>
          </w:r>
          <w:r>
            <w:rPr>
              <w:rFonts w:ascii="Times New Roman" w:hAnsi="Times New Roman" w:cs="Times New Roman"/>
              <w:sz w:val="24"/>
              <w:szCs w:val="24"/>
            </w:rPr>
            <w:t>F2</w:t>
          </w:r>
        </w:p>
        <w:p>
          <w:r>
            <w:fldChar w:fldCharType="end"/>
          </w:r>
        </w:p>
      </w:sdtContent>
    </w:sdt>
    <w:p>
      <w:pPr>
        <w:pStyle w:val="TituloSemIndice"/>
        <w:pageBreakBefore/>
        <w:spacing w:after="480" w:before="567"/>
        <w:jc w:val="center"/>
      </w:pPr>
      <w:r>
        <w:rPr>
          <w:rFonts w:ascii="Times New Roman" w:cs="Times New Roman" w:eastAsia="Times New Roman" w:hAnsi="Times New Roman"/>
          <w:b/>
          <w:bCs/>
          <w:sz w:val="28"/>
          <w:szCs w:val="28"/>
        </w:rPr>
        <w:t xml:space="preserve">ÍNDICE DE FIGURAS</w:t>
      </w:r>
    </w:p>
    <w:sdt>
      <w:sdtPr>
        <w:alias w:val="Índice de figuras"/>
      </w:sdtPr>
      <w:sdtContent>
        <w:p>
          <w:r>
            <w:fldChar w:fldCharType="begin"/>
            <w:instrText xml:space="preserve">TOC \h \t "LegendaFigura,1"</w:instrText>
            <w:fldChar w:fldCharType="separate"/>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Figura 1.1 – Indicadores do ecossistema digital angolano (Outubro de 2025)</w:t>
          </w:r>
          <w:r>
            <w:rPr>
              <w:rFonts w:ascii="Times New Roman" w:hAnsi="Times New Roman" w:cs="Times New Roman"/>
              <w:sz w:val="24"/>
              <w:szCs w:val="24"/>
            </w:rPr>
            <w:tab/>
          </w:r>
          <w:r>
            <w:rPr>
              <w:rFonts w:ascii="Times New Roman" w:hAnsi="Times New Roman" w:cs="Times New Roman"/>
              <w:sz w:val="24"/>
              <w:szCs w:val="24"/>
            </w:rPr>
            <w:t>1</w:t>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Figura 3.1 – Desenho da investigação</w:t>
          </w:r>
          <w:r>
            <w:rPr>
              <w:rFonts w:ascii="Times New Roman" w:hAnsi="Times New Roman" w:cs="Times New Roman"/>
              <w:sz w:val="24"/>
              <w:szCs w:val="24"/>
            </w:rPr>
            <w:tab/>
          </w:r>
          <w:r>
            <w:rPr>
              <w:rFonts w:ascii="Times New Roman" w:hAnsi="Times New Roman" w:cs="Times New Roman"/>
              <w:sz w:val="24"/>
              <w:szCs w:val="24"/>
            </w:rPr>
            <w:t>14</w:t>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Figura 3.2 – Construção do corpus híbrido e divisão em treino, validação e teste</w:t>
          </w:r>
          <w:r>
            <w:rPr>
              <w:rFonts w:ascii="Times New Roman" w:hAnsi="Times New Roman" w:cs="Times New Roman"/>
              <w:sz w:val="24"/>
              <w:szCs w:val="24"/>
            </w:rPr>
            <w:tab/>
          </w:r>
          <w:r>
            <w:rPr>
              <w:rFonts w:ascii="Times New Roman" w:hAnsi="Times New Roman" w:cs="Times New Roman"/>
              <w:sz w:val="24"/>
              <w:szCs w:val="24"/>
            </w:rPr>
            <w:t>18</w:t>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Figura 3.3 – Arquitectura em camadas do sistema de triagem</w:t>
          </w:r>
          <w:r>
            <w:rPr>
              <w:rFonts w:ascii="Times New Roman" w:hAnsi="Times New Roman" w:cs="Times New Roman"/>
              <w:sz w:val="24"/>
              <w:szCs w:val="24"/>
            </w:rPr>
            <w:tab/>
          </w:r>
          <w:r>
            <w:rPr>
              <w:rFonts w:ascii="Times New Roman" w:hAnsi="Times New Roman" w:cs="Times New Roman"/>
              <w:sz w:val="24"/>
              <w:szCs w:val="24"/>
            </w:rPr>
            <w:t>23</w:t>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Figura 3.4 – Modelo de dados do sistema</w:t>
          </w:r>
          <w:r>
            <w:rPr>
              <w:rFonts w:ascii="Times New Roman" w:hAnsi="Times New Roman" w:cs="Times New Roman"/>
              <w:sz w:val="24"/>
              <w:szCs w:val="24"/>
            </w:rPr>
            <w:tab/>
          </w:r>
          <w:r>
            <w:rPr>
              <w:rFonts w:ascii="Times New Roman" w:hAnsi="Times New Roman" w:cs="Times New Roman"/>
              <w:sz w:val="24"/>
              <w:szCs w:val="24"/>
            </w:rPr>
            <w:t>24</w:t>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Figura 3.5 – Diagrama de casos de uso (UML)</w:t>
          </w:r>
          <w:r>
            <w:rPr>
              <w:rFonts w:ascii="Times New Roman" w:hAnsi="Times New Roman" w:cs="Times New Roman"/>
              <w:sz w:val="24"/>
              <w:szCs w:val="24"/>
            </w:rPr>
            <w:tab/>
          </w:r>
          <w:r>
            <w:rPr>
              <w:rFonts w:ascii="Times New Roman" w:hAnsi="Times New Roman" w:cs="Times New Roman"/>
              <w:sz w:val="24"/>
              <w:szCs w:val="24"/>
            </w:rPr>
            <w:t>25</w:t>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Figura 3.6 – Diagrama de sequência (UML): da importação à revisão</w:t>
          </w:r>
          <w:r>
            <w:rPr>
              <w:rFonts w:ascii="Times New Roman" w:hAnsi="Times New Roman" w:cs="Times New Roman"/>
              <w:sz w:val="24"/>
              <w:szCs w:val="24"/>
            </w:rPr>
            <w:tab/>
          </w:r>
          <w:r>
            <w:rPr>
              <w:rFonts w:ascii="Times New Roman" w:hAnsi="Times New Roman" w:cs="Times New Roman"/>
              <w:sz w:val="24"/>
              <w:szCs w:val="24"/>
            </w:rPr>
            <w:t>25</w:t>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Figura 3.7 – Fila de revisão na aplicação web</w:t>
          </w:r>
          <w:r>
            <w:rPr>
              <w:rFonts w:ascii="Times New Roman" w:hAnsi="Times New Roman" w:cs="Times New Roman"/>
              <w:sz w:val="24"/>
              <w:szCs w:val="24"/>
            </w:rPr>
            <w:tab/>
          </w:r>
          <w:r>
            <w:rPr>
              <w:rFonts w:ascii="Times New Roman" w:hAnsi="Times New Roman" w:cs="Times New Roman"/>
              <w:sz w:val="24"/>
              <w:szCs w:val="24"/>
            </w:rPr>
            <w:t>26</w:t>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Figura 4.1 – Curvas ROC um-contra-todos por categoria e modelo (conjunto de teste; AUC entre parêntesis)</w:t>
          </w:r>
          <w:r>
            <w:rPr>
              <w:rFonts w:ascii="Times New Roman" w:hAnsi="Times New Roman" w:cs="Times New Roman"/>
              <w:sz w:val="24"/>
              <w:szCs w:val="24"/>
            </w:rPr>
            <w:tab/>
          </w:r>
          <w:r>
            <w:rPr>
              <w:rFonts w:ascii="Times New Roman" w:hAnsi="Times New Roman" w:cs="Times New Roman"/>
              <w:sz w:val="24"/>
              <w:szCs w:val="24"/>
            </w:rPr>
            <w:t>31</w:t>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Figura 4.2 – Matrizes de confusão (4 × 4) no conjunto de teste (contagens e percentagem por linha)</w:t>
          </w:r>
          <w:r>
            <w:rPr>
              <w:rFonts w:ascii="Times New Roman" w:hAnsi="Times New Roman" w:cs="Times New Roman"/>
              <w:sz w:val="24"/>
              <w:szCs w:val="24"/>
            </w:rPr>
            <w:tab/>
          </w:r>
          <w:r>
            <w:rPr>
              <w:rFonts w:ascii="Times New Roman" w:hAnsi="Times New Roman" w:cs="Times New Roman"/>
              <w:sz w:val="24"/>
              <w:szCs w:val="24"/>
            </w:rPr>
            <w:t>34</w:t>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Figura 4.3 – F1 por categoria do BERTimbau no corpus público e no piloto angolano (conjunto de teste)</w:t>
          </w:r>
          <w:r>
            <w:rPr>
              <w:rFonts w:ascii="Times New Roman" w:hAnsi="Times New Roman" w:cs="Times New Roman"/>
              <w:sz w:val="24"/>
              <w:szCs w:val="24"/>
            </w:rPr>
            <w:tab/>
          </w:r>
          <w:r>
            <w:rPr>
              <w:rFonts w:ascii="Times New Roman" w:hAnsi="Times New Roman" w:cs="Times New Roman"/>
              <w:sz w:val="24"/>
              <w:szCs w:val="24"/>
            </w:rPr>
            <w:t>37</w:t>
          </w:r>
        </w:p>
        <w:p>
          <w:r>
            <w:fldChar w:fldCharType="end"/>
          </w:r>
        </w:p>
      </w:sdtContent>
    </w:sdt>
    <w:p>
      <w:pPr>
        <w:sectPr>
          <w:headerReference w:type="default" r:id="rId9"/>
          <w:headerReference w:type="first" r:id="rId10"/>
          <w:footerReference w:type="default" r:id="rId11"/>
          <w:footerReference w:type="first" r:id="rId12"/>
          <w:type w:val="nextPage"/>
          <w:pgSz w:w="11906" w:h="16838" w:orient="portrait"/>
          <w:pgMar w:top="1701" w:right="1701" w:bottom="1417" w:left="1984" w:header="850" w:footer="567" w:gutter="0"/>
          <w:pgNumType w:start="1" w:fmt="lowerRoman"/>
          <w:titlePg/>
          <w:docGrid w:linePitch="360"/>
        </w:sectPr>
      </w:pPr>
    </w:p>
    <w:p>
      <w:pPr>
        <w:pStyle w:val="Heading1"/>
        <w:spacing w:after="480" w:before="567"/>
        <w:jc w:val="left"/>
      </w:pPr>
      <w:r>
        <w:rPr>
          <w:rFonts w:ascii="Times New Roman" w:cs="Times New Roman" w:eastAsia="Times New Roman" w:hAnsi="Times New Roman"/>
          <w:b/>
          <w:bCs/>
          <w:sz w:val="28"/>
          <w:szCs w:val="28"/>
        </w:rPr>
        <w:t xml:space="preserve">CAPÍTULO 1 – INTRODUÇÃO</w:t>
      </w:r>
    </w:p>
    <w:p>
      <w:pPr>
        <w:pStyle w:val="Heading2"/>
        <w:keepNext/>
        <w:keepLines/>
        <w:spacing w:after="160" w:before="360" w:line="300"/>
      </w:pPr>
      <w:r>
        <w:rPr>
          <w:rFonts w:ascii="Times New Roman" w:cs="Times New Roman" w:eastAsia="Times New Roman" w:hAnsi="Times New Roman"/>
          <w:b/>
          <w:bCs/>
          <w:sz w:val="26"/>
          <w:szCs w:val="26"/>
        </w:rPr>
        <w:t xml:space="preserve">1.1 Contextualização</w:t>
      </w:r>
    </w:p>
    <w:p>
      <w:pPr>
        <w:spacing w:after="120" w:before="0" w:line="360"/>
        <w:ind w:firstLine="567"/>
        <w:jc w:val="both"/>
      </w:pPr>
      <w:r>
        <w:rPr>
          <w:rFonts w:ascii="Times New Roman" w:cs="Times New Roman" w:eastAsia="Times New Roman" w:hAnsi="Times New Roman"/>
          <w:sz w:val="24"/>
          <w:szCs w:val="24"/>
        </w:rPr>
        <w:t xml:space="preserve">As redes sociais deixaram de ser apenas lugares de convívio. Hoje é nelas que muitas pessoas se informam, discutem política e combinam encontros, e é também nelas que circulam boatos, insultos dirigidos a grupos e convocatórias que podem pôr em risco a ordem pública. Por isso, em quase todos os países com acesso generalizado à Internet, as plataformas digitais passaram também a ser assunto de segurança nacional.</w:t>
      </w:r>
    </w:p>
    <w:p>
      <w:pPr>
        <w:spacing w:after="120" w:before="0" w:line="360"/>
        <w:ind w:firstLine="567"/>
        <w:jc w:val="both"/>
      </w:pPr>
      <w:r>
        <w:rPr>
          <w:rFonts w:ascii="Times New Roman" w:cs="Times New Roman" w:eastAsia="Times New Roman" w:hAnsi="Times New Roman"/>
          <w:sz w:val="24"/>
          <w:szCs w:val="24"/>
        </w:rPr>
        <w:t xml:space="preserve">Em Angola, o fenómeno tem uma escala considerável. Segundo o relatório </w:t>
      </w:r>
      <w:r>
        <w:rPr>
          <w:rFonts w:ascii="Times New Roman" w:cs="Times New Roman" w:eastAsia="Times New Roman" w:hAnsi="Times New Roman"/>
          <w:i/>
          <w:iCs/>
          <w:sz w:val="24"/>
          <w:szCs w:val="24"/>
        </w:rPr>
        <w:t xml:space="preserve">Digital 2026: Angola</w:t>
      </w:r>
      <w:r>
        <w:rPr>
          <w:rFonts w:ascii="Times New Roman" w:cs="Times New Roman" w:eastAsia="Times New Roman" w:hAnsi="Times New Roman"/>
          <w:sz w:val="24"/>
          <w:szCs w:val="24"/>
        </w:rPr>
        <w:t xml:space="preserve">, o país tinha, em Outubro de 2025, cerca de 17,6 milhões de utilizadores da Internet (44,8% da população) e 5,50 milhões de identidades em redes sociais, o equivalente a 14,0% da população (Kemp, 2025). O Facebook é a plataforma com maior alcance publicitário, seguido do TikTok, e as ligações móveis (30,6 milhões) superam largamente o número de computadores, o que faz do telemóvel o principal ponto de acesso. A Figura 1.1 resume estes indicadores.</w:t>
      </w:r>
    </w:p>
    <w:p>
      <w:pPr>
        <w:keepNext/>
        <w:spacing w:after="40" w:before="160"/>
        <w:jc w:val="center"/>
      </w:pPr>
      <w:r>
        <w:drawing>
          <wp:inline distT="0" distB="0" distL="0" distR="0">
            <wp:extent cx="5038725" cy="2524125"/>
            <wp:effectExtent t="0" r="0" b="0" l="0"/>
            <wp:docPr id="1" name="fig1_1_ecossistema.png" descr="fig1_1_ecossistema.png" title="fig1_1_ecossiste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038725" cy="2524125"/>
                    </a:xfrm>
                    <a:prstGeom prst="rect">
                      <a:avLst/>
                    </a:prstGeom>
                  </pic:spPr>
                </pic:pic>
              </a:graphicData>
            </a:graphic>
          </wp:inline>
        </w:drawing>
      </w:r>
    </w:p>
    <w:p>
      <w:pPr>
        <w:pStyle w:val="LegendaFigura"/>
        <w:spacing w:after="120" w:before="60" w:line="240"/>
        <w:jc w:val="center"/>
      </w:pPr>
      <w:r>
        <w:rPr>
          <w:rFonts w:ascii="Times New Roman" w:cs="Times New Roman" w:eastAsia="Times New Roman" w:hAnsi="Times New Roman"/>
          <w:b/>
          <w:bCs/>
          <w:sz w:val="20"/>
          <w:szCs w:val="20"/>
        </w:rPr>
        <w:t xml:space="preserve">Figura 1.1 – Indicadores do ecossistema digital angolano (Outubro de 2025)</w:t>
      </w:r>
    </w:p>
    <w:p>
      <w:pPr>
        <w:spacing w:after="240" w:before="0" w:line="240"/>
        <w:jc w:val="center"/>
      </w:pPr>
      <w:r>
        <w:rPr>
          <w:rFonts w:ascii="Times New Roman" w:cs="Times New Roman" w:eastAsia="Times New Roman" w:hAnsi="Times New Roman"/>
          <w:i/>
          <w:iCs/>
          <w:sz w:val="18"/>
          <w:szCs w:val="18"/>
        </w:rPr>
        <w:t xml:space="preserve">Fonte: elaborado a partir de Kemp (2025). Os valores de alcance publicitário não correspondem a utilizadores únicos.</w:t>
      </w:r>
    </w:p>
    <w:p>
      <w:pPr>
        <w:spacing w:after="120" w:before="0" w:line="360"/>
        <w:ind w:firstLine="567"/>
        <w:jc w:val="both"/>
      </w:pPr>
      <w:r>
        <w:rPr>
          <w:rFonts w:ascii="Times New Roman" w:cs="Times New Roman" w:eastAsia="Times New Roman" w:hAnsi="Times New Roman"/>
          <w:sz w:val="24"/>
          <w:szCs w:val="24"/>
        </w:rPr>
        <w:t xml:space="preserve">Dois episódios ilustram o peso político deste espaço. A campanha «2022 Vais Gostar» nasceu nas redes sociais e acabou por se traduzir em manifestações em várias províncias (Hassane, 2021). A influência das redes no comportamento eleitoral dos jovens nas eleições de 2022 foi igualmente documentada (Sambaca &amp; Pessoa, 2026). Nos dois casos, a mobilização começou na Internet e só alguns dias depois chegou às ruas.</w:t>
      </w:r>
    </w:p>
    <w:p>
      <w:pPr>
        <w:spacing w:after="120" w:before="0" w:line="360"/>
        <w:ind w:firstLine="567"/>
        <w:jc w:val="both"/>
      </w:pPr>
      <w:r>
        <w:rPr>
          <w:rFonts w:ascii="Times New Roman" w:cs="Times New Roman" w:eastAsia="Times New Roman" w:hAnsi="Times New Roman"/>
          <w:sz w:val="24"/>
          <w:szCs w:val="24"/>
        </w:rPr>
        <w:t xml:space="preserve">Para as estruturas de defesa e segurança, a dificuldade está no volume. Não é possível ler tudo o que se publica, e as ferramentas comerciais de monitorização foram concebidas para outras línguas, outros contextos e outros orçamentos. Há, por isso, espaço para um sistema que ajude o analista a decidir o que ler primeiro, adaptado ao português usado em Angola e assente em princípios claros de protecção de dados.</w:t>
      </w:r>
    </w:p>
    <w:p>
      <w:pPr>
        <w:pStyle w:val="Heading2"/>
        <w:keepNext/>
        <w:keepLines/>
        <w:spacing w:after="160" w:before="360" w:line="300"/>
      </w:pPr>
      <w:r>
        <w:rPr>
          <w:rFonts w:ascii="Times New Roman" w:cs="Times New Roman" w:eastAsia="Times New Roman" w:hAnsi="Times New Roman"/>
          <w:b/>
          <w:bCs/>
          <w:sz w:val="26"/>
          <w:szCs w:val="26"/>
        </w:rPr>
        <w:t xml:space="preserve">1.2 Problema de investigação</w:t>
      </w:r>
    </w:p>
    <w:p>
      <w:pPr>
        <w:spacing w:after="120" w:before="0" w:line="360"/>
        <w:ind w:firstLine="567"/>
        <w:jc w:val="both"/>
      </w:pPr>
      <w:r>
        <w:rPr>
          <w:rFonts w:ascii="Times New Roman" w:cs="Times New Roman" w:eastAsia="Times New Roman" w:hAnsi="Times New Roman"/>
          <w:sz w:val="24"/>
          <w:szCs w:val="24"/>
        </w:rPr>
        <w:t xml:space="preserve">O problema que motiva esta dissertação tem uma dimensão técnica e outra operacional. Do lado técnico, não existe, tanto quanto foi possível apurar, um classificador de conteúdos ameaçadores treinado e avaliado com dados angolanos. Os modelos de linguagem disponíveis para o português, como o BERTimbau (Souza et al., 2020), foram pré-treinados sobretudo com texto brasileiro, e os corpora anotados para discurso de ódio e desinformação em português provêm igualmente do Brasil (Leite et al., 2020; Monteiro et al., 2018; Vargas et al., 2022). Não se sabe, portanto, quanto do desempenho reportado nesses trabalhos se mantém quando o texto é angolano.</w:t>
      </w:r>
    </w:p>
    <w:p>
      <w:pPr>
        <w:spacing w:after="120" w:before="0" w:line="360"/>
        <w:ind w:firstLine="567"/>
        <w:jc w:val="both"/>
      </w:pPr>
      <w:r>
        <w:rPr>
          <w:rFonts w:ascii="Times New Roman" w:cs="Times New Roman" w:eastAsia="Times New Roman" w:hAnsi="Times New Roman"/>
          <w:sz w:val="24"/>
          <w:szCs w:val="24"/>
        </w:rPr>
        <w:t xml:space="preserve">Do lado operacional, mesmo um bom classificador comete erros, e esses erros não custam todos o mesmo. Classificar uma convocatória pacífica como mobilização hostil pode lesar direitos constitucionais; deixar passar uma convocatória para a violência pode ter consequências graves. Um sistema útil para a segurança nacional tem de ser desenhado em função desta assimetria, mantendo o analista humano no centro da decisão.</w:t>
      </w:r>
    </w:p>
    <w:p>
      <w:pPr>
        <w:spacing w:after="120" w:before="0" w:line="360"/>
        <w:ind w:firstLine="567"/>
        <w:jc w:val="both"/>
      </w:pPr>
      <w:r>
        <w:rPr>
          <w:rFonts w:ascii="Times New Roman" w:cs="Times New Roman" w:eastAsia="Times New Roman" w:hAnsi="Times New Roman"/>
          <w:sz w:val="24"/>
          <w:szCs w:val="24"/>
        </w:rPr>
        <w:t xml:space="preserve">A pergunta de partida é, assim, a seguinte: </w:t>
      </w:r>
      <w:r>
        <w:rPr>
          <w:rFonts w:ascii="Times New Roman" w:cs="Times New Roman" w:eastAsia="Times New Roman" w:hAnsi="Times New Roman"/>
          <w:b/>
          <w:bCs/>
          <w:sz w:val="24"/>
          <w:szCs w:val="24"/>
        </w:rPr>
        <w:t xml:space="preserve">em que medida um sistema baseado em aprendizagem automática consegue apoiar, de forma fiável e juridicamente responsável, a triagem de publicações ameaçadoras em redes sociais angolanas?</w:t>
      </w:r>
    </w:p>
    <w:p>
      <w:pPr>
        <w:pStyle w:val="Heading2"/>
        <w:keepNext/>
        <w:keepLines/>
        <w:spacing w:after="160" w:before="360" w:line="300"/>
      </w:pPr>
      <w:r>
        <w:rPr>
          <w:rFonts w:ascii="Times New Roman" w:cs="Times New Roman" w:eastAsia="Times New Roman" w:hAnsi="Times New Roman"/>
          <w:b/>
          <w:bCs/>
          <w:sz w:val="26"/>
          <w:szCs w:val="26"/>
        </w:rPr>
        <w:t xml:space="preserve">1.3 Hipóteses de investigação</w:t>
      </w:r>
    </w:p>
    <w:p>
      <w:pPr>
        <w:spacing w:after="120" w:before="0" w:line="360"/>
        <w:ind w:firstLine="567"/>
        <w:jc w:val="both"/>
      </w:pPr>
      <w:r>
        <w:rPr>
          <w:rFonts w:ascii="Times New Roman" w:cs="Times New Roman" w:eastAsia="Times New Roman" w:hAnsi="Times New Roman"/>
          <w:sz w:val="24"/>
          <w:szCs w:val="24"/>
        </w:rPr>
        <w:t xml:space="preserve">As hipóteses foram formuladas para serem refutáveis e para terem um critério quantitativo de decisão. Cada uma responde a um ou mais objectivos específicos (Secção 1.4).</w:t>
      </w:r>
    </w:p>
    <w:p>
      <w:pPr>
        <w:spacing w:after="120" w:before="0" w:line="360"/>
        <w:ind w:firstLine="567"/>
        <w:jc w:val="both"/>
      </w:pPr>
      <w:r>
        <w:rPr>
          <w:rFonts w:ascii="Times New Roman" w:cs="Times New Roman" w:eastAsia="Times New Roman" w:hAnsi="Times New Roman"/>
          <w:b/>
          <w:bCs/>
          <w:sz w:val="24"/>
          <w:szCs w:val="24"/>
        </w:rPr>
        <w:t xml:space="preserve">H1.</w:t>
      </w:r>
      <w:r>
        <w:rPr>
          <w:rFonts w:ascii="Times New Roman" w:cs="Times New Roman" w:eastAsia="Times New Roman" w:hAnsi="Times New Roman"/>
          <w:sz w:val="24"/>
          <w:szCs w:val="24"/>
        </w:rPr>
        <w:t xml:space="preserve"> Os modelos de aprendizagem profunda (BERTimbau e Bi-LSTM) superam os modelos clássicos (SVM e Floresta Aleatória) na classificação das quatro categorias, com diferença de F1-macro de pelo menos 5 pontos percentuais e significância estatística (p &lt; 0,05 no teste de McNemar com correcção de Bonferroni).</w:t>
      </w:r>
    </w:p>
    <w:p>
      <w:pPr>
        <w:spacing w:after="120" w:before="0" w:line="360"/>
        <w:ind w:firstLine="567"/>
        <w:jc w:val="both"/>
      </w:pPr>
      <w:r>
        <w:rPr>
          <w:rFonts w:ascii="Times New Roman" w:cs="Times New Roman" w:eastAsia="Times New Roman" w:hAnsi="Times New Roman"/>
          <w:b/>
          <w:bCs/>
          <w:sz w:val="24"/>
          <w:szCs w:val="24"/>
        </w:rPr>
        <w:t xml:space="preserve">H2.</w:t>
      </w:r>
      <w:r>
        <w:rPr>
          <w:rFonts w:ascii="Times New Roman" w:cs="Times New Roman" w:eastAsia="Times New Roman" w:hAnsi="Times New Roman"/>
          <w:sz w:val="24"/>
          <w:szCs w:val="24"/>
        </w:rPr>
        <w:t xml:space="preserve"> O sistema processa cada publicação recolhida (importação, anonimização, classificação e entrada na fila de revisão) em menos de 60 segundos.</w:t>
      </w:r>
    </w:p>
    <w:p>
      <w:pPr>
        <w:spacing w:after="120" w:before="0" w:line="360"/>
        <w:ind w:firstLine="567"/>
        <w:jc w:val="both"/>
      </w:pPr>
      <w:r>
        <w:rPr>
          <w:rFonts w:ascii="Times New Roman" w:cs="Times New Roman" w:eastAsia="Times New Roman" w:hAnsi="Times New Roman"/>
          <w:b/>
          <w:bCs/>
          <w:sz w:val="24"/>
          <w:szCs w:val="24"/>
        </w:rPr>
        <w:t xml:space="preserve">H3.</w:t>
      </w:r>
      <w:r>
        <w:rPr>
          <w:rFonts w:ascii="Times New Roman" w:cs="Times New Roman" w:eastAsia="Times New Roman" w:hAnsi="Times New Roman"/>
          <w:sz w:val="24"/>
          <w:szCs w:val="24"/>
        </w:rPr>
        <w:t xml:space="preserve"> O sistema detecta padrões de risco com pelo menos 48 horas de antecedência em relação a eventos de segurança documentados, numa validação retrospectiva com divisão cronológica dos dados.</w:t>
      </w:r>
    </w:p>
    <w:p>
      <w:pPr>
        <w:spacing w:after="120" w:before="0" w:line="360"/>
        <w:ind w:firstLine="567"/>
        <w:jc w:val="both"/>
      </w:pPr>
      <w:r>
        <w:rPr>
          <w:rFonts w:ascii="Times New Roman" w:cs="Times New Roman" w:eastAsia="Times New Roman" w:hAnsi="Times New Roman"/>
          <w:b/>
          <w:bCs/>
          <w:sz w:val="24"/>
          <w:szCs w:val="24"/>
        </w:rPr>
        <w:t xml:space="preserve">H4.</w:t>
      </w:r>
      <w:r>
        <w:rPr>
          <w:rFonts w:ascii="Times New Roman" w:cs="Times New Roman" w:eastAsia="Times New Roman" w:hAnsi="Times New Roman"/>
          <w:sz w:val="24"/>
          <w:szCs w:val="24"/>
        </w:rPr>
        <w:t xml:space="preserve"> O desempenho do modelo seleccionado degrada-se significativamente (pelo menos 5 pontos percentuais de F1-macro) em conteúdo angolano, quando comparado com o conteúdo dos corpora públicos usados no treino.</w:t>
      </w:r>
    </w:p>
    <w:p>
      <w:pPr>
        <w:spacing w:after="120" w:before="0" w:line="360"/>
        <w:ind w:firstLine="567"/>
        <w:jc w:val="both"/>
      </w:pPr>
      <w:r>
        <w:rPr>
          <w:rFonts w:ascii="Times New Roman" w:cs="Times New Roman" w:eastAsia="Times New Roman" w:hAnsi="Times New Roman"/>
          <w:sz w:val="24"/>
          <w:szCs w:val="24"/>
        </w:rPr>
        <w:t xml:space="preserve">A H4 compara o conteúdo angolano no seu todo com o conteúdo dos corpora públicos. Uma comparação mais fina, por exemplo entre comentários com e sem calão urbano ou com e sem palavras de línguas nacionais, exigiria uma marcação que o corpus anotado não tem, e fica como trabalho futuro.</w:t>
      </w:r>
    </w:p>
    <w:p>
      <w:pPr>
        <w:pStyle w:val="Heading2"/>
        <w:keepNext/>
        <w:keepLines/>
        <w:spacing w:after="160" w:before="360" w:line="300"/>
      </w:pPr>
      <w:r>
        <w:rPr>
          <w:rFonts w:ascii="Times New Roman" w:cs="Times New Roman" w:eastAsia="Times New Roman" w:hAnsi="Times New Roman"/>
          <w:b/>
          <w:bCs/>
          <w:sz w:val="26"/>
          <w:szCs w:val="26"/>
        </w:rPr>
        <w:t xml:space="preserve">1.4 Objectivos</w:t>
      </w:r>
    </w:p>
    <w:p>
      <w:pPr>
        <w:pStyle w:val="Heading3"/>
        <w:keepNext/>
        <w:spacing w:after="120" w:before="240"/>
      </w:pPr>
      <w:r>
        <w:rPr>
          <w:rFonts w:ascii="Times New Roman" w:cs="Times New Roman" w:eastAsia="Times New Roman" w:hAnsi="Times New Roman"/>
          <w:b/>
          <w:bCs/>
          <w:sz w:val="24"/>
          <w:szCs w:val="24"/>
        </w:rPr>
        <w:t xml:space="preserve">1.4.1 Objectivo geral</w:t>
      </w:r>
    </w:p>
    <w:p>
      <w:pPr>
        <w:spacing w:after="120" w:before="0" w:line="360"/>
        <w:ind w:firstLine="567"/>
        <w:jc w:val="both"/>
      </w:pPr>
      <w:r>
        <w:rPr>
          <w:rFonts w:ascii="Times New Roman" w:cs="Times New Roman" w:eastAsia="Times New Roman" w:hAnsi="Times New Roman"/>
          <w:sz w:val="24"/>
          <w:szCs w:val="24"/>
        </w:rPr>
        <w:t xml:space="preserve">Desenvolver e avaliar um sistema de apoio à triagem de publicações ameaçadoras em redes sociais angolanas, que combine um classificador de linguagem natural adaptado ao português com revisão humana obrigatória e com protecção de dados pessoais desde a concepção.</w:t>
      </w:r>
    </w:p>
    <w:p>
      <w:pPr>
        <w:pStyle w:val="Heading3"/>
        <w:keepNext/>
        <w:spacing w:after="120" w:before="240"/>
      </w:pPr>
      <w:r>
        <w:rPr>
          <w:rFonts w:ascii="Times New Roman" w:cs="Times New Roman" w:eastAsia="Times New Roman" w:hAnsi="Times New Roman"/>
          <w:b/>
          <w:bCs/>
          <w:sz w:val="24"/>
          <w:szCs w:val="24"/>
        </w:rPr>
        <w:t xml:space="preserve">1.4.2 Objectivos específicos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OE1.</w:t>
      </w:r>
      <w:r>
        <w:rPr>
          <w:rFonts w:ascii="Times New Roman" w:cs="Times New Roman" w:eastAsia="Times New Roman" w:hAnsi="Times New Roman"/>
          <w:sz w:val="24"/>
          <w:szCs w:val="24"/>
        </w:rPr>
        <w:t xml:space="preserve"> Construir um corpus de comentários públicos angolanos anotado em quatro categorias por três anotadores, medindo o acordo entre anotadores e registando a proveniência de cada lote de dados.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OE2.</w:t>
      </w:r>
      <w:r>
        <w:rPr>
          <w:rFonts w:ascii="Times New Roman" w:cs="Times New Roman" w:eastAsia="Times New Roman" w:hAnsi="Times New Roman"/>
          <w:sz w:val="24"/>
          <w:szCs w:val="24"/>
        </w:rPr>
        <w:t xml:space="preserve"> Comparar quatro algoritmos de classificação (SVM, Floresta Aleatória, Bi-LSTM e BERTimbau) com intervalos de confiança e testes estatísticos emparelhados.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OE3.</w:t>
      </w:r>
      <w:r>
        <w:rPr>
          <w:rFonts w:ascii="Times New Roman" w:cs="Times New Roman" w:eastAsia="Times New Roman" w:hAnsi="Times New Roman"/>
          <w:sz w:val="24"/>
          <w:szCs w:val="24"/>
        </w:rPr>
        <w:t xml:space="preserve"> Quantificar a diferença de desempenho entre conteúdo angolano e conteúdo dos corpora públicos e identificar as suas causas prováveis.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OE4.</w:t>
      </w:r>
      <w:r>
        <w:rPr>
          <w:rFonts w:ascii="Times New Roman" w:cs="Times New Roman" w:eastAsia="Times New Roman" w:hAnsi="Times New Roman"/>
          <w:sz w:val="24"/>
          <w:szCs w:val="24"/>
        </w:rPr>
        <w:t xml:space="preserve"> Desenvolver um protótipo de sistema de triagem com fila de revisão, painel do analista e serviço de inferência, e definir o protocolo da sua avaliação operacional.</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OE5.</w:t>
      </w:r>
      <w:r>
        <w:rPr>
          <w:rFonts w:ascii="Times New Roman" w:cs="Times New Roman" w:eastAsia="Times New Roman" w:hAnsi="Times New Roman"/>
          <w:sz w:val="24"/>
          <w:szCs w:val="24"/>
        </w:rPr>
        <w:t xml:space="preserve"> Propor um quadro de uso responsável do sistema, conforme a Lei n.º 22/11 de Protecção de Dados Pessoais e os direitos consagrados na Constituição da República de Angola.</w:t>
      </w:r>
    </w:p>
    <w:p>
      <w:pPr>
        <w:spacing w:after="120" w:before="120" w:line="360"/>
        <w:ind w:firstLine="567"/>
        <w:jc w:val="both"/>
      </w:pPr>
      <w:r>
        <w:rPr>
          <w:rFonts w:ascii="Times New Roman" w:cs="Times New Roman" w:eastAsia="Times New Roman" w:hAnsi="Times New Roman"/>
          <w:sz w:val="24"/>
          <w:szCs w:val="24"/>
        </w:rPr>
        <w:t xml:space="preserve">A Tabela 1.1 relaciona os objectivos específicos com as hipóteses.</w:t>
      </w:r>
    </w:p>
    <w:p>
      <w:pPr>
        <w:pStyle w:val="LegendaTabela"/>
        <w:keepNext/>
        <w:spacing w:after="80" w:before="240" w:line="240"/>
        <w:jc w:val="center"/>
      </w:pPr>
      <w:r>
        <w:rPr>
          <w:rFonts w:ascii="Times New Roman" w:cs="Times New Roman" w:eastAsia="Times New Roman" w:hAnsi="Times New Roman"/>
          <w:b/>
          <w:bCs/>
          <w:sz w:val="20"/>
          <w:szCs w:val="20"/>
        </w:rPr>
        <w:t xml:space="preserve">Tabela 1.1 – Correspondência entre objectivos específicos e hipóteses</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3020"/>
      </w:tblGrid>
      <w:tr>
        <w:trPr>
          <w:cantSplit/>
          <w:tblHeader/>
        </w:trPr>
        <w:tc>
          <w:tcPr>
            <w:tcW w:type="dxa" w:w="36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Objectivo</w:t>
            </w:r>
          </w:p>
        </w:tc>
        <w:tc>
          <w:tcPr>
            <w:tcW w:type="dxa" w:w="16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Hipótese</w:t>
            </w:r>
          </w:p>
        </w:tc>
        <w:tc>
          <w:tcPr>
            <w:tcW w:type="dxa" w:w="30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Natureza</w:t>
            </w:r>
          </w:p>
        </w:tc>
      </w:tr>
      <w:tr>
        <w:trPr>
          <w:cantSplit/>
          <w:tblHeader w:val="false"/>
        </w:trPr>
        <w:tc>
          <w:tcPr>
            <w:tcW w:type="dxa" w:w="3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OE1. Corpus angolano anotado</w:t>
            </w:r>
          </w:p>
        </w:tc>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n.a.</w:t>
            </w:r>
          </w:p>
        </w:tc>
        <w:tc>
          <w:tcPr>
            <w:tcW w:type="dxa" w:w="30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Construção de dados</w:t>
            </w:r>
          </w:p>
        </w:tc>
      </w:tr>
      <w:tr>
        <w:trPr>
          <w:cantSplit/>
          <w:tblHeader w:val="false"/>
        </w:trPr>
        <w:tc>
          <w:tcPr>
            <w:tcW w:type="dxa" w:w="3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OE2. Comparação de algoritmos</w:t>
            </w:r>
          </w:p>
        </w:tc>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H1</w:t>
            </w:r>
          </w:p>
        </w:tc>
        <w:tc>
          <w:tcPr>
            <w:tcW w:type="dxa" w:w="30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Testável estatisticamente</w:t>
            </w:r>
          </w:p>
        </w:tc>
      </w:tr>
      <w:tr>
        <w:trPr>
          <w:cantSplit/>
          <w:tblHeader w:val="false"/>
        </w:trPr>
        <w:tc>
          <w:tcPr>
            <w:tcW w:type="dxa" w:w="3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OE3. Lacuna de domínio</w:t>
            </w:r>
          </w:p>
        </w:tc>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H4</w:t>
            </w:r>
          </w:p>
        </w:tc>
        <w:tc>
          <w:tcPr>
            <w:tcW w:type="dxa" w:w="30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Testável estatisticamente</w:t>
            </w:r>
          </w:p>
        </w:tc>
      </w:tr>
      <w:tr>
        <w:trPr>
          <w:cantSplit/>
          <w:tblHeader w:val="false"/>
        </w:trPr>
        <w:tc>
          <w:tcPr>
            <w:tcW w:type="dxa" w:w="3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OE4. Protótipo do sistema</w:t>
            </w:r>
          </w:p>
        </w:tc>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H2, H3</w:t>
            </w:r>
          </w:p>
        </w:tc>
        <w:tc>
          <w:tcPr>
            <w:tcW w:type="dxa" w:w="30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Testável (protocolo definido)</w:t>
            </w:r>
          </w:p>
        </w:tc>
      </w:tr>
      <w:tr>
        <w:trPr>
          <w:cantSplit/>
          <w:tblHeader w:val="false"/>
        </w:trPr>
        <w:tc>
          <w:tcPr>
            <w:tcW w:type="dxa" w:w="36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OE5. Quadro ético e legal</w:t>
            </w:r>
          </w:p>
        </w:tc>
        <w:tc>
          <w:tcPr>
            <w:tcW w:type="dxa" w:w="16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n.a.</w:t>
            </w:r>
          </w:p>
        </w:tc>
        <w:tc>
          <w:tcPr>
            <w:tcW w:type="dxa" w:w="30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Normativo</w:t>
            </w:r>
          </w:p>
        </w:tc>
      </w:tr>
    </w:tbl>
    <w:p>
      <w:pPr>
        <w:spacing w:after="240" w:before="60" w:line="240"/>
        <w:jc w:val="both"/>
      </w:pPr>
    </w:p>
    <w:p>
      <w:pPr>
        <w:pStyle w:val="Heading2"/>
        <w:keepNext/>
        <w:keepLines/>
        <w:spacing w:after="160" w:before="360" w:line="300"/>
      </w:pPr>
      <w:r>
        <w:rPr>
          <w:rFonts w:ascii="Times New Roman" w:cs="Times New Roman" w:eastAsia="Times New Roman" w:hAnsi="Times New Roman"/>
          <w:b/>
          <w:bCs/>
          <w:sz w:val="26"/>
          <w:szCs w:val="26"/>
        </w:rPr>
        <w:t xml:space="preserve">1.5 Justificação e relevância</w:t>
      </w:r>
    </w:p>
    <w:p>
      <w:pPr>
        <w:spacing w:after="120" w:before="0" w:line="360"/>
        <w:ind w:firstLine="567"/>
        <w:jc w:val="both"/>
      </w:pPr>
      <w:r>
        <w:rPr>
          <w:rFonts w:ascii="Times New Roman" w:cs="Times New Roman" w:eastAsia="Times New Roman" w:hAnsi="Times New Roman"/>
          <w:sz w:val="24"/>
          <w:szCs w:val="24"/>
        </w:rPr>
        <w:t xml:space="preserve">A investigação justifica-se por três razões. Do ponto de vista científico, o português de Angola continua pouco representado nos recursos de processamento de linguagem natural. Um corpus anotado de comentários angolanos, mesmo de dimensão modesta, permite medir pela primeira vez quanto se perde ao aplicar modelos brasileiros a este domínio, e serve de base a trabalhos futuros.</w:t>
      </w:r>
    </w:p>
    <w:p>
      <w:pPr>
        <w:spacing w:after="120" w:before="0" w:line="360"/>
        <w:ind w:firstLine="567"/>
        <w:jc w:val="both"/>
      </w:pPr>
      <w:r>
        <w:rPr>
          <w:rFonts w:ascii="Times New Roman" w:cs="Times New Roman" w:eastAsia="Times New Roman" w:hAnsi="Times New Roman"/>
          <w:sz w:val="24"/>
          <w:szCs w:val="24"/>
        </w:rPr>
        <w:t xml:space="preserve">Em termos operacionais, uma ferramenta que ordene as publicações por probabilidade de serem problemáticas reduz o tempo que o analista gasta com conteúdo irrelevante, sem lhe retirar a decisão. A arquitectura proposta usa apenas software livre e pode funcionar num único servidor, o que a torna compatível com os recursos disponíveis e com a soberania sobre os dados.</w:t>
      </w:r>
    </w:p>
    <w:p>
      <w:pPr>
        <w:spacing w:after="120" w:before="0" w:line="360"/>
        <w:ind w:firstLine="567"/>
        <w:jc w:val="both"/>
      </w:pPr>
      <w:r>
        <w:rPr>
          <w:rFonts w:ascii="Times New Roman" w:cs="Times New Roman" w:eastAsia="Times New Roman" w:hAnsi="Times New Roman"/>
          <w:sz w:val="24"/>
          <w:szCs w:val="24"/>
        </w:rPr>
        <w:t xml:space="preserve">No plano institucional e jurídico, o trabalho mostra que é possível conceber estes sistemas com salvaguardas concretas: anonimização à entrada, registo de proveniência, prazos de conservação, auditoria e proibição de decisões automáticas sobre pessoas. Sem elas, um sistema deste tipo dificilmente seria aceitável num Estado de direito.</w:t>
      </w:r>
    </w:p>
    <w:p>
      <w:pPr>
        <w:pStyle w:val="Heading2"/>
        <w:keepNext/>
        <w:keepLines/>
        <w:spacing w:after="160" w:before="360" w:line="300"/>
      </w:pPr>
      <w:r>
        <w:rPr>
          <w:rFonts w:ascii="Times New Roman" w:cs="Times New Roman" w:eastAsia="Times New Roman" w:hAnsi="Times New Roman"/>
          <w:b/>
          <w:bCs/>
          <w:sz w:val="26"/>
          <w:szCs w:val="26"/>
        </w:rPr>
        <w:t xml:space="preserve">1.6 Delimitação do estudo</w:t>
      </w:r>
    </w:p>
    <w:p>
      <w:pPr>
        <w:spacing w:after="120" w:before="0" w:line="360"/>
        <w:ind w:firstLine="567"/>
        <w:jc w:val="both"/>
      </w:pPr>
      <w:r>
        <w:rPr>
          <w:rFonts w:ascii="Times New Roman" w:cs="Times New Roman" w:eastAsia="Times New Roman" w:hAnsi="Times New Roman"/>
          <w:sz w:val="24"/>
          <w:szCs w:val="24"/>
        </w:rPr>
        <w:t xml:space="preserve">O estudo limita-se a texto em português publicado em espaços públicos. O corpus angolano é formado sobretudo por comentários públicos do YouTube, recolhidos pela interface oficial da plataforma, e por um conjunto menor de publicações recolhidas manualmente em páginas públicas. Não foram recolhidas mensagens privadas, grupos fechados nem conteúdo que exija autenticação. Imagens, áudio e vídeo ficam fora do âmbito, assim como textos escritos integralmente em línguas nacionais. A avaliação incide sobre o classificador e sobre o funcionamento do protótipo; a integração com sistemas institucionais e a avaliação com analistas em contexto real ficam para trabalho futuro.</w:t>
      </w:r>
    </w:p>
    <w:p>
      <w:pPr>
        <w:pStyle w:val="Heading2"/>
        <w:keepNext/>
        <w:keepLines/>
        <w:spacing w:after="160" w:before="360" w:line="300"/>
      </w:pPr>
      <w:r>
        <w:rPr>
          <w:rFonts w:ascii="Times New Roman" w:cs="Times New Roman" w:eastAsia="Times New Roman" w:hAnsi="Times New Roman"/>
          <w:b/>
          <w:bCs/>
          <w:sz w:val="26"/>
          <w:szCs w:val="26"/>
        </w:rPr>
        <w:t xml:space="preserve">1.7 Estrutura da dissertação</w:t>
      </w:r>
    </w:p>
    <w:p>
      <w:pPr>
        <w:spacing w:after="120" w:before="0" w:line="360"/>
        <w:ind w:firstLine="567"/>
        <w:jc w:val="both"/>
      </w:pPr>
      <w:r>
        <w:rPr>
          <w:rFonts w:ascii="Times New Roman" w:cs="Times New Roman" w:eastAsia="Times New Roman" w:hAnsi="Times New Roman"/>
          <w:sz w:val="24"/>
          <w:szCs w:val="24"/>
        </w:rPr>
        <w:t xml:space="preserve">Para além desta introdução, a dissertação tem quatro capítulos. O Capítulo 2 revê a literatura sobre ameaças digitais, sistemas de monitorização, corpora e modelos para o português, métodos de avaliação e enquadramento ético e legal. O Capítulo 3 descreve a metodologia: a construção do corpus, a anotação, os modelos, o protocolo de avaliação e a arquitectura do sistema. O Capítulo 4 apresenta e discute os resultados e verifica as hipóteses. O Capítulo 5 sintetiza as conclusões, as limitações e as recomendações. Os apêndices reúnem excertos de código, o guia de anotação, os dados de acordo entre anotadores, a declaração dos anotadores e o manual do protótipo.</w:t>
      </w:r>
    </w:p>
    <w:p>
      <w:pPr>
        <w:sectPr>
          <w:headerReference w:type="default" r:id="rId13"/>
          <w:footerReference w:type="default" r:id="rId14"/>
          <w:type w:val="nextPage"/>
          <w:pgSz w:w="11906" w:h="16838" w:orient="portrait"/>
          <w:pgMar w:top="1701" w:right="1701" w:bottom="1417" w:left="1984" w:header="850" w:footer="567" w:gutter="0"/>
          <w:pgNumType w:start="1" w:fmt="decimal"/>
          <w:docGrid w:linePitch="360"/>
        </w:sectPr>
      </w:pPr>
    </w:p>
    <w:p>
      <w:pPr>
        <w:pStyle w:val="Heading1"/>
        <w:spacing w:after="480" w:before="567"/>
        <w:jc w:val="left"/>
      </w:pPr>
      <w:r>
        <w:rPr>
          <w:rFonts w:ascii="Times New Roman" w:cs="Times New Roman" w:eastAsia="Times New Roman" w:hAnsi="Times New Roman"/>
          <w:b/>
          <w:bCs/>
          <w:sz w:val="28"/>
          <w:szCs w:val="28"/>
        </w:rPr>
        <w:t xml:space="preserve">CAPÍTULO 2 – REVISÃO DA LITERATURA</w:t>
      </w:r>
    </w:p>
    <w:p>
      <w:pPr>
        <w:spacing w:after="120" w:before="0" w:line="360"/>
        <w:ind w:firstLine="567"/>
        <w:jc w:val="both"/>
      </w:pPr>
      <w:r>
        <w:rPr>
          <w:rFonts w:ascii="Times New Roman" w:cs="Times New Roman" w:eastAsia="Times New Roman" w:hAnsi="Times New Roman"/>
          <w:sz w:val="24"/>
          <w:szCs w:val="24"/>
        </w:rPr>
        <w:t xml:space="preserve">Este capítulo situa o trabalho em relação ao que já se conhece. Começa pelas redes sociais e pelo contexto angolano, define as categorias de ameaça usadas na dissertação e revê os sistemas de monitorização existentes. Depois trata dos recursos e modelos de linguagem para o português, dos métodos de avaliação de classificadores e do problema da generalização entre domínios. Termina com o enquadramento ético e legal e com uma síntese da lacuna que a investigação procura preencher.</w:t>
      </w:r>
    </w:p>
    <w:p>
      <w:pPr>
        <w:pStyle w:val="Heading2"/>
        <w:keepNext/>
        <w:keepLines/>
        <w:spacing w:after="160" w:before="360" w:line="300"/>
      </w:pPr>
      <w:r>
        <w:rPr>
          <w:rFonts w:ascii="Times New Roman" w:cs="Times New Roman" w:eastAsia="Times New Roman" w:hAnsi="Times New Roman"/>
          <w:b/>
          <w:bCs/>
          <w:sz w:val="26"/>
          <w:szCs w:val="26"/>
        </w:rPr>
        <w:t xml:space="preserve">2.1 Redes sociais: conceito, evolução e dimensão securitária</w:t>
      </w:r>
    </w:p>
    <w:p>
      <w:pPr>
        <w:pStyle w:val="Heading3"/>
        <w:keepNext/>
        <w:spacing w:after="120" w:before="240"/>
      </w:pPr>
      <w:r>
        <w:rPr>
          <w:rFonts w:ascii="Times New Roman" w:cs="Times New Roman" w:eastAsia="Times New Roman" w:hAnsi="Times New Roman"/>
          <w:b/>
          <w:bCs/>
          <w:sz w:val="24"/>
          <w:szCs w:val="24"/>
        </w:rPr>
        <w:t xml:space="preserve">2.1.1 Conceito e evolução</w:t>
      </w:r>
    </w:p>
    <w:p>
      <w:pPr>
        <w:spacing w:after="120" w:before="0" w:line="360"/>
        <w:ind w:firstLine="567"/>
        <w:jc w:val="both"/>
      </w:pPr>
      <w:r>
        <w:rPr>
          <w:rFonts w:ascii="Times New Roman" w:cs="Times New Roman" w:eastAsia="Times New Roman" w:hAnsi="Times New Roman"/>
          <w:sz w:val="24"/>
          <w:szCs w:val="24"/>
        </w:rPr>
        <w:t xml:space="preserve">Boyd e Ellison (2007) definem as redes sociais como serviços que permitem construir um perfil público, articular uma lista de contactos e percorrer as ligações dentro do sistema. A definição capta a estrutura das plataformas, mas não o papel que vieram a ter na vida pública. Ao longo de três décadas passou-se de redes de perfis e ligações declaradas (SixDegrees, Friendster, MySpace) para plataformas de conteúdo gerado pelos utilizadores e de seguimento assimétrico (Facebook, YouTube, Twitter) e, finalmente, para serviços móveis em que o que cada pessoa vê é decidido por algoritmos de recomendação (Instagram, TikTok, Telegram).</w:t>
      </w:r>
    </w:p>
    <w:p>
      <w:pPr>
        <w:spacing w:after="120" w:before="0" w:line="360"/>
        <w:ind w:firstLine="567"/>
        <w:jc w:val="both"/>
      </w:pPr>
      <w:r>
        <w:rPr>
          <w:rFonts w:ascii="Times New Roman" w:cs="Times New Roman" w:eastAsia="Times New Roman" w:hAnsi="Times New Roman"/>
          <w:sz w:val="24"/>
          <w:szCs w:val="24"/>
        </w:rPr>
        <w:t xml:space="preserve">Esta última mudança é relevante para a segurança. Quando a recomendação privilegia o envolvimento, o conteúdo que provoca indignação, medo ou raiva tende a circular mais, independentemente da intenção de quem o publica. Castells (2013) mostrou, a propósito da Primavera Árabe, como redes horizontais permitem coordenar acções políticas sem passar pelos meios de comunicação tradicionais. Uma década depois, esta forma de coordenação deixou de ser excepcional e faz parte do funcionamento corrente das redes.</w:t>
      </w:r>
    </w:p>
    <w:p>
      <w:pPr>
        <w:pStyle w:val="Heading3"/>
        <w:keepNext/>
        <w:spacing w:after="120" w:before="240"/>
      </w:pPr>
      <w:r>
        <w:rPr>
          <w:rFonts w:ascii="Times New Roman" w:cs="Times New Roman" w:eastAsia="Times New Roman" w:hAnsi="Times New Roman"/>
          <w:b/>
          <w:bCs/>
          <w:sz w:val="24"/>
          <w:szCs w:val="24"/>
        </w:rPr>
        <w:t xml:space="preserve">2.1.2 O ecossistema digital angolano</w:t>
      </w:r>
    </w:p>
    <w:p>
      <w:pPr>
        <w:spacing w:after="120" w:before="0" w:line="360"/>
        <w:ind w:firstLine="567"/>
        <w:jc w:val="both"/>
      </w:pPr>
      <w:r>
        <w:rPr>
          <w:rFonts w:ascii="Times New Roman" w:cs="Times New Roman" w:eastAsia="Times New Roman" w:hAnsi="Times New Roman"/>
          <w:sz w:val="24"/>
          <w:szCs w:val="24"/>
        </w:rPr>
        <w:t xml:space="preserve">Os dados de Kemp (2025) mostram um ecossistema em crescimento, mas ainda concentrado: 5,50 milhões de identidades em redes sociais numa população de 39,3 milhões, com o Facebook à frente em alcance e o TikTok em segundo lugar. O acesso faz-se sobretudo por telemóvel. A concentração urbana dos utilizadores, em especial em Luanda, significa que o que se discute online chega rapidamente às zonas de maior densidade populacional, e daí, por contacto pessoal, a quem não está ligado.</w:t>
      </w:r>
    </w:p>
    <w:p>
      <w:pPr>
        <w:spacing w:after="120" w:before="0" w:line="360"/>
        <w:ind w:firstLine="567"/>
        <w:jc w:val="both"/>
      </w:pPr>
      <w:r>
        <w:rPr>
          <w:rFonts w:ascii="Times New Roman" w:cs="Times New Roman" w:eastAsia="Times New Roman" w:hAnsi="Times New Roman"/>
          <w:sz w:val="24"/>
          <w:szCs w:val="24"/>
        </w:rPr>
        <w:t xml:space="preserve">Dois episódios marcaram a relação entre redes sociais e segurança em Angola. A campanha «2022 Vais Gostar» começou online e resultou em manifestações simultâneas em várias províncias (Hassane, 2021). Nos protestos de Agosto de 2025, foram referidos conteúdos sintéticos usados para influenciar a narrativa pública (Cintra, 2025). Marcon (2019) descreve, numa perspectiva sociológica, como os jovens angolanos usam estes espaços para formas de activismo que nem sempre encontram expressão nos canais tradicionais, o que reforça a necessidade de distinguir com cuidado o protesto legítimo da mobilização hostil.</w:t>
      </w:r>
    </w:p>
    <w:p>
      <w:pPr>
        <w:pStyle w:val="Heading2"/>
        <w:keepNext/>
        <w:keepLines/>
        <w:spacing w:after="160" w:before="360" w:line="300"/>
      </w:pPr>
      <w:r>
        <w:rPr>
          <w:rFonts w:ascii="Times New Roman" w:cs="Times New Roman" w:eastAsia="Times New Roman" w:hAnsi="Times New Roman"/>
          <w:b/>
          <w:bCs/>
          <w:sz w:val="26"/>
          <w:szCs w:val="26"/>
        </w:rPr>
        <w:t xml:space="preserve">2.2 Categorias de ameaças digitais</w:t>
      </w:r>
    </w:p>
    <w:p>
      <w:pPr>
        <w:spacing w:after="120" w:before="0" w:line="360"/>
        <w:ind w:firstLine="567"/>
        <w:jc w:val="both"/>
      </w:pPr>
      <w:r>
        <w:rPr>
          <w:rFonts w:ascii="Times New Roman" w:cs="Times New Roman" w:eastAsia="Times New Roman" w:hAnsi="Times New Roman"/>
          <w:sz w:val="24"/>
          <w:szCs w:val="24"/>
        </w:rPr>
        <w:t xml:space="preserve">A taxonomia adoptada tem quatro categorias: Normal, Desinformação, Discurso de Ódio e Mobilização Hostil. A escolha procurou equilibrar três critérios: cobrir as ameaças documentadas no contexto angolano, ter categorias suficientemente distintas para treinar classificadores supervisionados e ser compreensível por analistas sem formação em processamento de linguagem natural. Taxonomias mais finas, com subcategorias por alvo ou por grau de urgência, deixariam poucas amostras por classe e tornariam os alertas mais difíceis de interpretar.</w:t>
      </w:r>
    </w:p>
    <w:p>
      <w:pPr>
        <w:spacing w:after="120" w:before="0" w:line="360"/>
        <w:ind w:firstLine="567"/>
        <w:jc w:val="both"/>
      </w:pPr>
      <w:r>
        <w:rPr>
          <w:rFonts w:ascii="Times New Roman" w:cs="Times New Roman" w:eastAsia="Times New Roman" w:hAnsi="Times New Roman"/>
          <w:b/>
          <w:bCs/>
          <w:sz w:val="24"/>
          <w:szCs w:val="24"/>
        </w:rPr>
        <w:t xml:space="preserve">Desinformação</w:t>
      </w:r>
      <w:r>
        <w:rPr>
          <w:rFonts w:ascii="Times New Roman" w:cs="Times New Roman" w:eastAsia="Times New Roman" w:hAnsi="Times New Roman"/>
          <w:sz w:val="24"/>
          <w:szCs w:val="24"/>
        </w:rPr>
        <w:t xml:space="preserve"> é informação falsa ou enganosa partilhada com intenção de causar dano, distinta do erro involuntário (</w:t>
      </w:r>
      <w:r>
        <w:rPr>
          <w:rFonts w:ascii="Times New Roman" w:cs="Times New Roman" w:eastAsia="Times New Roman" w:hAnsi="Times New Roman"/>
          <w:i/>
          <w:iCs/>
          <w:sz w:val="24"/>
          <w:szCs w:val="24"/>
        </w:rPr>
        <w:t xml:space="preserve">misinformation</w:t>
      </w:r>
      <w:r>
        <w:rPr>
          <w:rFonts w:ascii="Times New Roman" w:cs="Times New Roman" w:eastAsia="Times New Roman" w:hAnsi="Times New Roman"/>
          <w:sz w:val="24"/>
          <w:szCs w:val="24"/>
        </w:rPr>
        <w:t xml:space="preserve">) e da divulgação de informação verdadeira com intenção de prejudicar (</w:t>
      </w:r>
      <w:r>
        <w:rPr>
          <w:rFonts w:ascii="Times New Roman" w:cs="Times New Roman" w:eastAsia="Times New Roman" w:hAnsi="Times New Roman"/>
          <w:i/>
          <w:iCs/>
          <w:sz w:val="24"/>
          <w:szCs w:val="24"/>
        </w:rPr>
        <w:t xml:space="preserve">malinformation</w:t>
      </w:r>
      <w:r>
        <w:rPr>
          <w:rFonts w:ascii="Times New Roman" w:cs="Times New Roman" w:eastAsia="Times New Roman" w:hAnsi="Times New Roman"/>
          <w:sz w:val="24"/>
          <w:szCs w:val="24"/>
        </w:rPr>
        <w:t xml:space="preserve">) (Wardle &amp; Derakhshan, 2017; UNESCO, 2019). Na prática, a intenção raramente é observável num texto curto; os anotadores apoiam-se em marcadores como a ausência de fonte verificável, o apelo urgente à partilha ou a atribuição de declarações a figuras públicas sem prova.</w:t>
      </w:r>
    </w:p>
    <w:p>
      <w:pPr>
        <w:spacing w:after="120" w:before="0" w:line="360"/>
        <w:ind w:firstLine="567"/>
        <w:jc w:val="both"/>
      </w:pPr>
      <w:r>
        <w:rPr>
          <w:rFonts w:ascii="Times New Roman" w:cs="Times New Roman" w:eastAsia="Times New Roman" w:hAnsi="Times New Roman"/>
          <w:b/>
          <w:bCs/>
          <w:sz w:val="24"/>
          <w:szCs w:val="24"/>
        </w:rPr>
        <w:t xml:space="preserve">Discurso de ódio</w:t>
      </w:r>
      <w:r>
        <w:rPr>
          <w:rFonts w:ascii="Times New Roman" w:cs="Times New Roman" w:eastAsia="Times New Roman" w:hAnsi="Times New Roman"/>
          <w:sz w:val="24"/>
          <w:szCs w:val="24"/>
        </w:rPr>
        <w:t xml:space="preserve"> abrange conteúdos que promovem, incitam ou justificam a discriminação, a hostilidade ou a violência contra pessoas ou grupos com base em características identitárias, como a etnia, a religião, a origem regional, o género ou a orientação sexual (Conselho da Europa, 2022). Fortuna e Nunes (2018) mostram que a categoria inclui tanto o insulto explícito como formas implícitas, por exemplo estereótipos apresentados como factos, que são muito mais difíceis de detectar automaticamente. Num país com dezenas de grupos etnolinguísticos, como Angola, o discurso que opõe grupos entre si tem relevância securitária própria (Elias, 2019).</w:t>
      </w:r>
    </w:p>
    <w:p>
      <w:pPr>
        <w:spacing w:after="120" w:before="0" w:line="360"/>
        <w:ind w:firstLine="567"/>
        <w:jc w:val="both"/>
      </w:pPr>
      <w:r>
        <w:rPr>
          <w:rFonts w:ascii="Times New Roman" w:cs="Times New Roman" w:eastAsia="Times New Roman" w:hAnsi="Times New Roman"/>
          <w:b/>
          <w:bCs/>
          <w:sz w:val="24"/>
          <w:szCs w:val="24"/>
        </w:rPr>
        <w:t xml:space="preserve">Mobilização hostil</w:t>
      </w:r>
      <w:r>
        <w:rPr>
          <w:rFonts w:ascii="Times New Roman" w:cs="Times New Roman" w:eastAsia="Times New Roman" w:hAnsi="Times New Roman"/>
          <w:sz w:val="24"/>
          <w:szCs w:val="24"/>
        </w:rPr>
        <w:t xml:space="preserve"> designa publicações que organizam, coordenam ou incitam à participação em acções ilegais ou violentas, ou que ameacem a ordem pública (Hassane, 2021; Sette Câmara, 2016). É a categoria mais delicada, porque a fronteira com o exercício legítimo dos direitos de expressão e de manifestação, consagrados nos artigos 40.º e 47.º da Constituição da República de Angola (República de Angola, 2010), é ténue. O guia de anotação (Apêndice B) exige a presença conjunta de coordenação explícita, linguagem coerciva ou de violência e ausência de referência ao carácter pacífico da acção; na falta de algum destes elementos, a publicação é classificada como Normal.</w:t>
      </w:r>
    </w:p>
    <w:p>
      <w:pPr>
        <w:spacing w:after="120" w:before="0" w:line="360"/>
        <w:ind w:firstLine="567"/>
        <w:jc w:val="both"/>
      </w:pPr>
      <w:r>
        <w:rPr>
          <w:rFonts w:ascii="Times New Roman" w:cs="Times New Roman" w:eastAsia="Times New Roman" w:hAnsi="Times New Roman"/>
          <w:b/>
          <w:bCs/>
          <w:sz w:val="24"/>
          <w:szCs w:val="24"/>
        </w:rPr>
        <w:t xml:space="preserve">Normal</w:t>
      </w:r>
      <w:r>
        <w:rPr>
          <w:rFonts w:ascii="Times New Roman" w:cs="Times New Roman" w:eastAsia="Times New Roman" w:hAnsi="Times New Roman"/>
          <w:sz w:val="24"/>
          <w:szCs w:val="24"/>
        </w:rPr>
        <w:t xml:space="preserve"> é a categoria residual: tudo o que não cumpre os critérios das restantes, incluindo crítica política, humor, jornalismo e conversa quotidiana. Esta definição por exclusão obriga o anotador a procurar activamente marcadores de ameaça, em vez de se limitar a reconhecer conteúdo inofensivo.</w:t>
      </w:r>
    </w:p>
    <w:p>
      <w:pPr>
        <w:pStyle w:val="Heading2"/>
        <w:keepNext/>
        <w:keepLines/>
        <w:spacing w:after="160" w:before="360" w:line="300"/>
      </w:pPr>
      <w:r>
        <w:rPr>
          <w:rFonts w:ascii="Times New Roman" w:cs="Times New Roman" w:eastAsia="Times New Roman" w:hAnsi="Times New Roman"/>
          <w:b/>
          <w:bCs/>
          <w:sz w:val="26"/>
          <w:szCs w:val="26"/>
        </w:rPr>
        <w:t xml:space="preserve">2.3 Sistemas de monitorização de ameaças</w:t>
      </w:r>
    </w:p>
    <w:p>
      <w:pPr>
        <w:spacing w:after="120" w:before="0" w:line="360"/>
        <w:ind w:firstLine="567"/>
        <w:jc w:val="both"/>
      </w:pPr>
      <w:r>
        <w:rPr>
          <w:rFonts w:ascii="Times New Roman" w:cs="Times New Roman" w:eastAsia="Times New Roman" w:hAnsi="Times New Roman"/>
          <w:sz w:val="24"/>
          <w:szCs w:val="24"/>
        </w:rPr>
        <w:t xml:space="preserve">Os sistemas internacionais de referência mostram o que é tecnicamente possível, mas também porque não se transpõem directamente para Angola. O programa MediFor, da agência norte-americana DARPA, desenvolveu métodos forenses para detectar imagens e vídeos manipulados (Defense Advanced Research Projects Agency, 2016). É um programa de investigação governamental, sem mecanismo de transferência para países terceiros e sem atenção ao português.</w:t>
      </w:r>
    </w:p>
    <w:p>
      <w:pPr>
        <w:spacing w:after="120" w:before="0" w:line="360"/>
        <w:ind w:firstLine="567"/>
        <w:jc w:val="both"/>
      </w:pPr>
      <w:r>
        <w:rPr>
          <w:rFonts w:ascii="Times New Roman" w:cs="Times New Roman" w:eastAsia="Times New Roman" w:hAnsi="Times New Roman"/>
          <w:sz w:val="24"/>
          <w:szCs w:val="24"/>
        </w:rPr>
        <w:t xml:space="preserve">O Palantir Gotham é uma plataforma comercial de análise de grandes volumes de dados heterogéneos usada por agências de segurança (Palantir Technologies, 2021). O seu custo e, sobretudo, a dependência de infra-estrutura e de um fornecedor externos levantam problemas de soberania sobre dados sensíveis. O EU DisinfoLab publica metodologias abertas de análise de redes de desinformação baseadas em fontes abertas (EU DisinfoLab, 2020, 2021); são transferíveis em termos de método, mas foram pensadas para o contexto europeu. O AFRIPOL acompanha as ciberameaças no continente africano através de relatórios periódicos (AFRIPOL, 2023), sem um componente automático de análise de texto em português.</w:t>
      </w:r>
    </w:p>
    <w:p>
      <w:pPr>
        <w:spacing w:after="120" w:before="0" w:line="360"/>
        <w:ind w:firstLine="567"/>
        <w:jc w:val="both"/>
      </w:pPr>
      <w:r>
        <w:rPr>
          <w:rFonts w:ascii="Times New Roman" w:cs="Times New Roman" w:eastAsia="Times New Roman" w:hAnsi="Times New Roman"/>
          <w:sz w:val="24"/>
          <w:szCs w:val="24"/>
        </w:rPr>
        <w:t xml:space="preserve">A Análise de Redes Sociais oferece um complemento útil à classificação de conteúdos. Medidas como a centralidade de grau, a centralidade de intermediação e a densidade permitem identificar contas influentes, pontes entre comunidades e padrões de publicação coordenada (Thelwall, 2009; Freire, 2015). Woolley e Howard (2017) documentam como a propaganda computacional recorre a contas automatizadas e a publicação sincronizada para simular apoio popular. Esta dimensão relacional não foi implementada no protótipo desta dissertação, que trabalha ao nível da publicação individual, mas é uma extensão natural discutida no Capítulo 5.</w:t>
      </w:r>
    </w:p>
    <w:p>
      <w:pPr>
        <w:spacing w:after="120" w:before="0" w:line="360"/>
        <w:ind w:firstLine="567"/>
        <w:jc w:val="both"/>
      </w:pPr>
      <w:r>
        <w:rPr>
          <w:rFonts w:ascii="Times New Roman" w:cs="Times New Roman" w:eastAsia="Times New Roman" w:hAnsi="Times New Roman"/>
          <w:sz w:val="24"/>
          <w:szCs w:val="24"/>
        </w:rPr>
        <w:t xml:space="preserve">Monaco e Arnaudo (2020) sublinham que a monitorização de redes sociais por entidades públicas exige, além da tecnologia, regras claras sobre o que se recolhe, quem acede e como se decide. Esta observação orienta o desenho do sistema proposto: em vez de procurar a máxima cobertura, procura-se um fluxo de trabalho auditável, com o analista no centro.</w:t>
      </w:r>
    </w:p>
    <w:p>
      <w:pPr>
        <w:pStyle w:val="Heading2"/>
        <w:keepNext/>
        <w:keepLines/>
        <w:spacing w:after="160" w:before="360" w:line="300"/>
      </w:pPr>
      <w:r>
        <w:rPr>
          <w:rFonts w:ascii="Times New Roman" w:cs="Times New Roman" w:eastAsia="Times New Roman" w:hAnsi="Times New Roman"/>
          <w:b/>
          <w:bCs/>
          <w:sz w:val="26"/>
          <w:szCs w:val="26"/>
        </w:rPr>
        <w:t xml:space="preserve">2.4 Recursos e modelos de linguagem para o português</w:t>
      </w:r>
    </w:p>
    <w:p>
      <w:pPr>
        <w:pStyle w:val="Heading3"/>
        <w:keepNext/>
        <w:spacing w:after="120" w:before="240"/>
      </w:pPr>
      <w:r>
        <w:rPr>
          <w:rFonts w:ascii="Times New Roman" w:cs="Times New Roman" w:eastAsia="Times New Roman" w:hAnsi="Times New Roman"/>
          <w:b/>
          <w:bCs/>
          <w:sz w:val="24"/>
          <w:szCs w:val="24"/>
        </w:rPr>
        <w:t xml:space="preserve">2.4.1 Corpora anotados</w:t>
      </w:r>
    </w:p>
    <w:p>
      <w:pPr>
        <w:spacing w:after="120" w:before="0" w:line="360"/>
        <w:ind w:firstLine="567"/>
        <w:jc w:val="both"/>
      </w:pPr>
      <w:r>
        <w:rPr>
          <w:rFonts w:ascii="Times New Roman" w:cs="Times New Roman" w:eastAsia="Times New Roman" w:hAnsi="Times New Roman"/>
          <w:sz w:val="24"/>
          <w:szCs w:val="24"/>
        </w:rPr>
        <w:t xml:space="preserve">A detecção automática de discurso de ódio e de desinformação depende de corpora anotados, e a qualidade e o alcance desses corpora condicionam o que os modelos aprendem (Poletto et al., 2021). Para o português existem três recursos públicos relevantes para esta investigação, todos de origem brasileira:</w:t>
      </w:r>
    </w:p>
    <w:p>
      <w:pPr>
        <w:pStyle w:val="ListParagraph"/>
        <w:numPr>
          <w:ilvl w:val="0"/>
          <w:numId w:val="2"/>
        </w:numPr>
        <w:spacing w:after="60" w:line="360"/>
        <w:jc w:val="both"/>
      </w:pPr>
      <w:r>
        <w:rPr>
          <w:rFonts w:ascii="Times New Roman" w:cs="Times New Roman" w:eastAsia="Times New Roman" w:hAnsi="Times New Roman"/>
          <w:sz w:val="24"/>
          <w:szCs w:val="24"/>
        </w:rPr>
        <w:t xml:space="preserve">o </w:t>
      </w:r>
      <w:r>
        <w:rPr>
          <w:rFonts w:ascii="Times New Roman" w:cs="Times New Roman" w:eastAsia="Times New Roman" w:hAnsi="Times New Roman"/>
          <w:b/>
          <w:bCs/>
          <w:sz w:val="24"/>
          <w:szCs w:val="24"/>
        </w:rPr>
        <w:t xml:space="preserve">ToLD-BR</w:t>
      </w:r>
      <w:r>
        <w:rPr>
          <w:rFonts w:ascii="Times New Roman" w:cs="Times New Roman" w:eastAsia="Times New Roman" w:hAnsi="Times New Roman"/>
          <w:sz w:val="24"/>
          <w:szCs w:val="24"/>
        </w:rPr>
        <w:t xml:space="preserve"> reúne cerca de 21 mil publicações do Twitter anotadas para várias formas de linguagem tóxica, incluindo ataques baseados em identidade (Leite et al., 2020);</w:t>
      </w:r>
    </w:p>
    <w:p>
      <w:pPr>
        <w:pStyle w:val="ListParagraph"/>
        <w:numPr>
          <w:ilvl w:val="0"/>
          <w:numId w:val="2"/>
        </w:numPr>
        <w:spacing w:after="60" w:line="360"/>
        <w:jc w:val="both"/>
      </w:pPr>
      <w:r>
        <w:rPr>
          <w:rFonts w:ascii="Times New Roman" w:cs="Times New Roman" w:eastAsia="Times New Roman" w:hAnsi="Times New Roman"/>
          <w:sz w:val="24"/>
          <w:szCs w:val="24"/>
        </w:rPr>
        <w:t xml:space="preserve">o </w:t>
      </w:r>
      <w:r>
        <w:rPr>
          <w:rFonts w:ascii="Times New Roman" w:cs="Times New Roman" w:eastAsia="Times New Roman" w:hAnsi="Times New Roman"/>
          <w:b/>
          <w:bCs/>
          <w:sz w:val="24"/>
          <w:szCs w:val="24"/>
        </w:rPr>
        <w:t xml:space="preserve">HateBR</w:t>
      </w:r>
      <w:r>
        <w:rPr>
          <w:rFonts w:ascii="Times New Roman" w:cs="Times New Roman" w:eastAsia="Times New Roman" w:hAnsi="Times New Roman"/>
          <w:sz w:val="24"/>
          <w:szCs w:val="24"/>
        </w:rPr>
        <w:t xml:space="preserve"> contém 7 mil comentários do Instagram anotados por especialistas para linguagem ofensiva e discurso de ódio (Vargas et al., 2022);</w:t>
      </w:r>
    </w:p>
    <w:p>
      <w:pPr>
        <w:pStyle w:val="ListParagraph"/>
        <w:numPr>
          <w:ilvl w:val="0"/>
          <w:numId w:val="2"/>
        </w:numPr>
        <w:spacing w:after="60" w:line="360"/>
        <w:jc w:val="both"/>
      </w:pPr>
      <w:r>
        <w:rPr>
          <w:rFonts w:ascii="Times New Roman" w:cs="Times New Roman" w:eastAsia="Times New Roman" w:hAnsi="Times New Roman"/>
          <w:sz w:val="24"/>
          <w:szCs w:val="24"/>
        </w:rPr>
        <w:t xml:space="preserve">o </w:t>
      </w:r>
      <w:r>
        <w:rPr>
          <w:rFonts w:ascii="Times New Roman" w:cs="Times New Roman" w:eastAsia="Times New Roman" w:hAnsi="Times New Roman"/>
          <w:b/>
          <w:bCs/>
          <w:sz w:val="24"/>
          <w:szCs w:val="24"/>
        </w:rPr>
        <w:t xml:space="preserve">Fake.br</w:t>
      </w:r>
      <w:r>
        <w:rPr>
          <w:rFonts w:ascii="Times New Roman" w:cs="Times New Roman" w:eastAsia="Times New Roman" w:hAnsi="Times New Roman"/>
          <w:sz w:val="24"/>
          <w:szCs w:val="24"/>
        </w:rPr>
        <w:t xml:space="preserve"> contém 7.200 notícias, metade verdadeiras e metade falsas, com textos completos emparelhados por tema (Monteiro et al., 2018).</w:t>
      </w:r>
    </w:p>
    <w:p>
      <w:pPr>
        <w:spacing w:after="120" w:before="0" w:line="360"/>
        <w:ind w:firstLine="567"/>
        <w:jc w:val="both"/>
      </w:pPr>
      <w:r>
        <w:rPr>
          <w:rFonts w:ascii="Times New Roman" w:cs="Times New Roman" w:eastAsia="Times New Roman" w:hAnsi="Times New Roman"/>
          <w:sz w:val="24"/>
          <w:szCs w:val="24"/>
        </w:rPr>
        <w:t xml:space="preserve">Nenhum destes recursos inclui a categoria de mobilização hostil, e nenhum contém texto angolano. A Desinformação disponível é composta por notícias completas, um género textual muito diferente dos comentários curtos que circulam nas redes sociais, o que terá consequências na interpretação dos resultados (Secção 4.6).</w:t>
      </w:r>
    </w:p>
    <w:p>
      <w:pPr>
        <w:pStyle w:val="Heading3"/>
        <w:keepNext/>
        <w:spacing w:after="120" w:before="240"/>
      </w:pPr>
      <w:r>
        <w:rPr>
          <w:rFonts w:ascii="Times New Roman" w:cs="Times New Roman" w:eastAsia="Times New Roman" w:hAnsi="Times New Roman"/>
          <w:b/>
          <w:bCs/>
          <w:sz w:val="24"/>
          <w:szCs w:val="24"/>
        </w:rPr>
        <w:t xml:space="preserve">2.4.2 Modelos de linguagem</w:t>
      </w:r>
    </w:p>
    <w:p>
      <w:pPr>
        <w:spacing w:after="120" w:before="0" w:line="360"/>
        <w:ind w:firstLine="567"/>
        <w:jc w:val="both"/>
      </w:pPr>
      <w:r>
        <w:rPr>
          <w:rFonts w:ascii="Times New Roman" w:cs="Times New Roman" w:eastAsia="Times New Roman" w:hAnsi="Times New Roman"/>
          <w:sz w:val="24"/>
          <w:szCs w:val="24"/>
        </w:rPr>
        <w:t xml:space="preserve">O BERT (Devlin et al., 2018) introduziu o pré-treino de codificadores </w:t>
      </w:r>
      <w:r>
        <w:rPr>
          <w:rFonts w:ascii="Times New Roman" w:cs="Times New Roman" w:eastAsia="Times New Roman" w:hAnsi="Times New Roman"/>
          <w:i/>
          <w:iCs/>
          <w:sz w:val="24"/>
          <w:szCs w:val="24"/>
        </w:rPr>
        <w:t xml:space="preserve">Transformer</w:t>
      </w:r>
      <w:r>
        <w:rPr>
          <w:rFonts w:ascii="Times New Roman" w:cs="Times New Roman" w:eastAsia="Times New Roman" w:hAnsi="Times New Roman"/>
          <w:sz w:val="24"/>
          <w:szCs w:val="24"/>
        </w:rPr>
        <w:t xml:space="preserve"> (Vaswani et al., 2017) com objectivos de modelação de linguagem mascarada, seguido de ajuste fino para tarefas específicas. O BERTimbau é a versão do BERT pré-treinada com o corpus brWaC, uma colecção de páginas web brasileiras com cerca de 2,7 mil milhões de </w:t>
      </w:r>
      <w:r>
        <w:rPr>
          <w:rFonts w:ascii="Times New Roman" w:cs="Times New Roman" w:eastAsia="Times New Roman" w:hAnsi="Times New Roman"/>
          <w:i/>
          <w:iCs/>
          <w:sz w:val="24"/>
          <w:szCs w:val="24"/>
        </w:rPr>
        <w:t xml:space="preserve">tokens</w:t>
      </w:r>
      <w:r>
        <w:rPr>
          <w:rFonts w:ascii="Times New Roman" w:cs="Times New Roman" w:eastAsia="Times New Roman" w:hAnsi="Times New Roman"/>
          <w:sz w:val="24"/>
          <w:szCs w:val="24"/>
        </w:rPr>
        <w:t xml:space="preserve">, e obteve resultados de referência em várias tarefas de PLN em português (Souza et al., 2020).</w:t>
      </w:r>
    </w:p>
    <w:p>
      <w:pPr>
        <w:spacing w:after="120" w:before="0" w:line="360"/>
        <w:ind w:firstLine="567"/>
        <w:jc w:val="both"/>
      </w:pPr>
      <w:r>
        <w:rPr>
          <w:rFonts w:ascii="Times New Roman" w:cs="Times New Roman" w:eastAsia="Times New Roman" w:hAnsi="Times New Roman"/>
          <w:sz w:val="24"/>
          <w:szCs w:val="24"/>
        </w:rPr>
        <w:t xml:space="preserve">O BERTimbau usa um vocabulário de subpalavras (</w:t>
      </w:r>
      <w:r>
        <w:rPr>
          <w:rFonts w:ascii="Times New Roman" w:cs="Times New Roman" w:eastAsia="Times New Roman" w:hAnsi="Times New Roman"/>
          <w:i/>
          <w:iCs/>
          <w:sz w:val="24"/>
          <w:szCs w:val="24"/>
        </w:rPr>
        <w:t xml:space="preserve">WordPiece</w:t>
      </w:r>
      <w:r>
        <w:rPr>
          <w:rFonts w:ascii="Times New Roman" w:cs="Times New Roman" w:eastAsia="Times New Roman" w:hAnsi="Times New Roman"/>
          <w:sz w:val="24"/>
          <w:szCs w:val="24"/>
        </w:rPr>
        <w:t xml:space="preserve">). Uma palavra que não está no vocabulário não é descartada: é dividida em fragmentos conhecidos. Termos do calão de Luanda, como </w:t>
      </w:r>
      <w:r>
        <w:rPr>
          <w:rFonts w:ascii="Times New Roman" w:cs="Times New Roman" w:eastAsia="Times New Roman" w:hAnsi="Times New Roman"/>
          <w:i/>
          <w:iCs/>
          <w:sz w:val="24"/>
          <w:szCs w:val="24"/>
        </w:rPr>
        <w:t xml:space="preserve">kota</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bué</w:t>
      </w:r>
      <w:r>
        <w:rPr>
          <w:rFonts w:ascii="Times New Roman" w:cs="Times New Roman" w:eastAsia="Times New Roman" w:hAnsi="Times New Roman"/>
          <w:sz w:val="24"/>
          <w:szCs w:val="24"/>
        </w:rPr>
        <w:t xml:space="preserve"> ou </w:t>
      </w:r>
      <w:r>
        <w:rPr>
          <w:rFonts w:ascii="Times New Roman" w:cs="Times New Roman" w:eastAsia="Times New Roman" w:hAnsi="Times New Roman"/>
          <w:i/>
          <w:iCs/>
          <w:sz w:val="24"/>
          <w:szCs w:val="24"/>
        </w:rPr>
        <w:t xml:space="preserve">mujimbo</w:t>
      </w:r>
      <w:r>
        <w:rPr>
          <w:rFonts w:ascii="Times New Roman" w:cs="Times New Roman" w:eastAsia="Times New Roman" w:hAnsi="Times New Roman"/>
          <w:sz w:val="24"/>
          <w:szCs w:val="24"/>
        </w:rPr>
        <w:t xml:space="preserve">, e empréstimos do kimbundu são assim representados por sequências de fragmentos sem significado próprio, o que enfraquece a representação semântica da frase. O efeito não se resolve apenas com o ajuste fino, porque este parte das representações aprendidas no pré-treino. Gururangan et al. (2020) mostram que continuar o pré-treino com texto do domínio de aplicação (</w:t>
      </w:r>
      <w:r>
        <w:rPr>
          <w:rFonts w:ascii="Times New Roman" w:cs="Times New Roman" w:eastAsia="Times New Roman" w:hAnsi="Times New Roman"/>
          <w:i/>
          <w:iCs/>
          <w:sz w:val="24"/>
          <w:szCs w:val="24"/>
        </w:rPr>
        <w:t xml:space="preserve">domain-adaptive pretraining</w:t>
      </w:r>
      <w:r>
        <w:rPr>
          <w:rFonts w:ascii="Times New Roman" w:cs="Times New Roman" w:eastAsia="Times New Roman" w:hAnsi="Times New Roman"/>
          <w:sz w:val="24"/>
          <w:szCs w:val="24"/>
        </w:rPr>
        <w:t xml:space="preserve">) melhora o desempenho em domínios afastados do original, uma via que fica identificada como trabalho futuro.</w:t>
      </w:r>
    </w:p>
    <w:p>
      <w:pPr>
        <w:pStyle w:val="Heading2"/>
        <w:keepNext/>
        <w:keepLines/>
        <w:spacing w:after="160" w:before="360" w:line="300"/>
      </w:pPr>
      <w:r>
        <w:rPr>
          <w:rFonts w:ascii="Times New Roman" w:cs="Times New Roman" w:eastAsia="Times New Roman" w:hAnsi="Times New Roman"/>
          <w:b/>
          <w:bCs/>
          <w:sz w:val="26"/>
          <w:szCs w:val="26"/>
        </w:rPr>
        <w:t xml:space="preserve">2.5 Algoritmos de classificação de texto</w:t>
      </w:r>
    </w:p>
    <w:p>
      <w:pPr>
        <w:spacing w:after="120" w:before="0" w:line="360"/>
        <w:ind w:firstLine="567"/>
        <w:jc w:val="both"/>
      </w:pPr>
      <w:r>
        <w:rPr>
          <w:rFonts w:ascii="Times New Roman" w:cs="Times New Roman" w:eastAsia="Times New Roman" w:hAnsi="Times New Roman"/>
          <w:sz w:val="24"/>
          <w:szCs w:val="24"/>
        </w:rPr>
        <w:t xml:space="preserve">Foram comparados quatro algoritmos que representam três gerações de métodos. A Tabela 2.1 resume as suas características.</w:t>
      </w:r>
    </w:p>
    <w:p>
      <w:pPr>
        <w:pStyle w:val="LegendaTabela"/>
        <w:keepNext/>
        <w:spacing w:after="80" w:before="240" w:line="240"/>
        <w:jc w:val="center"/>
      </w:pPr>
      <w:r>
        <w:rPr>
          <w:rFonts w:ascii="Times New Roman" w:cs="Times New Roman" w:eastAsia="Times New Roman" w:hAnsi="Times New Roman"/>
          <w:b/>
          <w:bCs/>
          <w:sz w:val="20"/>
          <w:szCs w:val="20"/>
        </w:rPr>
        <w:t xml:space="preserve">Tabela 2.1 – Algoritmos de classificação comparados</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300"/>
        <w:gridCol w:w="2320"/>
      </w:tblGrid>
      <w:tr>
        <w:trPr>
          <w:cantSplit/>
          <w:tblHeader/>
        </w:trPr>
        <w:tc>
          <w:tcPr>
            <w:tcW w:type="dxa" w:w="15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Algoritmo</w:t>
            </w:r>
          </w:p>
        </w:tc>
        <w:tc>
          <w:tcPr>
            <w:tcW w:type="dxa" w:w="21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Representação do texto</w:t>
            </w:r>
          </w:p>
        </w:tc>
        <w:tc>
          <w:tcPr>
            <w:tcW w:type="dxa" w:w="23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Pontos fortes</w:t>
            </w:r>
          </w:p>
        </w:tc>
        <w:tc>
          <w:tcPr>
            <w:tcW w:type="dxa" w:w="23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Limitações</w:t>
            </w:r>
          </w:p>
        </w:tc>
      </w:tr>
      <w:tr>
        <w:trPr>
          <w:cantSplit/>
          <w:tblHeader w:val="false"/>
        </w:trPr>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SVM</w:t>
            </w:r>
          </w:p>
        </w:tc>
        <w:tc>
          <w:tcPr>
            <w:tcW w:type="dxa" w:w="2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TF-IDF (saco de palavras e n-gramas)</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Eficaz em espaços esparsos de alta dimensão; rápido em CPU</w:t>
            </w:r>
          </w:p>
        </w:tc>
        <w:tc>
          <w:tcPr>
            <w:tcW w:type="dxa" w:w="23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Ignora a ordem e o contexto das palavras</w:t>
            </w:r>
          </w:p>
        </w:tc>
      </w:tr>
      <w:tr>
        <w:trPr>
          <w:cantSplit/>
          <w:tblHeader w:val="false"/>
        </w:trPr>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Floresta Aleatória</w:t>
            </w:r>
          </w:p>
        </w:tc>
        <w:tc>
          <w:tcPr>
            <w:tcW w:type="dxa" w:w="2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TF-IDF</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Robusta ao sobreajuste; permite analisar a importância dos termos</w:t>
            </w:r>
          </w:p>
        </w:tc>
        <w:tc>
          <w:tcPr>
            <w:tcW w:type="dxa" w:w="23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Ignora a ordem; menos eficaz em espaços muito esparsos</w:t>
            </w:r>
          </w:p>
        </w:tc>
      </w:tr>
      <w:tr>
        <w:trPr>
          <w:cantSplit/>
          <w:tblHeader w:val="false"/>
        </w:trPr>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Bi-LSTM</w:t>
            </w:r>
          </w:p>
        </w:tc>
        <w:tc>
          <w:tcPr>
            <w:tcW w:type="dxa" w:w="2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Sequência de </w:t>
            </w:r>
            <w:r>
              <w:rPr>
                <w:rFonts w:ascii="Times New Roman" w:cs="Times New Roman" w:eastAsia="Times New Roman" w:hAnsi="Times New Roman"/>
                <w:b w:val="false"/>
                <w:bCs w:val="false"/>
                <w:i/>
                <w:iCs/>
                <w:sz w:val="18"/>
                <w:szCs w:val="18"/>
              </w:rPr>
              <w:t xml:space="preserve">embeddings</w:t>
            </w:r>
            <w:r>
              <w:rPr>
                <w:rFonts w:ascii="Times New Roman" w:cs="Times New Roman" w:eastAsia="Times New Roman" w:hAnsi="Times New Roman"/>
                <w:b w:val="false"/>
                <w:bCs w:val="false"/>
                <w:sz w:val="18"/>
                <w:szCs w:val="18"/>
              </w:rPr>
              <w:t xml:space="preserve"> aprendidos</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Modela a ordem e dependências nos dois sentidos</w:t>
            </w:r>
          </w:p>
        </w:tc>
        <w:tc>
          <w:tcPr>
            <w:tcW w:type="dxa" w:w="23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Precisa de mais dados; sem pré-treino em grande escala</w:t>
            </w:r>
          </w:p>
        </w:tc>
      </w:tr>
      <w:tr>
        <w:trPr>
          <w:cantSplit/>
          <w:tblHeader w:val="false"/>
        </w:trPr>
        <w:tc>
          <w:tcPr>
            <w:tcW w:type="dxa" w:w="15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BERTimbau</w:t>
            </w:r>
          </w:p>
        </w:tc>
        <w:tc>
          <w:tcPr>
            <w:tcW w:type="dxa" w:w="21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Subpalavras com contexto (</w:t>
            </w:r>
            <w:r>
              <w:rPr>
                <w:rFonts w:ascii="Times New Roman" w:cs="Times New Roman" w:eastAsia="Times New Roman" w:hAnsi="Times New Roman"/>
                <w:b w:val="false"/>
                <w:bCs w:val="false"/>
                <w:i/>
                <w:iCs/>
                <w:sz w:val="18"/>
                <w:szCs w:val="18"/>
              </w:rPr>
              <w:t xml:space="preserve">Transformer</w:t>
            </w:r>
            <w:r>
              <w:rPr>
                <w:rFonts w:ascii="Times New Roman" w:cs="Times New Roman" w:eastAsia="Times New Roman" w:hAnsi="Times New Roman"/>
                <w:b w:val="false"/>
                <w:bCs w:val="false"/>
                <w:sz w:val="18"/>
                <w:szCs w:val="18"/>
              </w:rPr>
              <w:t xml:space="preserve">)</w:t>
            </w:r>
          </w:p>
        </w:tc>
        <w:tc>
          <w:tcPr>
            <w:tcW w:type="dxa" w:w="23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Pré-treino em português; contexto bidireccional</w:t>
            </w:r>
          </w:p>
        </w:tc>
        <w:tc>
          <w:tcPr>
            <w:tcW w:type="dxa" w:w="23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Custo computacional; GPU recomendada para treino</w:t>
            </w:r>
          </w:p>
        </w:tc>
      </w:tr>
    </w:tbl>
    <w:p>
      <w:pPr>
        <w:spacing w:after="240" w:before="60" w:line="240"/>
        <w:jc w:val="both"/>
      </w:pPr>
      <w:r>
        <w:rPr>
          <w:rFonts w:ascii="Times New Roman" w:cs="Times New Roman" w:eastAsia="Times New Roman" w:hAnsi="Times New Roman"/>
          <w:i/>
          <w:iCs/>
          <w:sz w:val="18"/>
          <w:szCs w:val="18"/>
        </w:rPr>
        <w:t xml:space="preserve">Nota.</w:t>
      </w:r>
      <w:r>
        <w:rPr>
          <w:rFonts w:ascii="Times New Roman" w:cs="Times New Roman" w:eastAsia="Times New Roman" w:hAnsi="Times New Roman"/>
          <w:sz w:val="18"/>
          <w:szCs w:val="18"/>
        </w:rPr>
        <w:t xml:space="preserve"> Elaborado a partir de Cortes e Vapnik (1995), Joachims (1998), Breiman (2001), Hochreiter e Schmidhuber (1997), Schuster e Paliwal (1997) e Souza et al. (2020).</w:t>
      </w:r>
    </w:p>
    <w:p>
      <w:pPr>
        <w:spacing w:after="120" w:before="0" w:line="360"/>
        <w:ind w:firstLine="567"/>
        <w:jc w:val="both"/>
      </w:pPr>
      <w:r>
        <w:rPr>
          <w:rFonts w:ascii="Times New Roman" w:cs="Times New Roman" w:eastAsia="Times New Roman" w:hAnsi="Times New Roman"/>
          <w:sz w:val="24"/>
          <w:szCs w:val="24"/>
        </w:rPr>
        <w:t xml:space="preserve">As Máquinas de Vectores de Suporte (Cortes &amp; Vapnik, 1995) procuram o hiperplano que separa as classes com a maior margem e são, desde Joachims (1998), uma referência sólida para classificação de texto com representações TF-IDF. A Floresta Aleatória (Breiman, 2001) combina muitas árvores de decisão treinadas com amostras e subconjuntos de variáveis diferentes; é menos comum em texto, mas útil como segunda referência clássica e pela interpretabilidade da importância dos termos.</w:t>
      </w:r>
    </w:p>
    <w:p>
      <w:pPr>
        <w:spacing w:after="120" w:before="0" w:line="360"/>
        <w:ind w:firstLine="567"/>
        <w:jc w:val="both"/>
      </w:pPr>
      <w:r>
        <w:rPr>
          <w:rFonts w:ascii="Times New Roman" w:cs="Times New Roman" w:eastAsia="Times New Roman" w:hAnsi="Times New Roman"/>
          <w:sz w:val="24"/>
          <w:szCs w:val="24"/>
        </w:rPr>
        <w:t xml:space="preserve">As redes LSTM (Hochreiter &amp; Schmidhuber, 1997) foram concebidas para captar dependências longas em sequências; a versão bidireccional (Schuster &amp; Paliwal, 1997) lê a frase nos dois sentidos. Esta capacidade é relevante para a mobilização hostil, em que a informação decisiva (hora, local, apelo final) pode surgir em qualquer ponto do texto. O BERTimbau, por fim, combina o contexto bidireccional com o conhecimento linguístico adquirido no pré-treino. A comparação entre o Bi-LSTM e o BERTimbau permite, assim, separar em parte o efeito da arquitectura sequencial do efeito do pré-treino.</w:t>
      </w:r>
    </w:p>
    <w:p>
      <w:pPr>
        <w:spacing w:after="120" w:before="0" w:line="360"/>
        <w:ind w:firstLine="567"/>
        <w:jc w:val="both"/>
      </w:pPr>
      <w:r>
        <w:rPr>
          <w:rFonts w:ascii="Times New Roman" w:cs="Times New Roman" w:eastAsia="Times New Roman" w:hAnsi="Times New Roman"/>
          <w:sz w:val="24"/>
          <w:szCs w:val="24"/>
        </w:rPr>
        <w:t xml:space="preserve">A manutenção de modelos clássicos tem também uma razão prática. Num sistema operacional, um modelo leve que corre em CPU pode servir de contingência quando a GPU não está disponível, desde que se conheça e se aceite a perda de desempenho que isso implica.</w:t>
      </w:r>
    </w:p>
    <w:p>
      <w:pPr>
        <w:pStyle w:val="Heading2"/>
        <w:keepNext/>
        <w:keepLines/>
        <w:spacing w:after="160" w:before="360" w:line="300"/>
      </w:pPr>
      <w:r>
        <w:rPr>
          <w:rFonts w:ascii="Times New Roman" w:cs="Times New Roman" w:eastAsia="Times New Roman" w:hAnsi="Times New Roman"/>
          <w:b/>
          <w:bCs/>
          <w:sz w:val="26"/>
          <w:szCs w:val="26"/>
        </w:rPr>
        <w:t xml:space="preserve">2.6 Avaliação de classificadores</w:t>
      </w:r>
    </w:p>
    <w:p>
      <w:pPr>
        <w:spacing w:after="120" w:before="0" w:line="360"/>
        <w:ind w:firstLine="567"/>
        <w:jc w:val="both"/>
      </w:pPr>
      <w:r>
        <w:rPr>
          <w:rFonts w:ascii="Times New Roman" w:cs="Times New Roman" w:eastAsia="Times New Roman" w:hAnsi="Times New Roman"/>
          <w:sz w:val="24"/>
          <w:szCs w:val="24"/>
        </w:rPr>
        <w:t xml:space="preserve">Em problemas com classes desequilibradas, a exactidão é enganadora: um modelo que classifique tudo como Normal pode ter exactidão elevada e ser inútil. Sokolova e Lapalme (2009) mostram que a escolha da métrica deve reflectir os custos dos erros. Nesta dissertação, a métrica principal é o </w:t>
      </w:r>
      <w:r>
        <w:rPr>
          <w:rFonts w:ascii="Times New Roman" w:cs="Times New Roman" w:eastAsia="Times New Roman" w:hAnsi="Times New Roman"/>
          <w:b/>
          <w:bCs/>
          <w:sz w:val="24"/>
          <w:szCs w:val="24"/>
        </w:rPr>
        <w:t xml:space="preserve">F1-macro</w:t>
      </w:r>
      <w:r>
        <w:rPr>
          <w:rFonts w:ascii="Times New Roman" w:cs="Times New Roman" w:eastAsia="Times New Roman" w:hAnsi="Times New Roman"/>
          <w:sz w:val="24"/>
          <w:szCs w:val="24"/>
        </w:rPr>
        <w:t xml:space="preserve">, a média simples do F1 de cada categoria, que dá à Mobilização Hostil, a categoria mais rara, o mesmo peso da categoria Normal. Reportam-se também o F1 ponderado, a exactidão, a AUC-ROC e o Kappa de Cohen entre as previsões e a referência (Cohen, 1960).</w:t>
      </w:r>
    </w:p>
    <w:p>
      <w:pPr>
        <w:spacing w:after="120" w:before="0" w:line="360"/>
        <w:ind w:firstLine="567"/>
        <w:jc w:val="both"/>
      </w:pPr>
      <w:r>
        <w:rPr>
          <w:rFonts w:ascii="Times New Roman" w:cs="Times New Roman" w:eastAsia="Times New Roman" w:hAnsi="Times New Roman"/>
          <w:sz w:val="24"/>
          <w:szCs w:val="24"/>
        </w:rPr>
        <w:t xml:space="preserve">Uma diferença de desempenho num conjunto de teste pode resultar do acaso. Para quantificar essa incerteza usam-se intervalos de confiança por </w:t>
      </w:r>
      <w:r>
        <w:rPr>
          <w:rFonts w:ascii="Times New Roman" w:cs="Times New Roman" w:eastAsia="Times New Roman" w:hAnsi="Times New Roman"/>
          <w:i/>
          <w:iCs/>
          <w:sz w:val="24"/>
          <w:szCs w:val="24"/>
        </w:rPr>
        <w:t xml:space="preserve">bootstrap</w:t>
      </w:r>
      <w:r>
        <w:rPr>
          <w:rFonts w:ascii="Times New Roman" w:cs="Times New Roman" w:eastAsia="Times New Roman" w:hAnsi="Times New Roman"/>
          <w:sz w:val="24"/>
          <w:szCs w:val="24"/>
        </w:rPr>
        <w:t xml:space="preserve">, que reamostram o conjunto de teste com reposição e recalculam a métrica (Efron &amp; Tibshirani, 1993). Para comparar dois classificadores no mesmo conjunto de teste, Dietterich (1998) recomenda o teste de McNemar (McNemar, 1947), que considera apenas os casos em que um modelo acerta e o outro erra. Quando se fazem várias comparações, a correcção de Bonferroni multiplica cada valor de p pelo número de comparações, controlando a probabilidade de encontrar pelo menos uma diferença espúria.</w:t>
      </w:r>
    </w:p>
    <w:p>
      <w:pPr>
        <w:spacing w:after="120" w:before="0" w:line="360"/>
        <w:ind w:firstLine="567"/>
        <w:jc w:val="both"/>
      </w:pPr>
      <w:r>
        <w:rPr>
          <w:rFonts w:ascii="Times New Roman" w:cs="Times New Roman" w:eastAsia="Times New Roman" w:hAnsi="Times New Roman"/>
          <w:sz w:val="24"/>
          <w:szCs w:val="24"/>
        </w:rPr>
        <w:t xml:space="preserve">O acordo entre anotadores mede a fiabilidade das etiquetas. O Kappa de Cohen (Cohen, 1960) aplica-se a pares de anotadores; o Kappa de Fleiss (Fleiss, 1971) generaliza-o para mais de dois. Ambos corrigem a concordância observada pela concordância esperada ao acaso. A escala de Landis e Koch (1977) é a referência habitual para a sua interpretação, embora os próprios autores a apresentem como indicativa.</w:t>
      </w:r>
    </w:p>
    <w:p>
      <w:pPr>
        <w:pStyle w:val="Heading2"/>
        <w:keepNext/>
        <w:keepLines/>
        <w:spacing w:after="160" w:before="360" w:line="300"/>
      </w:pPr>
      <w:r>
        <w:rPr>
          <w:rFonts w:ascii="Times New Roman" w:cs="Times New Roman" w:eastAsia="Times New Roman" w:hAnsi="Times New Roman"/>
          <w:b/>
          <w:bCs/>
          <w:sz w:val="26"/>
          <w:szCs w:val="26"/>
        </w:rPr>
        <w:t xml:space="preserve">2.7 Generalização entre domínios e aprendizagem de atalhos</w:t>
      </w:r>
    </w:p>
    <w:p>
      <w:pPr>
        <w:spacing w:after="120" w:before="0" w:line="360"/>
        <w:ind w:firstLine="567"/>
        <w:jc w:val="both"/>
      </w:pPr>
      <w:r>
        <w:rPr>
          <w:rFonts w:ascii="Times New Roman" w:cs="Times New Roman" w:eastAsia="Times New Roman" w:hAnsi="Times New Roman"/>
          <w:sz w:val="24"/>
          <w:szCs w:val="24"/>
        </w:rPr>
        <w:t xml:space="preserve">Um modelo treinado num corpus pode ter bom desempenho nesse corpus e falhar noutro. Fortuna, Soler-Company e Wanner (2021) mostram que os classificadores de discurso de ódio e de linguagem ofensiva generalizam mal entre conjuntos de dados, porque cada corpus reflecte as suas plataformas, os seus temas e as suas decisões de anotação. Geirhos et al. (2020) descrevem o fenómeno mais geral da aprendizagem de atalhos (</w:t>
      </w:r>
      <w:r>
        <w:rPr>
          <w:rFonts w:ascii="Times New Roman" w:cs="Times New Roman" w:eastAsia="Times New Roman" w:hAnsi="Times New Roman"/>
          <w:i/>
          <w:iCs/>
          <w:sz w:val="24"/>
          <w:szCs w:val="24"/>
        </w:rPr>
        <w:t xml:space="preserve">shortcut learning</w:t>
      </w:r>
      <w:r>
        <w:rPr>
          <w:rFonts w:ascii="Times New Roman" w:cs="Times New Roman" w:eastAsia="Times New Roman" w:hAnsi="Times New Roman"/>
          <w:sz w:val="24"/>
          <w:szCs w:val="24"/>
        </w:rPr>
        <w:t xml:space="preserve">): o modelo aprende uma regularidade que separa as classes no conjunto de treino, como o comprimento ou o estilo do texto, em vez da propriedade que se pretende detectar.</w:t>
      </w:r>
    </w:p>
    <w:p>
      <w:pPr>
        <w:spacing w:after="120" w:before="0" w:line="360"/>
        <w:ind w:firstLine="567"/>
        <w:jc w:val="both"/>
      </w:pPr>
      <w:r>
        <w:rPr>
          <w:rFonts w:ascii="Times New Roman" w:cs="Times New Roman" w:eastAsia="Times New Roman" w:hAnsi="Times New Roman"/>
          <w:sz w:val="24"/>
          <w:szCs w:val="24"/>
        </w:rPr>
        <w:t xml:space="preserve">Estes trabalhos têm duas consequências para esta investigação. Primeiro, o desempenho medido num teste dominado por dados brasileiros não pode ser tomado como desempenho em Angola. Segundo, quando uma categoria provém de uma única fonte com um estilo muito próprio, como a Desinformação do Fake.br, é de esperar que o modelo aprenda esse estilo. A H4 foi formulada para medir directamente o primeiro efeito, e a análise por categoria da Secção 4.6 procura indícios do segundo.</w:t>
      </w:r>
    </w:p>
    <w:p>
      <w:pPr>
        <w:pStyle w:val="Heading2"/>
        <w:keepNext/>
        <w:keepLines/>
        <w:spacing w:after="160" w:before="360" w:line="300"/>
      </w:pPr>
      <w:r>
        <w:rPr>
          <w:rFonts w:ascii="Times New Roman" w:cs="Times New Roman" w:eastAsia="Times New Roman" w:hAnsi="Times New Roman"/>
          <w:b/>
          <w:bCs/>
          <w:sz w:val="26"/>
          <w:szCs w:val="26"/>
        </w:rPr>
        <w:t xml:space="preserve">2.8 Aspectos éticos, legais e de direitos humanos</w:t>
      </w:r>
    </w:p>
    <w:p>
      <w:pPr>
        <w:spacing w:after="120" w:before="0" w:line="360"/>
        <w:ind w:firstLine="567"/>
        <w:jc w:val="both"/>
      </w:pPr>
      <w:r>
        <w:rPr>
          <w:rFonts w:ascii="Times New Roman" w:cs="Times New Roman" w:eastAsia="Times New Roman" w:hAnsi="Times New Roman"/>
          <w:sz w:val="24"/>
          <w:szCs w:val="24"/>
        </w:rPr>
        <w:t xml:space="preserve">A monitorização de redes sociais por entidades de segurança coloca em tensão a protecção da segurança colectiva e os direitos individuais de expressão, reunião e privacidade. A tecnologia, por si, não resolve essa tensão. Resolvem-na regras claras sobre o que se recolhe, sobre o modo como a informação é tratada e sobre quem decide.</w:t>
      </w:r>
    </w:p>
    <w:p>
      <w:pPr>
        <w:spacing w:after="120" w:before="0" w:line="360"/>
        <w:ind w:firstLine="567"/>
        <w:jc w:val="both"/>
      </w:pPr>
      <w:r>
        <w:rPr>
          <w:rFonts w:ascii="Times New Roman" w:cs="Times New Roman" w:eastAsia="Times New Roman" w:hAnsi="Times New Roman"/>
          <w:sz w:val="24"/>
          <w:szCs w:val="24"/>
        </w:rPr>
        <w:t xml:space="preserve">O quadro jurídico angolano relevante inclui a Constituição da República de Angola, que consagra a liberdade de expressão e de informação (artigo 40.º) e a liberdade de reunião e de manifestação (artigo 47.º) (República de Angola, 2010); a Lei n.º 22/11, de 17 de Junho, de Protecção de Dados Pessoais, que estabelece os princípios de finalidade, proporcionalidade, minimização e conservação limitada no tratamento de dados (República de Angola, 2011); e a Lei n.º 7/17, de 16 de Fevereiro, de Protecção das Redes e Sistemas Informáticos, relevante para a forma como os dados são obtidos (República de Angola, 2017). Os termos de utilização das plataformas acrescentam uma camada contratual que deve ser respeitada e declarada.</w:t>
      </w:r>
    </w:p>
    <w:p>
      <w:pPr>
        <w:spacing w:after="120" w:before="0" w:line="360"/>
        <w:ind w:firstLine="567"/>
        <w:jc w:val="both"/>
      </w:pPr>
      <w:r>
        <w:rPr>
          <w:rFonts w:ascii="Times New Roman" w:cs="Times New Roman" w:eastAsia="Times New Roman" w:hAnsi="Times New Roman"/>
          <w:sz w:val="24"/>
          <w:szCs w:val="24"/>
        </w:rPr>
        <w:t xml:space="preserve">A Recomendação da UNESCO sobre a Ética da Inteligência Artificial (UNESCO, 2021) pede que os sistemas usados em contextos de segurança pública sejam proporcionais, transparentes, auditáveis e sujeitos a supervisão humana, e que os seus erros sejam avaliados por grupos linguísticos e demográficos. O Regulamento Europeu da Inteligência Artificial (União Europeia, 2024) classifica, de forma semelhante, vários usos de IA em contextos de aplicação da lei como de risco elevado. Destes princípios decorrem as salvaguardas adoptadas no sistema (Secção 3.2): recolha apenas de conteúdo público, anonimização antes do armazenamento, ausência de perfis individuais, revisão humana obrigatória e auditoria de todas as acções.</w:t>
      </w:r>
    </w:p>
    <w:p>
      <w:pPr>
        <w:spacing w:after="120" w:before="0" w:line="360"/>
        <w:ind w:firstLine="567"/>
        <w:jc w:val="both"/>
      </w:pPr>
      <w:r>
        <w:rPr>
          <w:rFonts w:ascii="Times New Roman" w:cs="Times New Roman" w:eastAsia="Times New Roman" w:hAnsi="Times New Roman"/>
          <w:sz w:val="24"/>
          <w:szCs w:val="24"/>
        </w:rPr>
        <w:t xml:space="preserve">O risco mais imediato é o falso positivo na Mobilização Hostil. Uma convocatória para uma manifestação pacífica partilha com uma convocatória hostil muitos dos marcadores superficiais (urgência, data, local, apelo colectivo). Nenhum classificador actual resolve esta ambiguidade com a fiabilidade necessária para fundamentar uma acção institucional sem revisão humana.</w:t>
      </w:r>
    </w:p>
    <w:p>
      <w:pPr>
        <w:pStyle w:val="Heading2"/>
        <w:keepNext/>
        <w:keepLines/>
        <w:spacing w:after="160" w:before="360" w:line="300"/>
      </w:pPr>
      <w:r>
        <w:rPr>
          <w:rFonts w:ascii="Times New Roman" w:cs="Times New Roman" w:eastAsia="Times New Roman" w:hAnsi="Times New Roman"/>
          <w:b/>
          <w:bCs/>
          <w:sz w:val="26"/>
          <w:szCs w:val="26"/>
        </w:rPr>
        <w:t xml:space="preserve">2.9 Síntese e lacuna de investigação</w:t>
      </w:r>
    </w:p>
    <w:p>
      <w:pPr>
        <w:spacing w:after="120" w:before="0" w:line="360"/>
        <w:ind w:firstLine="567"/>
        <w:jc w:val="both"/>
      </w:pPr>
      <w:r>
        <w:rPr>
          <w:rFonts w:ascii="Times New Roman" w:cs="Times New Roman" w:eastAsia="Times New Roman" w:hAnsi="Times New Roman"/>
          <w:sz w:val="24"/>
          <w:szCs w:val="24"/>
        </w:rPr>
        <w:t xml:space="preserve">A literatura revista permite três conclusões. Os sistemas internacionais de monitorização não estão disponíveis, não cobrem o português de Angola ou implicam dependência externa. Os recursos de PLN para o português são brasileiros e, no caso da desinformação, pertencem a um género textual diferente das redes sociais. Por fim, sabe-se que os classificadores de conteúdo nocivo generalizam mal entre domínios, embora não exista uma medida dessa perda para Angola.</w:t>
      </w:r>
    </w:p>
    <w:p>
      <w:pPr>
        <w:spacing w:after="120" w:before="0" w:line="360"/>
        <w:ind w:firstLine="567"/>
        <w:jc w:val="both"/>
      </w:pPr>
      <w:r>
        <w:rPr>
          <w:rFonts w:ascii="Times New Roman" w:cs="Times New Roman" w:eastAsia="Times New Roman" w:hAnsi="Times New Roman"/>
          <w:sz w:val="24"/>
          <w:szCs w:val="24"/>
        </w:rPr>
        <w:t xml:space="preserve">Esta dissertação procura, por isso, fazer duas coisas: medir com dados angolanos anotados o desempenho real dos modelos disponíveis e propor um sistema que use esses modelos de forma compatível com as suas limitações, isto é, como apoio à triagem humana e não como mecanismo de decisão.</w:t>
      </w:r>
    </w:p>
    <w:p>
      <w:pPr>
        <w:sectPr>
          <w:headerReference w:type="default" r:id="rId15"/>
          <w:footerReference w:type="default" r:id="rId16"/>
          <w:type w:val="nextPage"/>
          <w:pgSz w:w="11906" w:h="16838" w:orient="portrait"/>
          <w:pgMar w:top="1701" w:right="1701" w:bottom="1417" w:left="1984" w:header="850" w:footer="567" w:gutter="0"/>
          <w:pgNumType/>
          <w:docGrid w:linePitch="360"/>
        </w:sectPr>
      </w:pPr>
    </w:p>
    <w:p>
      <w:pPr>
        <w:pStyle w:val="Heading1"/>
        <w:spacing w:after="480" w:before="567"/>
        <w:jc w:val="left"/>
      </w:pPr>
      <w:r>
        <w:rPr>
          <w:rFonts w:ascii="Times New Roman" w:cs="Times New Roman" w:eastAsia="Times New Roman" w:hAnsi="Times New Roman"/>
          <w:b/>
          <w:bCs/>
          <w:sz w:val="28"/>
          <w:szCs w:val="28"/>
        </w:rPr>
        <w:t xml:space="preserve">CAPÍTULO 3 – METODOLOGIA</w:t>
      </w:r>
    </w:p>
    <w:p>
      <w:pPr>
        <w:spacing w:after="120" w:before="0" w:line="360"/>
        <w:ind w:firstLine="567"/>
        <w:jc w:val="both"/>
      </w:pPr>
      <w:r>
        <w:rPr>
          <w:rFonts w:ascii="Times New Roman" w:cs="Times New Roman" w:eastAsia="Times New Roman" w:hAnsi="Times New Roman"/>
          <w:sz w:val="24"/>
          <w:szCs w:val="24"/>
        </w:rPr>
        <w:t xml:space="preserve">Este capítulo descreve como a investigação foi conduzida: o desenho geral, as salvaguardas éticas, a recolha e a anotação dos dados, a construção do corpus de treino, os modelos, o protocolo de avaliação e, por fim, a arquitectura do sistema que põe o modelo seleccionado ao serviço do analista.</w:t>
      </w:r>
    </w:p>
    <w:p>
      <w:pPr>
        <w:pStyle w:val="Heading2"/>
        <w:keepNext/>
        <w:keepLines/>
        <w:spacing w:after="160" w:before="360" w:line="300"/>
      </w:pPr>
      <w:r>
        <w:rPr>
          <w:rFonts w:ascii="Times New Roman" w:cs="Times New Roman" w:eastAsia="Times New Roman" w:hAnsi="Times New Roman"/>
          <w:b/>
          <w:bCs/>
          <w:sz w:val="26"/>
          <w:szCs w:val="26"/>
        </w:rPr>
        <w:t xml:space="preserve">3.1 Paradigma e desenho da investigação</w:t>
      </w:r>
    </w:p>
    <w:p>
      <w:pPr>
        <w:spacing w:after="120" w:before="0" w:line="360"/>
        <w:ind w:firstLine="567"/>
        <w:jc w:val="both"/>
      </w:pPr>
      <w:r>
        <w:rPr>
          <w:rFonts w:ascii="Times New Roman" w:cs="Times New Roman" w:eastAsia="Times New Roman" w:hAnsi="Times New Roman"/>
          <w:sz w:val="24"/>
          <w:szCs w:val="24"/>
        </w:rPr>
        <w:t xml:space="preserve">A investigação segue um paradigma pragmático e aplicado, com abordagem predominantemente quantitativa. As hipóteses H1 e H4 são testadas com métricas de classificação e testes estatísticos; a H2 e a H3 dependem de medições do sistema em funcionamento, cujo protocolo se define neste capítulo. A componente de engenharia (o protótipo) é avaliada por testes automáticos e pela sua conformidade com requisitos explícitos.</w:t>
      </w:r>
    </w:p>
    <w:p>
      <w:pPr>
        <w:spacing w:after="120" w:before="0" w:line="360"/>
        <w:ind w:firstLine="567"/>
        <w:jc w:val="both"/>
      </w:pPr>
      <w:r>
        <w:rPr>
          <w:rFonts w:ascii="Times New Roman" w:cs="Times New Roman" w:eastAsia="Times New Roman" w:hAnsi="Times New Roman"/>
          <w:sz w:val="24"/>
          <w:szCs w:val="24"/>
        </w:rPr>
        <w:t xml:space="preserve">O trabalho decorreu em três fases, representadas na Figura 3.1. Na fase de dados recolheram-se e anotaram-se comentários angolanos e construiu-se o corpus híbrido. Na fase de modelos treinaram-se e compararam-se os quatro classificadores. Na fase de sistema desenvolveu-se o protótipo, cujas revisões humanas podem alimentar novos ciclos de treino.</w:t>
      </w:r>
    </w:p>
    <w:p>
      <w:pPr>
        <w:keepNext/>
        <w:spacing w:after="40" w:before="160"/>
        <w:jc w:val="center"/>
      </w:pPr>
      <w:r>
        <w:drawing>
          <wp:inline distT="0" distB="0" distL="0" distR="0">
            <wp:extent cx="5581650" cy="3333750"/>
            <wp:effectExtent t="0" r="0" b="0" l="0"/>
            <wp:docPr id="1" name="fig3_1_desenho.png" descr="fig3_1_desenho.png" title="fig3_1_desenh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581650" cy="3333750"/>
                    </a:xfrm>
                    <a:prstGeom prst="rect">
                      <a:avLst/>
                    </a:prstGeom>
                  </pic:spPr>
                </pic:pic>
              </a:graphicData>
            </a:graphic>
          </wp:inline>
        </w:drawing>
      </w:r>
    </w:p>
    <w:p>
      <w:pPr>
        <w:pStyle w:val="LegendaFigura"/>
        <w:spacing w:after="120" w:before="60" w:line="240"/>
        <w:jc w:val="center"/>
      </w:pPr>
      <w:r>
        <w:rPr>
          <w:rFonts w:ascii="Times New Roman" w:cs="Times New Roman" w:eastAsia="Times New Roman" w:hAnsi="Times New Roman"/>
          <w:b/>
          <w:bCs/>
          <w:sz w:val="20"/>
          <w:szCs w:val="20"/>
        </w:rPr>
        <w:t xml:space="preserve">Figura 3.1 – Desenho da investigação</w:t>
      </w:r>
    </w:p>
    <w:p>
      <w:pPr>
        <w:pStyle w:val="Heading2"/>
        <w:keepNext/>
        <w:keepLines/>
        <w:spacing w:after="160" w:before="360" w:line="300"/>
      </w:pPr>
      <w:r>
        <w:rPr>
          <w:rFonts w:ascii="Times New Roman" w:cs="Times New Roman" w:eastAsia="Times New Roman" w:hAnsi="Times New Roman"/>
          <w:b/>
          <w:bCs/>
          <w:sz w:val="26"/>
          <w:szCs w:val="26"/>
        </w:rPr>
        <w:t xml:space="preserve">3.2 Considerações éticas e protecção de dados</w:t>
      </w:r>
    </w:p>
    <w:p>
      <w:pPr>
        <w:spacing w:after="120" w:before="0" w:line="360"/>
        <w:ind w:firstLine="567"/>
        <w:jc w:val="both"/>
      </w:pPr>
      <w:r>
        <w:rPr>
          <w:rFonts w:ascii="Times New Roman" w:cs="Times New Roman" w:eastAsia="Times New Roman" w:hAnsi="Times New Roman"/>
          <w:sz w:val="24"/>
          <w:szCs w:val="24"/>
        </w:rPr>
        <w:t xml:space="preserve">O trabalho com conteúdos de redes sociais para fins de segurança exige salvaguardas definidas antes da recolha. As medidas adoptadas, que decorrem da Lei n.º 22/11 e dos princípios revistos na Secção 2.8, são as seguintes: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Conteúdo público apenas.</w:t>
      </w:r>
      <w:r>
        <w:rPr>
          <w:rFonts w:ascii="Times New Roman" w:cs="Times New Roman" w:eastAsia="Times New Roman" w:hAnsi="Times New Roman"/>
          <w:sz w:val="24"/>
          <w:szCs w:val="24"/>
        </w:rPr>
        <w:t xml:space="preserve"> Recolheram-se apenas conteúdos públicos: comentários do YouTube, obtidos pela interface oficial, e publicações copiadas manualmente de páginas acessíveis sem autenticação. Não se acedeu a mensagens privadas, grupos fechados ou conteúdo que exija autenticação, nem se contornaram protecções técnicas das plataformas.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Anonimização antes do armazenamento.</w:t>
      </w:r>
      <w:r>
        <w:rPr>
          <w:rFonts w:ascii="Times New Roman" w:cs="Times New Roman" w:eastAsia="Times New Roman" w:hAnsi="Times New Roman"/>
          <w:sz w:val="24"/>
          <w:szCs w:val="24"/>
        </w:rPr>
        <w:t xml:space="preserve"> Os nomes dos autores são substituídos por pseudónimos irreversíveis e os identificadores directos no texto (endereços web, correio electrónico, números de telefone e menções a utilizadores) são mascarados. Para nomes de pessoas privadas referidos no texto, a regra adoptada é a sua substituição por descritores do papel ou da instituição; nomes de instituições e de figuras políticas são mantidos, por serem relevantes para a classificação. No lote temático de vídeos, a revisão foi feita depois do treino, com o script mascarar_nomes_lote_tema.py: em 24 dos 194 comentários, os nomes de comentadores de programas televisivos, de um activista e de uma outra pessoa foram substituídos por descritores (31 substituições), e mantiveram-se os de figuras políticas e históricas. O modelo foi treinado com o texto anterior a esta revisão. Como o lote só entra no treino, as métricas de teste não são afectadas.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Proveniência registada.</w:t>
      </w:r>
      <w:r>
        <w:rPr>
          <w:rFonts w:ascii="Times New Roman" w:cs="Times New Roman" w:eastAsia="Times New Roman" w:hAnsi="Times New Roman"/>
          <w:sz w:val="24"/>
          <w:szCs w:val="24"/>
        </w:rPr>
        <w:t xml:space="preserve"> Cada lote de dados fica associado à plataforma, à via de obtenção, à data e ao volume, o que permite declarar na metodologia a origem exacta de cada parte do corpus.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Sem perfis individuais.</w:t>
      </w:r>
      <w:r>
        <w:rPr>
          <w:rFonts w:ascii="Times New Roman" w:cs="Times New Roman" w:eastAsia="Times New Roman" w:hAnsi="Times New Roman"/>
          <w:sz w:val="24"/>
          <w:szCs w:val="24"/>
        </w:rPr>
        <w:t xml:space="preserve"> O sistema apresenta agregados por categoria, período e plataforma; não existem vistas por autor.</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Revisão humana obrigatória.</w:t>
      </w:r>
      <w:r>
        <w:rPr>
          <w:rFonts w:ascii="Times New Roman" w:cs="Times New Roman" w:eastAsia="Times New Roman" w:hAnsi="Times New Roman"/>
          <w:sz w:val="24"/>
          <w:szCs w:val="24"/>
        </w:rPr>
        <w:t xml:space="preserve"> A classificação serve apenas para ordenar a revisão. Nenhuma acção sobre pessoas pode basear-se apenas no sistema.</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Conservação limitada e auditoria.</w:t>
      </w:r>
      <w:r>
        <w:rPr>
          <w:rFonts w:ascii="Times New Roman" w:cs="Times New Roman" w:eastAsia="Times New Roman" w:hAnsi="Times New Roman"/>
          <w:sz w:val="24"/>
          <w:szCs w:val="24"/>
        </w:rPr>
        <w:t xml:space="preserve"> As publicações não revistas são apagadas após um prazo configurável, e todas as acções (importação, classificação, revisão, exportação, limpeza) ficam registadas.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Consentimento dos anotadores.</w:t>
      </w:r>
      <w:r>
        <w:rPr>
          <w:rFonts w:ascii="Times New Roman" w:cs="Times New Roman" w:eastAsia="Times New Roman" w:hAnsi="Times New Roman"/>
          <w:sz w:val="24"/>
          <w:szCs w:val="24"/>
        </w:rPr>
        <w:t xml:space="preserve"> Os anotadores assinaram uma declaração de consentimento e confidencialidade (Apêndice D).</w:t>
      </w:r>
    </w:p>
    <w:p>
      <w:pPr>
        <w:spacing w:after="120" w:before="0" w:line="360"/>
        <w:ind w:firstLine="567"/>
        <w:jc w:val="both"/>
      </w:pPr>
      <w:r>
        <w:rPr>
          <w:rFonts w:ascii="Times New Roman" w:cs="Times New Roman" w:eastAsia="Times New Roman" w:hAnsi="Times New Roman"/>
          <w:sz w:val="24"/>
          <w:szCs w:val="24"/>
        </w:rPr>
        <w:t xml:space="preserve">Os termos de utilização das plataformas e a Lei n.º 7/17 devem ser objecto de parecer jurídico antes de qualquer uso institucional do sistema, como se recomenda no Capítulo 5.</w:t>
      </w:r>
    </w:p>
    <w:p>
      <w:pPr>
        <w:pStyle w:val="Heading2"/>
        <w:keepNext/>
        <w:keepLines/>
        <w:spacing w:after="160" w:before="360" w:line="300"/>
      </w:pPr>
      <w:r>
        <w:rPr>
          <w:rFonts w:ascii="Times New Roman" w:cs="Times New Roman" w:eastAsia="Times New Roman" w:hAnsi="Times New Roman"/>
          <w:b/>
          <w:bCs/>
          <w:sz w:val="26"/>
          <w:szCs w:val="26"/>
        </w:rPr>
        <w:t xml:space="preserve">3.3 Recolha de dados do piloto angolano</w:t>
      </w:r>
    </w:p>
    <w:p>
      <w:pPr>
        <w:spacing w:after="120" w:before="0" w:line="360"/>
        <w:ind w:firstLine="567"/>
        <w:jc w:val="both"/>
      </w:pPr>
      <w:r>
        <w:rPr>
          <w:rFonts w:ascii="Times New Roman" w:cs="Times New Roman" w:eastAsia="Times New Roman" w:hAnsi="Times New Roman"/>
          <w:sz w:val="24"/>
          <w:szCs w:val="24"/>
        </w:rPr>
        <w:t xml:space="preserve">A maior parte dos dados angolanos foi recolhida no YouTube, plataforma onde os principais órgãos de comunicação e criadores de conteúdo angolanos publicam vídeos sobre política, economia e sociedade, e cujos comentários são públicos e acessíveis por uma interface oficial (YouTube Data API v3). A recolha seguiu quatro passos, implementados em </w:t>
      </w:r>
      <w:r>
        <w:rPr>
          <w:rFonts w:ascii="Times New Roman" w:cs="Times New Roman" w:eastAsia="Times New Roman" w:hAnsi="Times New Roman"/>
          <w:i/>
          <w:iCs/>
          <w:sz w:val="24"/>
          <w:szCs w:val="24"/>
        </w:rPr>
        <w:t xml:space="preserve">scripts</w:t>
      </w:r>
      <w:r>
        <w:rPr>
          <w:rFonts w:ascii="Times New Roman" w:cs="Times New Roman" w:eastAsia="Times New Roman" w:hAnsi="Times New Roman"/>
          <w:sz w:val="24"/>
          <w:szCs w:val="24"/>
        </w:rPr>
        <w:t xml:space="preserve"> Python:</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Descoberta.</w:t>
      </w:r>
      <w:r>
        <w:rPr>
          <w:rFonts w:ascii="Times New Roman" w:cs="Times New Roman" w:eastAsia="Times New Roman" w:hAnsi="Times New Roman"/>
          <w:sz w:val="24"/>
          <w:szCs w:val="24"/>
        </w:rPr>
        <w:t xml:space="preserve"> Pesquisa de vídeos por termos relacionados com a actualidade angolana, restrita a canais e conteúdos angolanos.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Sondagem.</w:t>
      </w:r>
      <w:r>
        <w:rPr>
          <w:rFonts w:ascii="Times New Roman" w:cs="Times New Roman" w:eastAsia="Times New Roman" w:hAnsi="Times New Roman"/>
          <w:sz w:val="24"/>
          <w:szCs w:val="24"/>
        </w:rPr>
        <w:t xml:space="preserve"> Leitura de uma pequena amostra de comentários de cada vídeo para estimar a proporção de comentários angolanos e o volume disponível.</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Selecção.</w:t>
      </w:r>
      <w:r>
        <w:rPr>
          <w:rFonts w:ascii="Times New Roman" w:cs="Times New Roman" w:eastAsia="Times New Roman" w:hAnsi="Times New Roman"/>
          <w:sz w:val="24"/>
          <w:szCs w:val="24"/>
        </w:rPr>
        <w:t xml:space="preserve"> Escolha dos vídeos a recolher, privilegiando a diversidade de canais e de temas e excluindo vídeos claramente não angolanos.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Recolha.</w:t>
      </w:r>
      <w:r>
        <w:rPr>
          <w:rFonts w:ascii="Times New Roman" w:cs="Times New Roman" w:eastAsia="Times New Roman" w:hAnsi="Times New Roman"/>
          <w:sz w:val="24"/>
          <w:szCs w:val="24"/>
        </w:rPr>
        <w:t xml:space="preserve"> Obtenção dos comentários e respostas, com limite por vídeo para evitar que poucos vídeos dominassem o corpus, e anonimização dos autores antes da gravação.</w:t>
      </w:r>
    </w:p>
    <w:p>
      <w:pPr>
        <w:spacing w:after="120" w:before="0" w:line="360"/>
        <w:ind w:firstLine="567"/>
        <w:jc w:val="both"/>
      </w:pPr>
      <w:r>
        <w:rPr>
          <w:rFonts w:ascii="Times New Roman" w:cs="Times New Roman" w:eastAsia="Times New Roman" w:hAnsi="Times New Roman"/>
          <w:sz w:val="24"/>
          <w:szCs w:val="24"/>
        </w:rPr>
        <w:t xml:space="preserve">A quota diária da interface (10 000 unidades, com 100 unidades por pesquisa e 1 unidade por pedido de comentários) condicionou o ritmo da recolha. Para preservar a validade da comparação com os corpora brasileiros (H4), retiraram-se do piloto os casos explicitamente não angolanos, como comentários em vídeos de outros países ou de autores que se declaram de fora de Angola. Os casos duvidosos foram mantidos, o que torna a estimativa da lacuna de domínio, se alguma coisa, conservadora.</w:t>
      </w:r>
    </w:p>
    <w:p>
      <w:pPr>
        <w:spacing w:after="120" w:before="0" w:line="360"/>
        <w:ind w:firstLine="567"/>
        <w:jc w:val="both"/>
      </w:pPr>
      <w:r>
        <w:rPr>
          <w:rFonts w:ascii="Times New Roman" w:cs="Times New Roman" w:eastAsia="Times New Roman" w:hAnsi="Times New Roman"/>
          <w:sz w:val="24"/>
          <w:szCs w:val="24"/>
        </w:rPr>
        <w:t xml:space="preserve">Uma parte menor do piloto veio de recolha manual: 180 títulos e entradas de notícias de sete órgãos de comunicação angolanos e 194 publicações e comentários copiados de páginas públicas, incluindo o Facebook. Estes itens passaram pela mesma anonimização e pela mesma anotação que os comentários do YouTube. No corpus, o piloto aparece com três origens, registadas na coluna </w:t>
      </w:r>
      <w:r>
        <w:rPr>
          <w:rFonts w:ascii="Courier New" w:cs="Courier New" w:eastAsia="Courier New" w:hAnsi="Courier New"/>
          <w:sz w:val="21"/>
          <w:szCs w:val="21"/>
        </w:rPr>
        <w:t xml:space="preserve">origem</w:t>
      </w:r>
      <w:r>
        <w:rPr>
          <w:rFonts w:ascii="Times New Roman" w:cs="Times New Roman" w:eastAsia="Times New Roman" w:hAnsi="Times New Roman"/>
          <w:sz w:val="24"/>
          <w:szCs w:val="24"/>
        </w:rPr>
        <w:t xml:space="preserv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Amostras aleatórias</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ate_v11</w:t>
      </w:r>
      <w:r>
        <w:rPr>
          <w:rFonts w:ascii="Times New Roman" w:cs="Times New Roman" w:eastAsia="Times New Roman" w:hAnsi="Times New Roman"/>
          <w:sz w:val="24"/>
          <w:szCs w:val="24"/>
        </w:rPr>
        <w:t xml:space="preserve">): 2.352 itens, dos quais 1.978 são comentários seleccionados aleatoriamente dos vídeos recolhidos e 374 vêm da recolha manual; formam a base do piloto e são os únicos dados angolanos usados na validação e no teste.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Lote temático de vídeos</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enriquecido_video_tema</w:t>
      </w:r>
      <w:r>
        <w:rPr>
          <w:rFonts w:ascii="Times New Roman" w:cs="Times New Roman" w:eastAsia="Times New Roman" w:hAnsi="Times New Roman"/>
          <w:sz w:val="24"/>
          <w:szCs w:val="24"/>
        </w:rPr>
        <w:t xml:space="preserve">): 284 comentários de vídeos escolhidos por tratarem temas propícios a mobilização ou a discurso de ódio, dos quais se retiraram 90 por não serem de domínio angolano, restando 194.</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Lote orientado por léxico</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enriquecido_lexico</w:t>
      </w:r>
      <w:r>
        <w:rPr>
          <w:rFonts w:ascii="Times New Roman" w:cs="Times New Roman" w:eastAsia="Times New Roman" w:hAnsi="Times New Roman"/>
          <w:sz w:val="24"/>
          <w:szCs w:val="24"/>
        </w:rPr>
        <w:t xml:space="preserve">): 91 comentários priorizados para anotação por conterem termos de um léxico de candidatos.</w:t>
      </w:r>
    </w:p>
    <w:p>
      <w:pPr>
        <w:spacing w:after="120" w:before="0" w:line="360"/>
        <w:ind w:firstLine="567"/>
        <w:jc w:val="both"/>
      </w:pPr>
      <w:r>
        <w:rPr>
          <w:rFonts w:ascii="Times New Roman" w:cs="Times New Roman" w:eastAsia="Times New Roman" w:hAnsi="Times New Roman"/>
          <w:sz w:val="24"/>
          <w:szCs w:val="24"/>
        </w:rPr>
        <w:t xml:space="preserve">Os dois lotes enriquecidos resultam de uma selecção não aleatória e foram anotados pelos mesmos anotadores. Por essa razão, foram usados </w:t>
      </w:r>
      <w:r>
        <w:rPr>
          <w:rFonts w:ascii="Times New Roman" w:cs="Times New Roman" w:eastAsia="Times New Roman" w:hAnsi="Times New Roman"/>
          <w:b/>
          <w:bCs/>
          <w:sz w:val="24"/>
          <w:szCs w:val="24"/>
        </w:rPr>
        <w:t xml:space="preserve">apenas no treino</w:t>
      </w:r>
      <w:r>
        <w:rPr>
          <w:rFonts w:ascii="Times New Roman" w:cs="Times New Roman" w:eastAsia="Times New Roman" w:hAnsi="Times New Roman"/>
          <w:sz w:val="24"/>
          <w:szCs w:val="24"/>
        </w:rPr>
        <w:t xml:space="preserve">: incluí-los na avaliação inflacionaria as métricas e enviesaria a comparação da H4.</w:t>
      </w:r>
    </w:p>
    <w:p>
      <w:pPr>
        <w:pStyle w:val="Heading2"/>
        <w:keepNext/>
        <w:keepLines/>
        <w:spacing w:after="160" w:before="360" w:line="300"/>
      </w:pPr>
      <w:r>
        <w:rPr>
          <w:rFonts w:ascii="Times New Roman" w:cs="Times New Roman" w:eastAsia="Times New Roman" w:hAnsi="Times New Roman"/>
          <w:b/>
          <w:bCs/>
          <w:sz w:val="26"/>
          <w:szCs w:val="26"/>
        </w:rPr>
        <w:t xml:space="preserve">3.4 Anotação e acordo entre anotadores</w:t>
      </w:r>
    </w:p>
    <w:p>
      <w:pPr>
        <w:spacing w:after="120" w:before="0" w:line="360"/>
        <w:ind w:firstLine="567"/>
        <w:jc w:val="both"/>
      </w:pPr>
      <w:r>
        <w:rPr>
          <w:rFonts w:ascii="Times New Roman" w:cs="Times New Roman" w:eastAsia="Times New Roman" w:hAnsi="Times New Roman"/>
          <w:sz w:val="24"/>
          <w:szCs w:val="24"/>
        </w:rPr>
        <w:t xml:space="preserve">A anotação foi feita por três anotadores independentes, dois angolanos e um com formação em processamento de linguagem natural, seguindo o Guia de Anotação Padronizado (Apêndice B). Cada anotador classificou cada publicação numa das quatro categorias, sem acesso às classificações dos outros nem às previsões de qualquer modelo. Nos casos de desacordo, aplicou-se o princípio da gravidade ascendente definido no guia (Mobilização Hostil &gt; Discurso de Ódio &gt; Desinformação &gt; Normal), por se considerar que, num contexto de segurança, um falso positivo sujeito a revisão é preferível a um falso negativo.</w:t>
      </w:r>
    </w:p>
    <w:p>
      <w:pPr>
        <w:spacing w:after="120" w:before="0" w:line="360"/>
        <w:ind w:firstLine="567"/>
        <w:jc w:val="both"/>
      </w:pPr>
      <w:r>
        <w:rPr>
          <w:rFonts w:ascii="Times New Roman" w:cs="Times New Roman" w:eastAsia="Times New Roman" w:hAnsi="Times New Roman"/>
          <w:sz w:val="24"/>
          <w:szCs w:val="24"/>
        </w:rPr>
        <w:t xml:space="preserve">O acordo foi medido com o Kappa de Fleiss para os três anotadores e com o Kappa de Cohen para cada par. Nas amostras aleatórias do piloto, obteve-se κ de Fleiss de 0,718 (IC 95%: 0,695–0,741), κ de Cohen médio de 0,719 e concordância observada de 81,3%, o que corresponde a acordo substancial na escala de Landis e Koch (1977). No lote temático de vídeos, o κ de Fleiss foi de 0,818 (IC 95%: 0,763–0,869); este valor não é comparável com o anterior, porque uma amostra seleccionada por tema tem uma distribuição de categorias diferente. Os detalhes constam do Apêndice C.</w:t>
      </w:r>
    </w:p>
    <w:p>
      <w:pPr>
        <w:spacing w:after="120" w:before="0" w:line="360"/>
        <w:ind w:firstLine="567"/>
        <w:jc w:val="both"/>
      </w:pPr>
      <w:r>
        <w:rPr>
          <w:rFonts w:ascii="Times New Roman" w:cs="Times New Roman" w:eastAsia="Times New Roman" w:hAnsi="Times New Roman"/>
          <w:sz w:val="24"/>
          <w:szCs w:val="24"/>
        </w:rPr>
        <w:t xml:space="preserve">O corpus anotado final tem 2.637 publicações, com a seguinte distribuição de etiquetas: Normal 1.664, Mobilização Hostil 364, Desinformação 326 e Discurso de Ódio 283. Após a harmonização e a remoção de duplicados (Secção 3.5), entram no corpus de treino 2.573 registos do piloto.</w:t>
      </w:r>
    </w:p>
    <w:p>
      <w:pPr>
        <w:spacing w:after="120" w:before="0" w:line="360"/>
        <w:ind w:firstLine="567"/>
        <w:jc w:val="both"/>
      </w:pPr>
      <w:r>
        <w:rPr>
          <w:rFonts w:ascii="Times New Roman" w:cs="Times New Roman" w:eastAsia="Times New Roman" w:hAnsi="Times New Roman"/>
          <w:sz w:val="24"/>
          <w:szCs w:val="24"/>
        </w:rPr>
        <w:t xml:space="preserve">O léxico de candidatos usado para priorizar a anotação foi avaliado nos próprios dados anotados. No lote temático, apenas 27% dos comentários que o léxico assinalava como possíveis casos de mobilização (33 em 123) foram classificados pelos anotadores como Mobilização Hostil, contra 61% (17 em 28) no caso do discurso de ódio; num controlo de 45 comentários sem termos do léxico, não houve nenhum caso de mobilização. O léxico é, por isso, útil para encontrar casos raros, mas insuficiente para os rotular, e não foi usado como fonte de etiquetas.</w:t>
      </w:r>
    </w:p>
    <w:p>
      <w:pPr>
        <w:pStyle w:val="Heading2"/>
        <w:keepNext/>
        <w:keepLines/>
        <w:spacing w:after="160" w:before="360" w:line="300"/>
      </w:pPr>
      <w:r>
        <w:rPr>
          <w:rFonts w:ascii="Times New Roman" w:cs="Times New Roman" w:eastAsia="Times New Roman" w:hAnsi="Times New Roman"/>
          <w:b/>
          <w:bCs/>
          <w:sz w:val="26"/>
          <w:szCs w:val="26"/>
        </w:rPr>
        <w:t xml:space="preserve">3.5 Construção do corpus híbrido</w:t>
      </w:r>
    </w:p>
    <w:p>
      <w:pPr>
        <w:spacing w:after="120" w:before="0" w:line="360"/>
        <w:ind w:firstLine="567"/>
        <w:jc w:val="both"/>
      </w:pPr>
      <w:r>
        <w:rPr>
          <w:rFonts w:ascii="Times New Roman" w:cs="Times New Roman" w:eastAsia="Times New Roman" w:hAnsi="Times New Roman"/>
          <w:sz w:val="24"/>
          <w:szCs w:val="24"/>
        </w:rPr>
        <w:t xml:space="preserve">O piloto angolano, por si só, é demasiado pequeno para treinar um classificador de quatro categorias. Combinou-se, por isso, com os três corpora públicos descritos na Secção 2.4.1. As etiquetas originais de cada corpus foram mapeadas para as quatro categorias da dissertação no </w:t>
      </w:r>
      <w:r>
        <w:rPr>
          <w:rFonts w:ascii="Times New Roman" w:cs="Times New Roman" w:eastAsia="Times New Roman" w:hAnsi="Times New Roman"/>
          <w:i/>
          <w:iCs/>
          <w:sz w:val="24"/>
          <w:szCs w:val="24"/>
        </w:rPr>
        <w:t xml:space="preserve">script</w:t>
      </w:r>
      <w:r>
        <w:rPr>
          <w:rFonts w:ascii="Times New Roman" w:cs="Times New Roman" w:eastAsia="Times New Roman" w:hAnsi="Times New Roman"/>
          <w:sz w:val="24"/>
          <w:szCs w:val="24"/>
        </w:rPr>
        <w:t xml:space="preserve"> de construção do corpus. No ToLD-BR, os tweets com marcação de ataque a uma identidade passaram a Odio, os tweets sem qualquer marcação a Normal, e os tweets tóxicos apenas por obscenidade ou insulto sem alvo identitário foram excluídos. No HateBR, os comentários marcados como linguagem ofensiva passaram a Odio e os restantes a Normal. No Fake.br, as notícias falsas passaram a Desinformacao e as verdadeiras a Normal. Depois da junção, removeram-se os duplicados exactos.</w:t>
      </w:r>
    </w:p>
    <w:p>
      <w:pPr>
        <w:spacing w:after="120" w:before="0" w:line="360"/>
        <w:ind w:firstLine="567"/>
        <w:jc w:val="both"/>
      </w:pPr>
      <w:r>
        <w:rPr>
          <w:rFonts w:ascii="Times New Roman" w:cs="Times New Roman" w:eastAsia="Times New Roman" w:hAnsi="Times New Roman"/>
          <w:sz w:val="24"/>
          <w:szCs w:val="24"/>
        </w:rPr>
        <w:t xml:space="preserve">O resultado é um corpus de 26.859 registos (238 duplicados removidos), cuja composição se apresenta na Tabela 4.1. A Figura 3.2 resume o processo e a divisão em treino, validação e teste.</w:t>
      </w:r>
    </w:p>
    <w:p>
      <w:pPr>
        <w:keepNext/>
        <w:spacing w:after="40" w:before="160"/>
        <w:jc w:val="center"/>
      </w:pPr>
      <w:r>
        <w:drawing>
          <wp:inline distT="0" distB="0" distL="0" distR="0">
            <wp:extent cx="5400675" cy="2895600"/>
            <wp:effectExtent t="0" r="0" b="0" l="0"/>
            <wp:docPr id="1" name="fig3_2_corpus.png" descr="fig3_2_corpus.png" title="fig3_2_corp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400675" cy="2895600"/>
                    </a:xfrm>
                    <a:prstGeom prst="rect">
                      <a:avLst/>
                    </a:prstGeom>
                  </pic:spPr>
                </pic:pic>
              </a:graphicData>
            </a:graphic>
          </wp:inline>
        </w:drawing>
      </w:r>
    </w:p>
    <w:p>
      <w:pPr>
        <w:pStyle w:val="LegendaFigura"/>
        <w:spacing w:after="120" w:before="60" w:line="240"/>
        <w:jc w:val="center"/>
      </w:pPr>
      <w:r>
        <w:rPr>
          <w:rFonts w:ascii="Times New Roman" w:cs="Times New Roman" w:eastAsia="Times New Roman" w:hAnsi="Times New Roman"/>
          <w:b/>
          <w:bCs/>
          <w:sz w:val="20"/>
          <w:szCs w:val="20"/>
        </w:rPr>
        <w:t xml:space="preserve">Figura 3.2 – Construção do corpus híbrido e divisão em treino, validação e teste</w:t>
      </w:r>
    </w:p>
    <w:p>
      <w:pPr>
        <w:spacing w:after="120" w:before="0" w:line="360"/>
        <w:ind w:firstLine="567"/>
        <w:jc w:val="both"/>
      </w:pPr>
      <w:r>
        <w:rPr>
          <w:rFonts w:ascii="Times New Roman" w:cs="Times New Roman" w:eastAsia="Times New Roman" w:hAnsi="Times New Roman"/>
          <w:sz w:val="24"/>
          <w:szCs w:val="24"/>
        </w:rPr>
        <w:t xml:space="preserve">A divisão foi estratificada por categoria, com cerca de 70% dos dados para treino e 15% para cada um dos conjuntos de validação (3.986) e de teste (3.987). Os 285 itens dos lotes enriquecidos foram forçados para o treino. O conjunto de teste foi usado uma única vez, no fim, para cada modelo e variante.</w:t>
      </w:r>
    </w:p>
    <w:p>
      <w:pPr>
        <w:spacing w:after="120" w:before="0" w:line="360"/>
        <w:ind w:firstLine="567"/>
        <w:jc w:val="both"/>
      </w:pPr>
      <w:r>
        <w:rPr>
          <w:rFonts w:ascii="Times New Roman" w:cs="Times New Roman" w:eastAsia="Times New Roman" w:hAnsi="Times New Roman"/>
          <w:sz w:val="24"/>
          <w:szCs w:val="24"/>
        </w:rPr>
        <w:t xml:space="preserve">Note-se que, no HateBR, a etiqueta usada é a de linguagem ofensiva, que é mais ampla do que o discurso de ódio tal como definido no guia de anotação; parte dos exemplos públicos de Odio são, por isso, insultos sem alvo identitário. Dois desequilíbrios estruturais condicionam a interpretação dos resultados. A Mobilização Hostil existe apenas no piloto e conta com 47 exemplos no teste, o que torna as estimativas desta categoria instáveis. E cerca de 91% do teste provém de corpora brasileiros, de modo que as métricas globais descrevem sobretudo o desempenho em conteúdo brasileiro. A H4 foi formulada para separar estes dois domínios.</w:t>
      </w:r>
    </w:p>
    <w:p>
      <w:pPr>
        <w:pStyle w:val="Heading2"/>
        <w:keepNext/>
        <w:keepLines/>
        <w:spacing w:after="160" w:before="360" w:line="300"/>
      </w:pPr>
      <w:r>
        <w:rPr>
          <w:rFonts w:ascii="Times New Roman" w:cs="Times New Roman" w:eastAsia="Times New Roman" w:hAnsi="Times New Roman"/>
          <w:b/>
          <w:bCs/>
          <w:sz w:val="26"/>
          <w:szCs w:val="26"/>
        </w:rPr>
        <w:t xml:space="preserve">3.6 Modelos e treino</w:t>
      </w:r>
    </w:p>
    <w:p>
      <w:pPr>
        <w:pStyle w:val="Heading3"/>
        <w:keepNext/>
        <w:spacing w:after="120" w:before="240"/>
      </w:pPr>
      <w:r>
        <w:rPr>
          <w:rFonts w:ascii="Times New Roman" w:cs="Times New Roman" w:eastAsia="Times New Roman" w:hAnsi="Times New Roman"/>
          <w:b/>
          <w:bCs/>
          <w:sz w:val="24"/>
          <w:szCs w:val="24"/>
        </w:rPr>
        <w:t xml:space="preserve">3.6.1 Pré-processamento e representação</w:t>
      </w:r>
    </w:p>
    <w:p>
      <w:pPr>
        <w:spacing w:after="120" w:before="0" w:line="360"/>
        <w:ind w:firstLine="567"/>
        <w:jc w:val="both"/>
      </w:pPr>
      <w:r>
        <w:rPr>
          <w:rFonts w:ascii="Times New Roman" w:cs="Times New Roman" w:eastAsia="Times New Roman" w:hAnsi="Times New Roman"/>
          <w:sz w:val="24"/>
          <w:szCs w:val="24"/>
        </w:rPr>
        <w:t xml:space="preserve">O pré-processamento foi deliberadamente ligeiro. O BERTimbau recebe o texto original, com pontuação e capitalização, e usa o seu próprio tokenizador de subpalavras. O Bi-LSTM converte o texto em minúsculas, divide-o em palavras e aprende as suas representações durante o treino. Os modelos clássicos usam uma representação TF-IDF limitada aos 5.000 termos mais frequentes do treino.</w:t>
      </w:r>
    </w:p>
    <w:p>
      <w:pPr>
        <w:pStyle w:val="Heading3"/>
        <w:keepNext/>
        <w:spacing w:after="120" w:before="240"/>
      </w:pPr>
      <w:r>
        <w:rPr>
          <w:rFonts w:ascii="Times New Roman" w:cs="Times New Roman" w:eastAsia="Times New Roman" w:hAnsi="Times New Roman"/>
          <w:b/>
          <w:bCs/>
          <w:sz w:val="24"/>
          <w:szCs w:val="24"/>
        </w:rPr>
        <w:t xml:space="preserve">3.6.2 Configuração dos modelos</w:t>
      </w:r>
    </w:p>
    <w:p>
      <w:pPr>
        <w:spacing w:after="120" w:before="0" w:line="360"/>
        <w:ind w:firstLine="567"/>
        <w:jc w:val="both"/>
      </w:pPr>
      <w:r>
        <w:rPr>
          <w:rFonts w:ascii="Times New Roman" w:cs="Times New Roman" w:eastAsia="Times New Roman" w:hAnsi="Times New Roman"/>
          <w:sz w:val="24"/>
          <w:szCs w:val="24"/>
        </w:rPr>
        <w:t xml:space="preserve">O desequilíbrio entre classes foi tratado de duas formas, consoante o tipo de modelo. Nos modelos clássicos, aplicou-se SMOTE (Chawla et al., 2002) ao espaço TF-IDF do conjunto de treino, gerando exemplos sintéticos das classes minoritárias; a validação e o teste mantêm a distribuição original. Nos modelos neuronais, em vez de criar exemplos, usaram-se pesos na função de perda inversamente proporcionais à frequência de cada classe. A Tabela 3.1 resume a configuração.</w:t>
      </w:r>
    </w:p>
    <w:p>
      <w:pPr>
        <w:pStyle w:val="LegendaTabela"/>
        <w:keepNext/>
        <w:spacing w:after="80" w:before="240" w:line="240"/>
        <w:jc w:val="center"/>
      </w:pPr>
      <w:r>
        <w:rPr>
          <w:rFonts w:ascii="Times New Roman" w:cs="Times New Roman" w:eastAsia="Times New Roman" w:hAnsi="Times New Roman"/>
          <w:b/>
          <w:bCs/>
          <w:sz w:val="20"/>
          <w:szCs w:val="20"/>
        </w:rPr>
        <w:t xml:space="preserve">Tabela 3.1 – Configuração dos modelos</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6420"/>
      </w:tblGrid>
      <w:tr>
        <w:trPr>
          <w:cantSplit/>
          <w:tblHeader/>
        </w:trPr>
        <w:tc>
          <w:tcPr>
            <w:tcW w:type="dxa" w:w="18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Modelo</w:t>
            </w:r>
          </w:p>
        </w:tc>
        <w:tc>
          <w:tcPr>
            <w:tcW w:type="dxa" w:w="64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Configuração</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SVM</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TF-IDF (5.000 termos); SVM linear (LinearSVC); SMOTE no treino</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Floresta Aleatória</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TF-IDF (5.000 termos); 300 árvores; SMOTE no treino</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Bi-LSTM</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i/>
                <w:iCs/>
                <w:sz w:val="19"/>
                <w:szCs w:val="19"/>
              </w:rPr>
              <w:t xml:space="preserve">Embeddings</w:t>
            </w:r>
            <w:r>
              <w:rPr>
                <w:rFonts w:ascii="Times New Roman" w:cs="Times New Roman" w:eastAsia="Times New Roman" w:hAnsi="Times New Roman"/>
                <w:b w:val="false"/>
                <w:bCs w:val="false"/>
                <w:sz w:val="19"/>
                <w:szCs w:val="19"/>
              </w:rPr>
              <w:t xml:space="preserve"> de dimensão 100 treinados de raiz; LSTM bidireccional com 128 unidades; até 128 palavras por texto; lote 32; taxa de aprendizagem 10</w:t>
            </w:r>
            <w:r>
              <w:rPr>
                <w:rFonts w:ascii="Times New Roman" w:cs="Times New Roman" w:eastAsia="Times New Roman" w:hAnsi="Times New Roman"/>
                <w:b w:val="false"/>
                <w:bCs w:val="false"/>
                <w:sz w:val="19"/>
                <w:szCs w:val="19"/>
                <w:vertAlign w:val="superscript"/>
              </w:rPr>
              <w:t xml:space="preserve">-3</w:t>
            </w:r>
            <w:r>
              <w:rPr>
                <w:rFonts w:ascii="Times New Roman" w:cs="Times New Roman" w:eastAsia="Times New Roman" w:hAnsi="Times New Roman"/>
                <w:b w:val="false"/>
                <w:bCs w:val="false"/>
                <w:sz w:val="19"/>
                <w:szCs w:val="19"/>
              </w:rPr>
              <w:t xml:space="preserve">; até 15 épocas com paragem antecipada (3 épocas sem melhoria do F1-macro de validação); entropia cruzada ponderada</w:t>
            </w:r>
          </w:p>
        </w:tc>
      </w:tr>
      <w:tr>
        <w:trPr>
          <w:cantSplit/>
          <w:tblHeader w:val="false"/>
        </w:trPr>
        <w:tc>
          <w:tcPr>
            <w:tcW w:type="dxa" w:w="18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BERTimbau</w:t>
            </w:r>
          </w:p>
        </w:tc>
        <w:tc>
          <w:tcPr>
            <w:tcW w:type="dxa" w:w="64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neuralmind/bert-base-portuguese-cased com ajuste fino completo e cabeça de 4 saídas; até 256 subpalavras; lote 16; taxa de aprendizagem 2 × 10</w:t>
            </w:r>
            <w:r>
              <w:rPr>
                <w:rFonts w:ascii="Times New Roman" w:cs="Times New Roman" w:eastAsia="Times New Roman" w:hAnsi="Times New Roman"/>
                <w:b w:val="false"/>
                <w:bCs w:val="false"/>
                <w:sz w:val="19"/>
                <w:szCs w:val="19"/>
                <w:vertAlign w:val="superscript"/>
              </w:rPr>
              <w:t xml:space="preserve">-5</w:t>
            </w:r>
            <w:r>
              <w:rPr>
                <w:rFonts w:ascii="Times New Roman" w:cs="Times New Roman" w:eastAsia="Times New Roman" w:hAnsi="Times New Roman"/>
                <w:b w:val="false"/>
                <w:bCs w:val="false"/>
                <w:sz w:val="19"/>
                <w:szCs w:val="19"/>
              </w:rPr>
              <w:t xml:space="preserve">; 3 épocas, retendo a época com melhor F1-macro de validação; entropia cruzada ponderada</w:t>
            </w:r>
          </w:p>
        </w:tc>
      </w:tr>
    </w:tbl>
    <w:p>
      <w:pPr>
        <w:spacing w:after="240" w:before="60" w:line="240"/>
        <w:jc w:val="both"/>
      </w:pPr>
      <w:r>
        <w:rPr>
          <w:rFonts w:ascii="Times New Roman" w:cs="Times New Roman" w:eastAsia="Times New Roman" w:hAnsi="Times New Roman"/>
          <w:i/>
          <w:iCs/>
          <w:sz w:val="18"/>
          <w:szCs w:val="18"/>
        </w:rPr>
        <w:t xml:space="preserve">Nota.</w:t>
      </w:r>
      <w:r>
        <w:rPr>
          <w:rFonts w:ascii="Times New Roman" w:cs="Times New Roman" w:eastAsia="Times New Roman" w:hAnsi="Times New Roman"/>
          <w:sz w:val="18"/>
          <w:szCs w:val="18"/>
        </w:rPr>
        <w:t xml:space="preserve"> Valores por omissão dos </w:t>
      </w:r>
      <w:r>
        <w:rPr>
          <w:rFonts w:ascii="Times New Roman" w:cs="Times New Roman" w:eastAsia="Times New Roman" w:hAnsi="Times New Roman"/>
          <w:i/>
          <w:iCs/>
          <w:sz w:val="18"/>
          <w:szCs w:val="18"/>
        </w:rPr>
        <w:t xml:space="preserve">scripts</w:t>
      </w:r>
      <w:r>
        <w:rPr>
          <w:rFonts w:ascii="Times New Roman" w:cs="Times New Roman" w:eastAsia="Times New Roman" w:hAnsi="Times New Roman"/>
          <w:sz w:val="18"/>
          <w:szCs w:val="18"/>
        </w:rPr>
        <w:t xml:space="preserve"> train_baseline.py, train_bilstm.py e train_bertimbau.py, usados sem alteração na corrida de referência. A semente aleatória é 42 em todos os modelos.</w:t>
      </w:r>
    </w:p>
    <w:p>
      <w:pPr>
        <w:spacing w:after="120" w:before="0" w:line="360"/>
        <w:ind w:firstLine="567"/>
        <w:jc w:val="both"/>
      </w:pPr>
      <w:r>
        <w:rPr>
          <w:rFonts w:ascii="Times New Roman" w:cs="Times New Roman" w:eastAsia="Times New Roman" w:hAnsi="Times New Roman"/>
          <w:sz w:val="24"/>
          <w:szCs w:val="24"/>
        </w:rPr>
        <w:t xml:space="preserve">O BERTimbau foi treinado três vezes, com as sementes 42, 43 e 44, para medir a variabilidade devida à inicialização. A execução com a semente 42 foi definida, antes das restantes, como configuração de referência. Testaram-se ainda três variantes: a média das probabilidades das três sementes (</w:t>
      </w:r>
      <w:r>
        <w:rPr>
          <w:rFonts w:ascii="Times New Roman" w:cs="Times New Roman" w:eastAsia="Times New Roman" w:hAnsi="Times New Roman"/>
          <w:i/>
          <w:iCs/>
          <w:sz w:val="24"/>
          <w:szCs w:val="24"/>
        </w:rPr>
        <w:t xml:space="preserve">ensemble</w:t>
      </w:r>
      <w:r>
        <w:rPr>
          <w:rFonts w:ascii="Times New Roman" w:cs="Times New Roman" w:eastAsia="Times New Roman" w:hAnsi="Times New Roman"/>
          <w:sz w:val="24"/>
          <w:szCs w:val="24"/>
        </w:rPr>
        <w:t xml:space="preserve">), o treino sem o lote temático de vídeos (ablação) e pesos de classe suavizados (expoente 0,5 sobre o inverso da frequência).</w:t>
      </w:r>
    </w:p>
    <w:p>
      <w:pPr>
        <w:pStyle w:val="Heading3"/>
        <w:keepNext/>
        <w:spacing w:after="120" w:before="240"/>
      </w:pPr>
      <w:r>
        <w:rPr>
          <w:rFonts w:ascii="Times New Roman" w:cs="Times New Roman" w:eastAsia="Times New Roman" w:hAnsi="Times New Roman"/>
          <w:b/>
          <w:bCs/>
          <w:sz w:val="24"/>
          <w:szCs w:val="24"/>
        </w:rPr>
        <w:t xml:space="preserve">3.6.3 Ambiente de desenvolvimento</w:t>
      </w:r>
    </w:p>
    <w:p>
      <w:pPr>
        <w:pStyle w:val="LegendaTabela"/>
        <w:keepNext/>
        <w:spacing w:after="80" w:before="240" w:line="240"/>
        <w:jc w:val="center"/>
      </w:pPr>
      <w:r>
        <w:rPr>
          <w:rFonts w:ascii="Times New Roman" w:cs="Times New Roman" w:eastAsia="Times New Roman" w:hAnsi="Times New Roman"/>
          <w:b/>
          <w:bCs/>
          <w:sz w:val="20"/>
          <w:szCs w:val="20"/>
        </w:rPr>
        <w:t xml:space="preserve">Tabela 3.2 – Ambiente de desenvolvimento</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5020"/>
      </w:tblGrid>
      <w:tr>
        <w:trPr>
          <w:cantSplit/>
          <w:tblHeader/>
        </w:trPr>
        <w:tc>
          <w:tcPr>
            <w:tcW w:type="dxa" w:w="32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Componente</w:t>
            </w:r>
          </w:p>
        </w:tc>
        <w:tc>
          <w:tcPr>
            <w:tcW w:type="dxa" w:w="50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Especificação</w:t>
            </w:r>
          </w:p>
        </w:tc>
      </w:tr>
      <w:tr>
        <w:trPr>
          <w:cantSplit/>
          <w:tblHeader w:val="false"/>
        </w:trPr>
        <w:tc>
          <w:tcPr>
            <w:tcW w:type="dxa" w:w="3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Sistema operativo (desenvolvimento)</w:t>
            </w:r>
          </w:p>
        </w:tc>
        <w:tc>
          <w:tcPr>
            <w:tcW w:type="dxa" w:w="50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Windows 11, 64 bits</w:t>
            </w:r>
          </w:p>
        </w:tc>
      </w:tr>
      <w:tr>
        <w:trPr>
          <w:cantSplit/>
          <w:tblHeader w:val="false"/>
        </w:trPr>
        <w:tc>
          <w:tcPr>
            <w:tcW w:type="dxa" w:w="3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Linguagem</w:t>
            </w:r>
          </w:p>
        </w:tc>
        <w:tc>
          <w:tcPr>
            <w:tcW w:type="dxa" w:w="50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Python 3.11</w:t>
            </w:r>
          </w:p>
        </w:tc>
      </w:tr>
      <w:tr>
        <w:trPr>
          <w:cantSplit/>
          <w:tblHeader w:val="false"/>
        </w:trPr>
        <w:tc>
          <w:tcPr>
            <w:tcW w:type="dxa" w:w="3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Treino dos modelos profundos</w:t>
            </w:r>
          </w:p>
        </w:tc>
        <w:tc>
          <w:tcPr>
            <w:tcW w:type="dxa" w:w="50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Google Colab com GPU NVIDIA T4 (16 GB)</w:t>
            </w:r>
          </w:p>
        </w:tc>
      </w:tr>
      <w:tr>
        <w:trPr>
          <w:cantSplit/>
          <w:tblHeader w:val="false"/>
        </w:trPr>
        <w:tc>
          <w:tcPr>
            <w:tcW w:type="dxa" w:w="3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Aprendizagem automática</w:t>
            </w:r>
          </w:p>
        </w:tc>
        <w:tc>
          <w:tcPr>
            <w:tcW w:type="dxa" w:w="50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PyTorch, Hugging Face Transformers, scikit-learn</w:t>
            </w:r>
          </w:p>
        </w:tc>
      </w:tr>
      <w:tr>
        <w:trPr>
          <w:cantSplit/>
          <w:tblHeader w:val="false"/>
        </w:trPr>
        <w:tc>
          <w:tcPr>
            <w:tcW w:type="dxa" w:w="3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Recolha de dados</w:t>
            </w:r>
          </w:p>
        </w:tc>
        <w:tc>
          <w:tcPr>
            <w:tcW w:type="dxa" w:w="50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YouTube Data API v3; recolha manual de páginas públicas</w:t>
            </w:r>
          </w:p>
        </w:tc>
      </w:tr>
      <w:tr>
        <w:trPr>
          <w:cantSplit/>
          <w:tblHeader w:val="false"/>
        </w:trPr>
        <w:tc>
          <w:tcPr>
            <w:tcW w:type="dxa" w:w="3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Sistema</w:t>
            </w:r>
          </w:p>
        </w:tc>
        <w:tc>
          <w:tcPr>
            <w:tcW w:type="dxa" w:w="50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FastAPI, Jinja2, Uvicorn, SQLite (aplicação web sem dependências de compilação)</w:t>
            </w:r>
          </w:p>
        </w:tc>
      </w:tr>
      <w:tr>
        <w:trPr>
          <w:cantSplit/>
          <w:tblHeader w:val="false"/>
        </w:trPr>
        <w:tc>
          <w:tcPr>
            <w:tcW w:type="dxa" w:w="32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Controlo de versões</w:t>
            </w:r>
          </w:p>
        </w:tc>
        <w:tc>
          <w:tcPr>
            <w:tcW w:type="dxa" w:w="50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Git e GitHub (repositório dissertacao-uan-angola)</w:t>
            </w:r>
          </w:p>
        </w:tc>
      </w:tr>
    </w:tbl>
    <w:p>
      <w:pPr>
        <w:spacing w:after="240" w:before="60" w:line="240"/>
        <w:jc w:val="both"/>
      </w:pPr>
      <w:r>
        <w:rPr>
          <w:rFonts w:ascii="Times New Roman" w:cs="Times New Roman" w:eastAsia="Times New Roman" w:hAnsi="Times New Roman"/>
          <w:i/>
          <w:iCs/>
          <w:sz w:val="18"/>
          <w:szCs w:val="18"/>
        </w:rPr>
        <w:t xml:space="preserve">Nota.</w:t>
      </w:r>
      <w:r>
        <w:rPr>
          <w:rFonts w:ascii="Times New Roman" w:cs="Times New Roman" w:eastAsia="Times New Roman" w:hAnsi="Times New Roman"/>
          <w:sz w:val="18"/>
          <w:szCs w:val="18"/>
        </w:rPr>
        <w:t xml:space="preserve"> As versões exactas das bibliotecas do sistema constam do ficheiro requirements.txt do protótipo.</w:t>
      </w:r>
    </w:p>
    <w:p>
      <w:pPr>
        <w:pStyle w:val="Heading2"/>
        <w:keepNext/>
        <w:keepLines/>
        <w:spacing w:after="160" w:before="360" w:line="300"/>
      </w:pPr>
      <w:r>
        <w:rPr>
          <w:rFonts w:ascii="Times New Roman" w:cs="Times New Roman" w:eastAsia="Times New Roman" w:hAnsi="Times New Roman"/>
          <w:b/>
          <w:bCs/>
          <w:sz w:val="26"/>
          <w:szCs w:val="26"/>
        </w:rPr>
        <w:t xml:space="preserve">3.7 Protocolo de avaliação</w:t>
      </w:r>
    </w:p>
    <w:p>
      <w:pPr>
        <w:spacing w:after="120" w:before="0" w:line="360"/>
        <w:ind w:firstLine="567"/>
        <w:jc w:val="both"/>
      </w:pPr>
      <w:r>
        <w:rPr>
          <w:rFonts w:ascii="Times New Roman" w:cs="Times New Roman" w:eastAsia="Times New Roman" w:hAnsi="Times New Roman"/>
          <w:sz w:val="24"/>
          <w:szCs w:val="24"/>
        </w:rPr>
        <w:t xml:space="preserve">A avaliação foi definida antes de se conhecerem os resultados de teste, segundo as regras seguintes.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Métrica principal:</w:t>
      </w:r>
      <w:r>
        <w:rPr>
          <w:rFonts w:ascii="Times New Roman" w:cs="Times New Roman" w:eastAsia="Times New Roman" w:hAnsi="Times New Roman"/>
          <w:sz w:val="24"/>
          <w:szCs w:val="24"/>
        </w:rPr>
        <w:t xml:space="preserve"> F1-macro no conjunto de teste, com IC 95% por </w:t>
      </w:r>
      <w:r>
        <w:rPr>
          <w:rFonts w:ascii="Times New Roman" w:cs="Times New Roman" w:eastAsia="Times New Roman" w:hAnsi="Times New Roman"/>
          <w:i/>
          <w:iCs/>
          <w:sz w:val="24"/>
          <w:szCs w:val="24"/>
        </w:rPr>
        <w:t xml:space="preserve">bootstrap</w:t>
      </w:r>
      <w:r>
        <w:rPr>
          <w:rFonts w:ascii="Times New Roman" w:cs="Times New Roman" w:eastAsia="Times New Roman" w:hAnsi="Times New Roman"/>
          <w:sz w:val="24"/>
          <w:szCs w:val="24"/>
        </w:rPr>
        <w:t xml:space="preserve"> não paramétrico (2.000 reamostragens).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Métricas complementares:</w:t>
      </w:r>
      <w:r>
        <w:rPr>
          <w:rFonts w:ascii="Times New Roman" w:cs="Times New Roman" w:eastAsia="Times New Roman" w:hAnsi="Times New Roman"/>
          <w:sz w:val="24"/>
          <w:szCs w:val="24"/>
        </w:rPr>
        <w:t xml:space="preserve"> F1 ponderado, exactidão, Kappa de Cohen entre previsões e referência, AUC-ROC média das quatro curvas um-contra-todos, e precisão, sensibilidade e F1 por categoria.</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Comparação de modelos (H1):</w:t>
      </w:r>
      <w:r>
        <w:rPr>
          <w:rFonts w:ascii="Times New Roman" w:cs="Times New Roman" w:eastAsia="Times New Roman" w:hAnsi="Times New Roman"/>
          <w:sz w:val="24"/>
          <w:szCs w:val="24"/>
        </w:rPr>
        <w:t xml:space="preserve"> teste de McNemar com correcção de continuidade para cada um dos seis pares de modelos, com correcção de Bonferroni (α = 0,05/6 ≈ 0,0083), e IC 95% da diferença de F1-macro por </w:t>
      </w:r>
      <w:r>
        <w:rPr>
          <w:rFonts w:ascii="Times New Roman" w:cs="Times New Roman" w:eastAsia="Times New Roman" w:hAnsi="Times New Roman"/>
          <w:i/>
          <w:iCs/>
          <w:sz w:val="24"/>
          <w:szCs w:val="24"/>
        </w:rPr>
        <w:t xml:space="preserve">bootstrap</w:t>
      </w:r>
      <w:r>
        <w:rPr>
          <w:rFonts w:ascii="Times New Roman" w:cs="Times New Roman" w:eastAsia="Times New Roman" w:hAnsi="Times New Roman"/>
          <w:sz w:val="24"/>
          <w:szCs w:val="24"/>
        </w:rPr>
        <w:t xml:space="preserve"> emparelhado.</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Selecção de variantes:</w:t>
      </w:r>
      <w:r>
        <w:rPr>
          <w:rFonts w:ascii="Times New Roman" w:cs="Times New Roman" w:eastAsia="Times New Roman" w:hAnsi="Times New Roman"/>
          <w:sz w:val="24"/>
          <w:szCs w:val="24"/>
        </w:rPr>
        <w:t xml:space="preserve"> feita no conjunto de validação. Uma variante só substitui a referência se se distinguir dela; caso contrário, mantém-se a referência. Os resultados de teste são reportados para todas as variantes, sem selecção pelo teste.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Ajuste de limiares:</w:t>
      </w:r>
      <w:r>
        <w:rPr>
          <w:rFonts w:ascii="Times New Roman" w:cs="Times New Roman" w:eastAsia="Times New Roman" w:hAnsi="Times New Roman"/>
          <w:sz w:val="24"/>
          <w:szCs w:val="24"/>
        </w:rPr>
        <w:t xml:space="preserve"> vieses por classe escolhidos na validação, com o ganho esperado estimado por validação cruzada dentro da validação; o resultado principal é sempre reportado sem ajuste.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Lacuna de domínio (H4):</w:t>
      </w:r>
      <w:r>
        <w:rPr>
          <w:rFonts w:ascii="Times New Roman" w:cs="Times New Roman" w:eastAsia="Times New Roman" w:hAnsi="Times New Roman"/>
          <w:sz w:val="24"/>
          <w:szCs w:val="24"/>
        </w:rPr>
        <w:t xml:space="preserve"> o teste é dividido em subconjunto do piloto angolano e subconjunto dos corpora públicos; compara-se o F1-macro (com IC 95%) e o Kappa do modelo seleccionado em cada um, e repete-se a comparação nas três categorias comuns para controlar a ausência de Mobilização Hostil no corpus público.</w:t>
      </w:r>
    </w:p>
    <w:p>
      <w:pPr>
        <w:spacing w:after="120" w:before="0" w:line="360"/>
        <w:ind w:firstLine="567"/>
        <w:jc w:val="both"/>
      </w:pPr>
      <w:r>
        <w:rPr>
          <w:rFonts w:ascii="Times New Roman" w:cs="Times New Roman" w:eastAsia="Times New Roman" w:hAnsi="Times New Roman"/>
          <w:sz w:val="24"/>
          <w:szCs w:val="24"/>
        </w:rPr>
        <w:t xml:space="preserve">O protocolo das hipóteses H2 e H3, que dependem do sistema, é descrito na Secção 3.9.</w:t>
      </w:r>
    </w:p>
    <w:p>
      <w:pPr>
        <w:pStyle w:val="Heading2"/>
        <w:keepNext/>
        <w:keepLines/>
        <w:spacing w:after="160" w:before="360" w:line="300"/>
      </w:pPr>
      <w:r>
        <w:rPr>
          <w:rFonts w:ascii="Times New Roman" w:cs="Times New Roman" w:eastAsia="Times New Roman" w:hAnsi="Times New Roman"/>
          <w:b/>
          <w:bCs/>
          <w:sz w:val="26"/>
          <w:szCs w:val="26"/>
        </w:rPr>
        <w:t xml:space="preserve">3.8 Arquitectura do sistema</w:t>
      </w:r>
    </w:p>
    <w:p>
      <w:pPr>
        <w:pStyle w:val="Heading3"/>
        <w:keepNext/>
        <w:spacing w:after="120" w:before="240"/>
      </w:pPr>
      <w:r>
        <w:rPr>
          <w:rFonts w:ascii="Times New Roman" w:cs="Times New Roman" w:eastAsia="Times New Roman" w:hAnsi="Times New Roman"/>
          <w:b/>
          <w:bCs/>
          <w:sz w:val="24"/>
          <w:szCs w:val="24"/>
        </w:rPr>
        <w:t xml:space="preserve">3.8.1 Requisitos</w:t>
      </w:r>
    </w:p>
    <w:p>
      <w:pPr>
        <w:spacing w:after="120" w:before="0" w:line="360"/>
        <w:ind w:firstLine="567"/>
        <w:jc w:val="both"/>
      </w:pPr>
      <w:r>
        <w:rPr>
          <w:rFonts w:ascii="Times New Roman" w:cs="Times New Roman" w:eastAsia="Times New Roman" w:hAnsi="Times New Roman"/>
          <w:sz w:val="24"/>
          <w:szCs w:val="24"/>
        </w:rPr>
        <w:t xml:space="preserve">A arquitectura foi desenhada depois de conhecidos os resultados do Capítulo 4. Um classificador com F1-macro de cerca de 0,80 no teste global, de cerca de 0,53 em conteúdo angolano e com precisão de cerca de 0,51 na Mobilização Hostil não deve tomar decisões, mas pode ajudar a ordenar o trabalho de quem decide. É desta constatação que partem os requisitos da Tabela 3.3.</w:t>
      </w:r>
    </w:p>
    <w:p>
      <w:pPr>
        <w:pStyle w:val="LegendaTabela"/>
        <w:keepNext/>
        <w:spacing w:after="80" w:before="240" w:line="240"/>
        <w:jc w:val="center"/>
      </w:pPr>
      <w:r>
        <w:rPr>
          <w:rFonts w:ascii="Times New Roman" w:cs="Times New Roman" w:eastAsia="Times New Roman" w:hAnsi="Times New Roman"/>
          <w:b/>
          <w:bCs/>
          <w:sz w:val="20"/>
          <w:szCs w:val="20"/>
        </w:rPr>
        <w:t xml:space="preserve">Tabela 3.3 – Requisitos do sistema</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1100"/>
        <w:gridCol w:w="7120"/>
      </w:tblGrid>
      <w:tr>
        <w:trPr>
          <w:cantSplit/>
          <w:tblHeader/>
        </w:trPr>
        <w:tc>
          <w:tcPr>
            <w:tcW w:type="dxa" w:w="11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Código</w:t>
            </w:r>
          </w:p>
        </w:tc>
        <w:tc>
          <w:tcPr>
            <w:tcW w:type="dxa" w:w="71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Requisito</w:t>
            </w:r>
          </w:p>
        </w:tc>
      </w:tr>
      <w:tr>
        <w:trPr>
          <w:cantSplit/>
          <w:tblHeader w:val="false"/>
        </w:trPr>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RF1</w:t>
            </w:r>
          </w:p>
        </w:tc>
        <w:tc>
          <w:tcPr>
            <w:tcW w:type="dxa" w:w="7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Importar lotes de publicações públicas de várias vias, registando a proveniência</w:t>
            </w:r>
          </w:p>
        </w:tc>
      </w:tr>
      <w:tr>
        <w:trPr>
          <w:cantSplit/>
          <w:tblHeader w:val="false"/>
        </w:trPr>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RF2</w:t>
            </w:r>
          </w:p>
        </w:tc>
        <w:tc>
          <w:tcPr>
            <w:tcW w:type="dxa" w:w="7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Anonimizar autores e identificadores directos antes de gravar</w:t>
            </w:r>
          </w:p>
        </w:tc>
      </w:tr>
      <w:tr>
        <w:trPr>
          <w:cantSplit/>
          <w:tblHeader w:val="false"/>
        </w:trPr>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RF3</w:t>
            </w:r>
          </w:p>
        </w:tc>
        <w:tc>
          <w:tcPr>
            <w:tcW w:type="dxa" w:w="7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Classificar as publicações em lote com o modelo seleccionado</w:t>
            </w:r>
          </w:p>
        </w:tc>
      </w:tr>
      <w:tr>
        <w:trPr>
          <w:cantSplit/>
          <w:tblHeader w:val="false"/>
        </w:trPr>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RF4</w:t>
            </w:r>
          </w:p>
        </w:tc>
        <w:tc>
          <w:tcPr>
            <w:tcW w:type="dxa" w:w="7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Apresentar uma fila de revisão ordenada por prioridade</w:t>
            </w:r>
          </w:p>
        </w:tc>
      </w:tr>
      <w:tr>
        <w:trPr>
          <w:cantSplit/>
          <w:tblHeader w:val="false"/>
        </w:trPr>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RF5</w:t>
            </w:r>
          </w:p>
        </w:tc>
        <w:tc>
          <w:tcPr>
            <w:tcW w:type="dxa" w:w="7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Registar a decisão do analista e exportá-la para novo treino</w:t>
            </w:r>
          </w:p>
        </w:tc>
      </w:tr>
      <w:tr>
        <w:trPr>
          <w:cantSplit/>
          <w:tblHeader w:val="false"/>
        </w:trPr>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RF6</w:t>
            </w:r>
          </w:p>
        </w:tc>
        <w:tc>
          <w:tcPr>
            <w:tcW w:type="dxa" w:w="7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Calcular métricas operacionais: precisão nos primeiros K, κ analista–sistema e entre analistas, sensibilidade estimada, latência</w:t>
            </w:r>
          </w:p>
        </w:tc>
      </w:tr>
      <w:tr>
        <w:trPr>
          <w:cantSplit/>
          <w:tblHeader w:val="false"/>
        </w:trPr>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RF7</w:t>
            </w:r>
          </w:p>
        </w:tc>
        <w:tc>
          <w:tcPr>
            <w:tcW w:type="dxa" w:w="7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Controlar o acesso por contas individuais com dois papéis (analista e supervisor)</w:t>
            </w:r>
          </w:p>
        </w:tc>
      </w:tr>
      <w:tr>
        <w:trPr>
          <w:cantSplit/>
          <w:tblHeader w:val="false"/>
        </w:trPr>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RF8</w:t>
            </w:r>
          </w:p>
        </w:tc>
        <w:tc>
          <w:tcPr>
            <w:tcW w:type="dxa" w:w="7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Permitir a avaliação independente por vários analistas, com revisão cega e amostra de controlo</w:t>
            </w:r>
          </w:p>
        </w:tc>
      </w:tr>
      <w:tr>
        <w:trPr>
          <w:cantSplit/>
          <w:tblHeader w:val="false"/>
        </w:trPr>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RNF1</w:t>
            </w:r>
          </w:p>
        </w:tc>
        <w:tc>
          <w:tcPr>
            <w:tcW w:type="dxa" w:w="7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Funcionar num único servidor, com software livre e sem serviços externos obrigatórios</w:t>
            </w:r>
          </w:p>
        </w:tc>
      </w:tr>
      <w:tr>
        <w:trPr>
          <w:cantSplit/>
          <w:tblHeader w:val="false"/>
        </w:trPr>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RNF2</w:t>
            </w:r>
          </w:p>
        </w:tc>
        <w:tc>
          <w:tcPr>
            <w:tcW w:type="dxa" w:w="7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Conformidade com a Lei n.º 22/11: minimização, pseudonimização, conservação limitada, auditoria</w:t>
            </w:r>
          </w:p>
        </w:tc>
      </w:tr>
      <w:tr>
        <w:trPr>
          <w:cantSplit/>
          <w:tblHeader w:val="false"/>
        </w:trPr>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RNF3</w:t>
            </w:r>
          </w:p>
        </w:tc>
        <w:tc>
          <w:tcPr>
            <w:tcW w:type="dxa" w:w="7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Substituir o modelo sem alterar o resto do sistema</w:t>
            </w:r>
          </w:p>
        </w:tc>
      </w:tr>
      <w:tr>
        <w:trPr>
          <w:cantSplit/>
          <w:tblHeader w:val="false"/>
        </w:trPr>
        <w:tc>
          <w:tcPr>
            <w:tcW w:type="dxa" w:w="11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RNF4</w:t>
            </w:r>
          </w:p>
        </w:tc>
        <w:tc>
          <w:tcPr>
            <w:tcW w:type="dxa" w:w="71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Código modular, testado e documentado, para replicação e manutenção</w:t>
            </w:r>
          </w:p>
        </w:tc>
      </w:tr>
    </w:tbl>
    <w:p>
      <w:pPr>
        <w:spacing w:after="240" w:before="60" w:line="240"/>
        <w:jc w:val="both"/>
      </w:pPr>
      <w:r>
        <w:rPr>
          <w:rFonts w:ascii="Times New Roman" w:cs="Times New Roman" w:eastAsia="Times New Roman" w:hAnsi="Times New Roman"/>
          <w:i/>
          <w:iCs/>
          <w:sz w:val="18"/>
          <w:szCs w:val="18"/>
        </w:rPr>
        <w:t xml:space="preserve">Nota.</w:t>
      </w:r>
      <w:r>
        <w:rPr>
          <w:rFonts w:ascii="Times New Roman" w:cs="Times New Roman" w:eastAsia="Times New Roman" w:hAnsi="Times New Roman"/>
          <w:sz w:val="18"/>
          <w:szCs w:val="18"/>
        </w:rPr>
        <w:t xml:space="preserve"> RF: requisito funcional; RNF: requisito não funcional.</w:t>
      </w:r>
    </w:p>
    <w:p>
      <w:pPr>
        <w:pStyle w:val="Heading3"/>
        <w:keepNext/>
        <w:spacing w:after="120" w:before="240"/>
      </w:pPr>
      <w:r>
        <w:rPr>
          <w:rFonts w:ascii="Times New Roman" w:cs="Times New Roman" w:eastAsia="Times New Roman" w:hAnsi="Times New Roman"/>
          <w:b/>
          <w:bCs/>
          <w:sz w:val="24"/>
          <w:szCs w:val="24"/>
        </w:rPr>
        <w:t xml:space="preserve">3.8.2 Alternativas e decisão</w:t>
      </w:r>
    </w:p>
    <w:p>
      <w:pPr>
        <w:spacing w:after="120" w:before="0" w:line="360"/>
        <w:ind w:firstLine="567"/>
        <w:jc w:val="both"/>
      </w:pPr>
      <w:r>
        <w:rPr>
          <w:rFonts w:ascii="Times New Roman" w:cs="Times New Roman" w:eastAsia="Times New Roman" w:hAnsi="Times New Roman"/>
          <w:sz w:val="24"/>
          <w:szCs w:val="24"/>
        </w:rPr>
        <w:t xml:space="preserve">Consideraram-se duas arquitecturas. A primeira, de processamento distribuído em fluxo contínuo, combinaria recolha massiva por automatização de navegadores, uma fila de mensagens (Kafka), processamento distribuído (Spark), uma base de dados documental na nuvem e um painel comercial de inteligência empresarial. A segunda, adoptada, é uma arquitectura em camadas, leve, que corre num único servidor e cresce por substituição de componentes. A Tabela 3.4 compara as duas.</w:t>
      </w:r>
    </w:p>
    <w:p>
      <w:pPr>
        <w:pStyle w:val="LegendaTabela"/>
        <w:keepNext/>
        <w:spacing w:after="80" w:before="240" w:line="240"/>
        <w:jc w:val="center"/>
      </w:pPr>
      <w:r>
        <w:rPr>
          <w:rFonts w:ascii="Times New Roman" w:cs="Times New Roman" w:eastAsia="Times New Roman" w:hAnsi="Times New Roman"/>
          <w:b/>
          <w:bCs/>
          <w:sz w:val="20"/>
          <w:szCs w:val="20"/>
        </w:rPr>
        <w:t xml:space="preserve">Tabela 3.4 – Comparação das arquitecturas consideradas</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3100"/>
        <w:gridCol w:w="3320"/>
      </w:tblGrid>
      <w:tr>
        <w:trPr>
          <w:cantSplit/>
          <w:tblHeader/>
        </w:trPr>
        <w:tc>
          <w:tcPr>
            <w:tcW w:type="dxa" w:w="18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Critério</w:t>
            </w:r>
          </w:p>
        </w:tc>
        <w:tc>
          <w:tcPr>
            <w:tcW w:type="dxa" w:w="31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Distribuída em fluxo contínuo</w:t>
            </w:r>
          </w:p>
        </w:tc>
        <w:tc>
          <w:tcPr>
            <w:tcW w:type="dxa" w:w="33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Em camadas, leve (adoptada)</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Volume suportado</w:t>
            </w:r>
          </w:p>
        </w:tc>
        <w:tc>
          <w:tcPr>
            <w:tcW w:type="dxa" w:w="3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Muito elevado</w:t>
            </w:r>
          </w:p>
        </w:tc>
        <w:tc>
          <w:tcPr>
            <w:tcW w:type="dxa" w:w="33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Adequado ao volume de recolha pela via oficial; escalável por substituição de componentes</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Infra-estrutura</w:t>
            </w:r>
          </w:p>
        </w:tc>
        <w:tc>
          <w:tcPr>
            <w:tcW w:type="dxa" w:w="3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Vários serviços em cluster; operação especializada</w:t>
            </w:r>
          </w:p>
        </w:tc>
        <w:tc>
          <w:tcPr>
            <w:tcW w:type="dxa" w:w="33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Um servidor; Python, SQLite (ou PostgreSQL)</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Custo e dependências</w:t>
            </w:r>
          </w:p>
        </w:tc>
        <w:tc>
          <w:tcPr>
            <w:tcW w:type="dxa" w:w="3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Licenças e/ou serviços em nuvem</w:t>
            </w:r>
          </w:p>
        </w:tc>
        <w:tc>
          <w:tcPr>
            <w:tcW w:type="dxa" w:w="33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Apenas software livre</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Soberania dos dados</w:t>
            </w:r>
          </w:p>
        </w:tc>
        <w:tc>
          <w:tcPr>
            <w:tcW w:type="dxa" w:w="3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Depende do fornecedor de nuvem</w:t>
            </w:r>
          </w:p>
        </w:tc>
        <w:tc>
          <w:tcPr>
            <w:tcW w:type="dxa" w:w="33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Dados em infra-estrutura própria</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Vias de recolha</w:t>
            </w:r>
          </w:p>
        </w:tc>
        <w:tc>
          <w:tcPr>
            <w:tcW w:type="dxa" w:w="3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Tendência para automatizar páginas que exigem contornar protecções</w:t>
            </w:r>
          </w:p>
        </w:tc>
        <w:tc>
          <w:tcPr>
            <w:tcW w:type="dxa" w:w="33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Interfaces oficiais, recolha manual e exportações</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Adequação ao modelo</w:t>
            </w:r>
          </w:p>
        </w:tc>
        <w:tc>
          <w:tcPr>
            <w:tcW w:type="dxa" w:w="3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Pressupõe decisões em tempo real</w:t>
            </w:r>
          </w:p>
        </w:tc>
        <w:tc>
          <w:tcPr>
            <w:tcW w:type="dxa" w:w="33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Pensada para triagem com revisão humana</w:t>
            </w:r>
          </w:p>
        </w:tc>
      </w:tr>
      <w:tr>
        <w:trPr>
          <w:cantSplit/>
          <w:tblHeader w:val="false"/>
        </w:trPr>
        <w:tc>
          <w:tcPr>
            <w:tcW w:type="dxa" w:w="18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Reprodutibilidade</w:t>
            </w:r>
          </w:p>
        </w:tc>
        <w:tc>
          <w:tcPr>
            <w:tcW w:type="dxa" w:w="31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Difícil fora do ambiente original</w:t>
            </w:r>
          </w:p>
        </w:tc>
        <w:tc>
          <w:tcPr>
            <w:tcW w:type="dxa" w:w="33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Instalação com um ficheiro de dependências; testes automáticos</w:t>
            </w:r>
          </w:p>
        </w:tc>
      </w:tr>
    </w:tbl>
    <w:p>
      <w:pPr>
        <w:spacing w:after="240" w:before="60" w:line="240"/>
        <w:jc w:val="both"/>
      </w:pPr>
    </w:p>
    <w:p>
      <w:pPr>
        <w:spacing w:after="120" w:before="0" w:line="360"/>
        <w:ind w:firstLine="567"/>
        <w:jc w:val="both"/>
      </w:pPr>
      <w:r>
        <w:rPr>
          <w:rFonts w:ascii="Times New Roman" w:cs="Times New Roman" w:eastAsia="Times New Roman" w:hAnsi="Times New Roman"/>
          <w:sz w:val="24"/>
          <w:szCs w:val="24"/>
        </w:rPr>
        <w:t xml:space="preserve">A arquitectura distribuída faria sentido se o problema fosse o volume de dados. Aqui, o que limita o sistema é a capacidade humana de rever o que o modelo sinaliza e a fiabilidade do modelo em conteúdo angolano. Uma arquitectura que processasse milhões de publicações por hora produziria alertas que ninguém conseguiria rever, com uma precisão que não justificaria a confiança. Com a arquitectura leve, o esforço vai para a qualidade da fila de revisão, para a protecção dos dados e para a facilidade de trocar o modelo quando houver uma versão melhor. Se o volume crescer, a base de dados pode passar para PostgreSQL e o serviço de inferência pode ser replicado, sem alterar o desenho.</w:t>
      </w:r>
    </w:p>
    <w:p>
      <w:pPr>
        <w:pStyle w:val="Heading3"/>
        <w:keepNext/>
        <w:spacing w:after="120" w:before="240"/>
      </w:pPr>
      <w:r>
        <w:rPr>
          <w:rFonts w:ascii="Times New Roman" w:cs="Times New Roman" w:eastAsia="Times New Roman" w:hAnsi="Times New Roman"/>
          <w:b/>
          <w:bCs/>
          <w:sz w:val="24"/>
          <w:szCs w:val="24"/>
        </w:rPr>
        <w:t xml:space="preserve">3.8.3 Camadas e componentes</w:t>
      </w:r>
    </w:p>
    <w:p>
      <w:pPr>
        <w:spacing w:after="120" w:before="0" w:line="360"/>
        <w:ind w:firstLine="567"/>
        <w:jc w:val="both"/>
      </w:pPr>
      <w:r>
        <w:rPr>
          <w:rFonts w:ascii="Times New Roman" w:cs="Times New Roman" w:eastAsia="Times New Roman" w:hAnsi="Times New Roman"/>
          <w:sz w:val="24"/>
          <w:szCs w:val="24"/>
        </w:rPr>
        <w:t xml:space="preserve">A Figura 3.3 apresenta a arquitectura adoptada, organizada em cinco camadas.</w:t>
      </w:r>
    </w:p>
    <w:p>
      <w:pPr>
        <w:keepNext/>
        <w:spacing w:after="40" w:before="160"/>
        <w:jc w:val="center"/>
      </w:pPr>
      <w:r>
        <w:drawing>
          <wp:inline distT="0" distB="0" distL="0" distR="0">
            <wp:extent cx="5581650" cy="3590925"/>
            <wp:effectExtent t="0" r="0" b="0" l="0"/>
            <wp:docPr id="1" name="fig3_3_arquitectura.png" descr="fig3_3_arquitectura.png" title="fig3_3_arquitectu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581650" cy="3590925"/>
                    </a:xfrm>
                    <a:prstGeom prst="rect">
                      <a:avLst/>
                    </a:prstGeom>
                  </pic:spPr>
                </pic:pic>
              </a:graphicData>
            </a:graphic>
          </wp:inline>
        </w:drawing>
      </w:r>
    </w:p>
    <w:p>
      <w:pPr>
        <w:pStyle w:val="LegendaFigura"/>
        <w:spacing w:after="120" w:before="60" w:line="240"/>
        <w:jc w:val="center"/>
      </w:pPr>
      <w:r>
        <w:rPr>
          <w:rFonts w:ascii="Times New Roman" w:cs="Times New Roman" w:eastAsia="Times New Roman" w:hAnsi="Times New Roman"/>
          <w:b/>
          <w:bCs/>
          <w:sz w:val="20"/>
          <w:szCs w:val="20"/>
        </w:rPr>
        <w:t xml:space="preserve">Figura 3.3 – Arquitectura em camadas do sistema de triagem</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Fontes públicas.</w:t>
      </w:r>
      <w:r>
        <w:rPr>
          <w:rFonts w:ascii="Times New Roman" w:cs="Times New Roman" w:eastAsia="Times New Roman" w:hAnsi="Times New Roman"/>
          <w:sz w:val="24"/>
          <w:szCs w:val="24"/>
        </w:rPr>
        <w:t xml:space="preserve"> Comentários obtidos pela interface oficial do YouTube, recolha manual de páginas públicas e conjuntos de dados doados ou de terceiros. Cada via é declarada no momento da importação.</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Ingestão.</w:t>
      </w:r>
      <w:r>
        <w:rPr>
          <w:rFonts w:ascii="Times New Roman" w:cs="Times New Roman" w:eastAsia="Times New Roman" w:hAnsi="Times New Roman"/>
          <w:sz w:val="24"/>
          <w:szCs w:val="24"/>
        </w:rPr>
        <w:t xml:space="preserve"> O módulo de importação lê ficheiros CSV ou JSON, reconhece os nomes de colunas habituais dos </w:t>
      </w:r>
      <w:r>
        <w:rPr>
          <w:rFonts w:ascii="Times New Roman" w:cs="Times New Roman" w:eastAsia="Times New Roman" w:hAnsi="Times New Roman"/>
          <w:i/>
          <w:iCs/>
          <w:sz w:val="24"/>
          <w:szCs w:val="24"/>
        </w:rPr>
        <w:t xml:space="preserve">scripts</w:t>
      </w:r>
      <w:r>
        <w:rPr>
          <w:rFonts w:ascii="Times New Roman" w:cs="Times New Roman" w:eastAsia="Times New Roman" w:hAnsi="Times New Roman"/>
          <w:sz w:val="24"/>
          <w:szCs w:val="24"/>
        </w:rPr>
        <w:t xml:space="preserve"> de recolha, mascara identificadores no texto e substitui o autor por um pseudónimo HMAC-SHA-256 com um segredo guardado fora do código. Sem esse segredo, o </w:t>
      </w:r>
      <w:r>
        <w:rPr>
          <w:rFonts w:ascii="Times New Roman" w:cs="Times New Roman" w:eastAsia="Times New Roman" w:hAnsi="Times New Roman"/>
          <w:i/>
          <w:iCs/>
          <w:sz w:val="24"/>
          <w:szCs w:val="24"/>
        </w:rPr>
        <w:t xml:space="preserve">hash</w:t>
      </w:r>
      <w:r>
        <w:rPr>
          <w:rFonts w:ascii="Times New Roman" w:cs="Times New Roman" w:eastAsia="Times New Roman" w:hAnsi="Times New Roman"/>
          <w:sz w:val="24"/>
          <w:szCs w:val="24"/>
        </w:rPr>
        <w:t xml:space="preserve"> de um nome de utilizador podia ser revertido por dicionário. O ficheiro original não é guardado.</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Dados.</w:t>
      </w:r>
      <w:r>
        <w:rPr>
          <w:rFonts w:ascii="Times New Roman" w:cs="Times New Roman" w:eastAsia="Times New Roman" w:hAnsi="Times New Roman"/>
          <w:sz w:val="24"/>
          <w:szCs w:val="24"/>
        </w:rPr>
        <w:t xml:space="preserve"> Uma base de dados relacional guarda os lotes, as publicações, as classificações, as revisões (uma por analista e publicação), a amostra de controlo, os utilizadores e as sessões, as definições e o registo de auditoria (Figura 3.4).</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Inferência.</w:t>
      </w:r>
      <w:r>
        <w:rPr>
          <w:rFonts w:ascii="Times New Roman" w:cs="Times New Roman" w:eastAsia="Times New Roman" w:hAnsi="Times New Roman"/>
          <w:sz w:val="24"/>
          <w:szCs w:val="24"/>
        </w:rPr>
        <w:t xml:space="preserve"> O serviço carrega o BERTimbau afinado uma única vez e classifica as publicações pendentes em segundo plano, gravando os resultados por sublotes de 32, para que as primeiras publicações cheguem à fila sem esperar pelo lote inteiro. A prioridade de cada publicação é a probabilidade de não ser Normal, 1 − P(Normal). Esta escolha faz subir na fila uma publicação com 45% de probabilidade de Mobilização Hostil, mesmo que a categoria mais provável seja Normal.</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Apresentação.</w:t>
      </w:r>
      <w:r>
        <w:rPr>
          <w:rFonts w:ascii="Times New Roman" w:cs="Times New Roman" w:eastAsia="Times New Roman" w:hAnsi="Times New Roman"/>
          <w:sz w:val="24"/>
          <w:szCs w:val="24"/>
        </w:rPr>
        <w:t xml:space="preserve"> Uma aplicação web, acedida pelo navegador, mostra a fila de revisão, a amostra de controlo, o panorama agregado, os lotes e, para o supervisor, as métricas, as contas e a auditoria. As métricas podem ser exportadas para relatórios, incluindo ferramentas como o Power BI, sem que estas tenham acesso aos textos.</w:t>
      </w:r>
    </w:p>
    <w:p>
      <w:pPr>
        <w:spacing w:after="120" w:before="0" w:line="360"/>
        <w:ind w:firstLine="567"/>
        <w:jc w:val="both"/>
      </w:pPr>
      <w:r>
        <w:rPr>
          <w:rFonts w:ascii="Times New Roman" w:cs="Times New Roman" w:eastAsia="Times New Roman" w:hAnsi="Times New Roman"/>
          <w:sz w:val="24"/>
          <w:szCs w:val="24"/>
        </w:rPr>
        <w:t xml:space="preserve">As revisões do analista são exportadas com a origem </w:t>
      </w:r>
      <w:r>
        <w:rPr>
          <w:rFonts w:ascii="Courier New" w:cs="Courier New" w:eastAsia="Courier New" w:hAnsi="Courier New"/>
          <w:sz w:val="21"/>
          <w:szCs w:val="21"/>
        </w:rPr>
        <w:t xml:space="preserve">revisao_sistema</w:t>
      </w:r>
      <w:r>
        <w:rPr>
          <w:rFonts w:ascii="Times New Roman" w:cs="Times New Roman" w:eastAsia="Times New Roman" w:hAnsi="Times New Roman"/>
          <w:sz w:val="24"/>
          <w:szCs w:val="24"/>
        </w:rPr>
        <w:t xml:space="preserve"> e podem ser usadas num novo ciclo de treino. Como são etiquetas de um só analista sobre itens escolhidos pelo modelo, entram apenas no treino e nunca no teste.</w:t>
      </w:r>
    </w:p>
    <w:p>
      <w:pPr>
        <w:keepNext/>
        <w:spacing w:after="40" w:before="160"/>
        <w:jc w:val="center"/>
      </w:pPr>
      <w:r>
        <w:drawing>
          <wp:inline distT="0" distB="0" distL="0" distR="0">
            <wp:extent cx="5400675" cy="3514725"/>
            <wp:effectExtent t="0" r="0" b="0" l="0"/>
            <wp:docPr id="1" name="fig3_4_dados.png" descr="fig3_4_dados.png" title="fig3_4_dad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400675" cy="3514725"/>
                    </a:xfrm>
                    <a:prstGeom prst="rect">
                      <a:avLst/>
                    </a:prstGeom>
                  </pic:spPr>
                </pic:pic>
              </a:graphicData>
            </a:graphic>
          </wp:inline>
        </w:drawing>
      </w:r>
    </w:p>
    <w:p>
      <w:pPr>
        <w:pStyle w:val="LegendaFigura"/>
        <w:spacing w:after="120" w:before="60" w:line="240"/>
        <w:jc w:val="center"/>
      </w:pPr>
      <w:r>
        <w:rPr>
          <w:rFonts w:ascii="Times New Roman" w:cs="Times New Roman" w:eastAsia="Times New Roman" w:hAnsi="Times New Roman"/>
          <w:b/>
          <w:bCs/>
          <w:sz w:val="20"/>
          <w:szCs w:val="20"/>
        </w:rPr>
        <w:t xml:space="preserve">Figura 3.4 – Modelo de dados do sistema</w:t>
      </w:r>
    </w:p>
    <w:p>
      <w:pPr>
        <w:pStyle w:val="Heading3"/>
        <w:keepNext/>
        <w:spacing w:after="120" w:before="240"/>
      </w:pPr>
      <w:r>
        <w:rPr>
          <w:rFonts w:ascii="Times New Roman" w:cs="Times New Roman" w:eastAsia="Times New Roman" w:hAnsi="Times New Roman"/>
          <w:b/>
          <w:bCs/>
          <w:sz w:val="24"/>
          <w:szCs w:val="24"/>
        </w:rPr>
        <w:t xml:space="preserve">3.8.4 Casos de uso e fluxo de processamento</w:t>
      </w:r>
    </w:p>
    <w:p>
      <w:pPr>
        <w:spacing w:after="120" w:before="0" w:line="360"/>
        <w:ind w:firstLine="567"/>
        <w:jc w:val="both"/>
      </w:pPr>
      <w:r>
        <w:rPr>
          <w:rFonts w:ascii="Times New Roman" w:cs="Times New Roman" w:eastAsia="Times New Roman" w:hAnsi="Times New Roman"/>
          <w:sz w:val="24"/>
          <w:szCs w:val="24"/>
        </w:rPr>
        <w:t xml:space="preserve">O sistema tem quatro actores (Figura 3.5). O analista revê a sua fila e a amostra de controlo e consulta o panorama. O supervisor, que também pode rever, importa lotes, sorteia a amostra de controlo, gere as contas, consulta métricas e auditoria, activa a revisão cega e aplica o prazo de conservação. O serviço de inferência classifica em segundo plano cada lote importado. O investigador exporta as revisões e treina novas versões do modelo.</w:t>
      </w:r>
    </w:p>
    <w:p>
      <w:pPr>
        <w:keepNext/>
        <w:spacing w:after="40" w:before="160"/>
        <w:jc w:val="center"/>
      </w:pPr>
      <w:r>
        <w:drawing>
          <wp:inline distT="0" distB="0" distL="0" distR="0">
            <wp:extent cx="5038725" cy="3438525"/>
            <wp:effectExtent t="0" r="0" b="0" l="0"/>
            <wp:docPr id="1" name="fig3_5_casos_uso.png" descr="fig3_5_casos_uso.png" title="fig3_5_casos_us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038725" cy="3438525"/>
                    </a:xfrm>
                    <a:prstGeom prst="rect">
                      <a:avLst/>
                    </a:prstGeom>
                  </pic:spPr>
                </pic:pic>
              </a:graphicData>
            </a:graphic>
          </wp:inline>
        </w:drawing>
      </w:r>
    </w:p>
    <w:p>
      <w:pPr>
        <w:pStyle w:val="LegendaFigura"/>
        <w:spacing w:after="120" w:before="60" w:line="240"/>
        <w:jc w:val="center"/>
      </w:pPr>
      <w:r>
        <w:rPr>
          <w:rFonts w:ascii="Times New Roman" w:cs="Times New Roman" w:eastAsia="Times New Roman" w:hAnsi="Times New Roman"/>
          <w:b/>
          <w:bCs/>
          <w:sz w:val="20"/>
          <w:szCs w:val="20"/>
        </w:rPr>
        <w:t xml:space="preserve">Figura 3.5 – Diagrama de casos de uso (UML)</w:t>
      </w:r>
    </w:p>
    <w:p>
      <w:pPr>
        <w:spacing w:after="120" w:before="0" w:line="360"/>
        <w:ind w:firstLine="567"/>
        <w:jc w:val="both"/>
      </w:pPr>
      <w:r>
        <w:rPr>
          <w:rFonts w:ascii="Times New Roman" w:cs="Times New Roman" w:eastAsia="Times New Roman" w:hAnsi="Times New Roman"/>
          <w:sz w:val="24"/>
          <w:szCs w:val="24"/>
        </w:rPr>
        <w:t xml:space="preserve">A Figura 3.6 mostra a sequência de operações desde a importação de um lote até à gravação da decisão do analista.</w:t>
      </w:r>
    </w:p>
    <w:p>
      <w:pPr>
        <w:keepNext/>
        <w:spacing w:after="40" w:before="160"/>
        <w:jc w:val="center"/>
      </w:pPr>
      <w:r>
        <w:drawing>
          <wp:inline distT="0" distB="0" distL="0" distR="0">
            <wp:extent cx="5581650" cy="3457575"/>
            <wp:effectExtent t="0" r="0" b="0" l="0"/>
            <wp:docPr id="1" name="fig3_6_sequencia.png" descr="fig3_6_sequencia.png" title="fig3_6_sequenc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581650" cy="3457575"/>
                    </a:xfrm>
                    <a:prstGeom prst="rect">
                      <a:avLst/>
                    </a:prstGeom>
                  </pic:spPr>
                </pic:pic>
              </a:graphicData>
            </a:graphic>
          </wp:inline>
        </w:drawing>
      </w:r>
    </w:p>
    <w:p>
      <w:pPr>
        <w:pStyle w:val="LegendaFigura"/>
        <w:spacing w:after="120" w:before="60" w:line="240"/>
        <w:jc w:val="center"/>
      </w:pPr>
      <w:r>
        <w:rPr>
          <w:rFonts w:ascii="Times New Roman" w:cs="Times New Roman" w:eastAsia="Times New Roman" w:hAnsi="Times New Roman"/>
          <w:b/>
          <w:bCs/>
          <w:sz w:val="20"/>
          <w:szCs w:val="20"/>
        </w:rPr>
        <w:t xml:space="preserve">Figura 3.6 – Diagrama de sequência (UML): da importação à revisão</w:t>
      </w:r>
    </w:p>
    <w:p>
      <w:pPr>
        <w:pStyle w:val="Heading3"/>
        <w:keepNext/>
        <w:spacing w:after="120" w:before="240"/>
      </w:pPr>
      <w:r>
        <w:rPr>
          <w:rFonts w:ascii="Times New Roman" w:cs="Times New Roman" w:eastAsia="Times New Roman" w:hAnsi="Times New Roman"/>
          <w:b/>
          <w:bCs/>
          <w:sz w:val="24"/>
          <w:szCs w:val="24"/>
        </w:rPr>
        <w:t xml:space="preserve">3.8.5 Interface do analista</w:t>
      </w:r>
    </w:p>
    <w:p>
      <w:pPr>
        <w:spacing w:after="120" w:before="0" w:line="360"/>
        <w:ind w:firstLine="567"/>
        <w:jc w:val="both"/>
      </w:pPr>
      <w:r>
        <w:rPr>
          <w:rFonts w:ascii="Times New Roman" w:cs="Times New Roman" w:eastAsia="Times New Roman" w:hAnsi="Times New Roman"/>
          <w:sz w:val="24"/>
          <w:szCs w:val="24"/>
        </w:rPr>
        <w:t xml:space="preserve">A interface é uma aplicação web servida pelo próprio sistema (FastAPI com modelos Jinja2), acedida pelo navegador, sem instalação nos postos dos analistas nem dependências de compilação. Cada pessoa entra com uma conta individual. As palavras-passe são guardadas com PBKDF2-SHA-256, a conta é bloqueada temporariamente após cinco tentativas falhadas, as sessões são mantidas no servidor e todos os formulários estão protegidos contra pedidos forjados (CSRF). Há dois papéis: o analista revê; o supervisor importa lotes, gere contas, consulta métricas e auditoria e define as opções de avaliação.</w:t>
      </w:r>
    </w:p>
    <w:p>
      <w:pPr>
        <w:spacing w:after="120" w:before="0" w:line="360"/>
        <w:ind w:firstLine="567"/>
        <w:jc w:val="both"/>
      </w:pPr>
      <w:r>
        <w:rPr>
          <w:rFonts w:ascii="Times New Roman" w:cs="Times New Roman" w:eastAsia="Times New Roman" w:hAnsi="Times New Roman"/>
          <w:sz w:val="24"/>
          <w:szCs w:val="24"/>
        </w:rPr>
        <w:t xml:space="preserve">Na fila, cada publicação aparece com a categoria prevista, as probabilidades das quatro categorias e quatro botões de decisão, que também respondem às teclas 1 a 4. A decisão fica gravada com a posição que o item ocupava na fila. Cada analista tem a sua própria fila: um item revisto por um analista continua na fila dos outros, o que permite medir o acordo entre analistas de forma independente. Duas funções servem directamente a avaliação da Secção 3.9. A revisão cega, activada pelo supervisor, esconde a sugestão do modelo, para que a concordância entre analista e sistema não seja inflacionada pela própria sugestão. A amostra de controlo sorteia, com semente registada, publicações classificadas como Normal, que os analistas revêem sem sugestão; a fracção que considerem ameaça estima o que a fila deixa passar. O ecrã de entrada lembra que as classificações servem apenas para ordenar a revisão, e a fila lembra que a convocatória pacífica é exercício de direitos. A Figura 3.7 mostra a fila.</w:t>
      </w:r>
    </w:p>
    <w:p>
      <w:pPr>
        <w:keepNext/>
        <w:spacing w:after="40" w:before="160"/>
        <w:jc w:val="center"/>
      </w:pPr>
      <w:r>
        <w:drawing>
          <wp:inline distT="0" distB="0" distL="0" distR="0">
            <wp:extent cx="5581650" cy="3486150"/>
            <wp:effectExtent t="0" r="0" b="0" l="0"/>
            <wp:docPr id="1" name="fig3_7_painel.png" descr="fig3_7_painel.png" title="fig3_7_pain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581650" cy="3486150"/>
                    </a:xfrm>
                    <a:prstGeom prst="rect">
                      <a:avLst/>
                    </a:prstGeom>
                  </pic:spPr>
                </pic:pic>
              </a:graphicData>
            </a:graphic>
          </wp:inline>
        </w:drawing>
      </w:r>
    </w:p>
    <w:p>
      <w:pPr>
        <w:pStyle w:val="LegendaFigura"/>
        <w:spacing w:after="120" w:before="60" w:line="240"/>
        <w:jc w:val="center"/>
      </w:pPr>
      <w:r>
        <w:rPr>
          <w:rFonts w:ascii="Times New Roman" w:cs="Times New Roman" w:eastAsia="Times New Roman" w:hAnsi="Times New Roman"/>
          <w:b/>
          <w:bCs/>
          <w:sz w:val="20"/>
          <w:szCs w:val="20"/>
        </w:rPr>
        <w:t xml:space="preserve">Figura 3.7 – Fila de revisão na aplicação web</w:t>
      </w:r>
    </w:p>
    <w:p>
      <w:pPr>
        <w:spacing w:after="240" w:before="0" w:line="240"/>
        <w:jc w:val="center"/>
      </w:pPr>
      <w:r>
        <w:rPr>
          <w:rFonts w:ascii="Times New Roman" w:cs="Times New Roman" w:eastAsia="Times New Roman" w:hAnsi="Times New Roman"/>
          <w:i/>
          <w:iCs/>
          <w:sz w:val="18"/>
          <w:szCs w:val="18"/>
        </w:rPr>
        <w:t xml:space="preserve">Nota: textos fictícios e classificador de demonstração por palavras-chave, assinalado no topo da página, usados apenas para ilustrar a interface.</w:t>
      </w:r>
    </w:p>
    <w:p>
      <w:pPr>
        <w:spacing w:after="120" w:before="0" w:line="360"/>
        <w:ind w:firstLine="567"/>
        <w:jc w:val="both"/>
      </w:pPr>
      <w:r>
        <w:rPr>
          <w:rFonts w:ascii="Times New Roman" w:cs="Times New Roman" w:eastAsia="Times New Roman" w:hAnsi="Times New Roman"/>
          <w:sz w:val="24"/>
          <w:szCs w:val="24"/>
        </w:rPr>
        <w:t xml:space="preserve">As principais funções estão também disponíveis numa interface de programação JSON, protegida por chave, para integração com outros componentes, e numa linha de comandos, para tarefas agendadas como a importação, a limpeza e as cópias de segurança. O manual de instalação e utilização consta do Apêndice F.</w:t>
      </w:r>
    </w:p>
    <w:p>
      <w:pPr>
        <w:pStyle w:val="Heading2"/>
        <w:keepNext/>
        <w:keepLines/>
        <w:spacing w:after="160" w:before="360" w:line="300"/>
      </w:pPr>
      <w:r>
        <w:rPr>
          <w:rFonts w:ascii="Times New Roman" w:cs="Times New Roman" w:eastAsia="Times New Roman" w:hAnsi="Times New Roman"/>
          <w:b/>
          <w:bCs/>
          <w:sz w:val="26"/>
          <w:szCs w:val="26"/>
        </w:rPr>
        <w:t xml:space="preserve">3.9 Plano de testes e avaliação operacional</w:t>
      </w:r>
    </w:p>
    <w:p>
      <w:pPr>
        <w:spacing w:after="120" w:before="0" w:line="360"/>
        <w:ind w:firstLine="567"/>
        <w:jc w:val="both"/>
      </w:pPr>
      <w:r>
        <w:rPr>
          <w:rFonts w:ascii="Times New Roman" w:cs="Times New Roman" w:eastAsia="Times New Roman" w:hAnsi="Times New Roman"/>
          <w:sz w:val="24"/>
          <w:szCs w:val="24"/>
        </w:rPr>
        <w:t xml:space="preserve">O sistema tem 31 testes automáticos. Cobrem a anonimização (máscaras e pseudónimos), a importação (deduplicação e rejeição de vias não previstas), o fluxo completo de importação, classificação, revisão, métricas e exportação, a gravação por sublotes, o prazo de conservação e as cópias de segurança, o carregamento de um modelo BERT guardado em disco e a interface de programação. Do lado da aplicação web, testam o controlo de acesso por papel, o bloqueio após tentativas falhadas, a protecção CSRF, o escape de texto malicioso, a revisão independente por dois analistas, a revisão cega, a amostra de controlo reprodutível e a migração automática do esquema da base de dados. Os testes são executados com o comando </w:t>
      </w:r>
      <w:r>
        <w:rPr>
          <w:rFonts w:ascii="Courier New" w:cs="Courier New" w:eastAsia="Courier New" w:hAnsi="Courier New"/>
          <w:sz w:val="21"/>
          <w:szCs w:val="21"/>
        </w:rPr>
        <w:t xml:space="preserve">python -m pytest -q</w:t>
      </w:r>
      <w:r>
        <w:rPr>
          <w:rFonts w:ascii="Times New Roman" w:cs="Times New Roman" w:eastAsia="Times New Roman" w:hAnsi="Times New Roman"/>
          <w:sz w:val="24"/>
          <w:szCs w:val="24"/>
        </w:rPr>
        <w:t xml:space="preserve">.</w:t>
      </w:r>
    </w:p>
    <w:p>
      <w:pPr>
        <w:spacing w:after="120" w:before="0" w:line="360"/>
        <w:ind w:firstLine="567"/>
        <w:jc w:val="both"/>
      </w:pPr>
      <w:r>
        <w:rPr>
          <w:rFonts w:ascii="Times New Roman" w:cs="Times New Roman" w:eastAsia="Times New Roman" w:hAnsi="Times New Roman"/>
          <w:sz w:val="24"/>
          <w:szCs w:val="24"/>
        </w:rPr>
        <w:t xml:space="preserve">A avaliação operacional, que corresponde às hipóteses H2 e H3, segue o protocolo seguinte: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Latência (H2).</w:t>
      </w:r>
      <w:r>
        <w:rPr>
          <w:rFonts w:ascii="Times New Roman" w:cs="Times New Roman" w:eastAsia="Times New Roman" w:hAnsi="Times New Roman"/>
          <w:sz w:val="24"/>
          <w:szCs w:val="24"/>
        </w:rPr>
        <w:t xml:space="preserve"> O comando </w:t>
      </w:r>
      <w:r>
        <w:rPr>
          <w:rFonts w:ascii="Courier New" w:cs="Courier New" w:eastAsia="Courier New" w:hAnsi="Courier New"/>
          <w:sz w:val="21"/>
          <w:szCs w:val="21"/>
        </w:rPr>
        <w:t xml:space="preserve">medir-latencia</w:t>
      </w:r>
      <w:r>
        <w:rPr>
          <w:rFonts w:ascii="Times New Roman" w:cs="Times New Roman" w:eastAsia="Times New Roman" w:hAnsi="Times New Roman"/>
          <w:sz w:val="24"/>
          <w:szCs w:val="24"/>
        </w:rPr>
        <w:t xml:space="preserve"> importa, anonimiza e classifica um lote numa base de dados temporária e reporta a mediana do tempo total e por publicação. O sistema regista ainda, para cada publicação, o intervalo entre a importação e a classificação (mediana e percentil 95). Estas medidas cobrem o processamento interno; o intervalo entre a publicação original e a recolha depende da frequência de recolha e deve ser reportado à parte.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Utilidade da fila.</w:t>
      </w:r>
      <w:r>
        <w:rPr>
          <w:rFonts w:ascii="Times New Roman" w:cs="Times New Roman" w:eastAsia="Times New Roman" w:hAnsi="Times New Roman"/>
          <w:sz w:val="24"/>
          <w:szCs w:val="24"/>
        </w:rPr>
        <w:t xml:space="preserve"> Num lote novo, nunca usado no treino, e com a revisão cega activa, pelo menos dois analistas revêem a fila por ordem, de forma independente. Calcula-se a precisão nos primeiros K itens (K = 10, 25, 50, 100), a concordância e o κ entre cada analista e o sistema, e o κ entre analistas. Para estimar a sensibilidade, os analistas revêem também a amostra de controlo de itens classificados como Normal; a fracção considerada ameaça é reportada com IC 95% de Wilson.</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Antecedência (H3).</w:t>
      </w:r>
      <w:r>
        <w:rPr>
          <w:rFonts w:ascii="Times New Roman" w:cs="Times New Roman" w:eastAsia="Times New Roman" w:hAnsi="Times New Roman"/>
          <w:sz w:val="24"/>
          <w:szCs w:val="24"/>
        </w:rPr>
        <w:t xml:space="preserve"> Exige um corpus com datas de publicação em torno de eventos documentados, dividido cronologicamente (treino anterior ao período de teste), e uma lista de eventos de referência independente do corpus. Sem estes elementos, qualquer medida de antecedência seria circular.</w:t>
      </w:r>
    </w:p>
    <w:p>
      <w:pPr>
        <w:pStyle w:val="Heading2"/>
        <w:keepNext/>
        <w:keepLines/>
        <w:spacing w:after="160" w:before="360" w:line="300"/>
      </w:pPr>
      <w:r>
        <w:rPr>
          <w:rFonts w:ascii="Times New Roman" w:cs="Times New Roman" w:eastAsia="Times New Roman" w:hAnsi="Times New Roman"/>
          <w:b/>
          <w:bCs/>
          <w:sz w:val="26"/>
          <w:szCs w:val="26"/>
        </w:rPr>
        <w:t xml:space="preserve">3.10 Plano de implementação faseada</w:t>
      </w:r>
    </w:p>
    <w:p>
      <w:pPr>
        <w:spacing w:after="120" w:before="0" w:line="360"/>
        <w:ind w:firstLine="567"/>
        <w:jc w:val="both"/>
      </w:pPr>
      <w:r>
        <w:rPr>
          <w:rFonts w:ascii="Times New Roman" w:cs="Times New Roman" w:eastAsia="Times New Roman" w:hAnsi="Times New Roman"/>
          <w:sz w:val="24"/>
          <w:szCs w:val="24"/>
        </w:rPr>
        <w:t xml:space="preserve">A passagem do protótipo a uma ferramenta institucional deve ser gradual e condicionada a resultados. A Tabela 3.5 propõe três fases.</w:t>
      </w:r>
    </w:p>
    <w:p>
      <w:pPr>
        <w:pStyle w:val="LegendaTabela"/>
        <w:keepNext/>
        <w:spacing w:after="80" w:before="240" w:line="240"/>
        <w:jc w:val="center"/>
      </w:pPr>
      <w:r>
        <w:rPr>
          <w:rFonts w:ascii="Times New Roman" w:cs="Times New Roman" w:eastAsia="Times New Roman" w:hAnsi="Times New Roman"/>
          <w:b/>
          <w:bCs/>
          <w:sz w:val="20"/>
          <w:szCs w:val="20"/>
        </w:rPr>
        <w:t xml:space="preserve">Tabela 3.5 – Plano de implementação faseada</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2820"/>
      </w:tblGrid>
      <w:tr>
        <w:trPr>
          <w:cantSplit/>
          <w:tblHeader/>
        </w:trPr>
        <w:tc>
          <w:tcPr>
            <w:tcW w:type="dxa" w:w="19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Fase</w:t>
            </w:r>
          </w:p>
        </w:tc>
        <w:tc>
          <w:tcPr>
            <w:tcW w:type="dxa" w:w="35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Actividades</w:t>
            </w:r>
          </w:p>
        </w:tc>
        <w:tc>
          <w:tcPr>
            <w:tcW w:type="dxa" w:w="28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Condição para avançar</w:t>
            </w:r>
          </w:p>
        </w:tc>
      </w:tr>
      <w:tr>
        <w:trPr>
          <w:cantSplit/>
          <w:tblHeader w:val="false"/>
        </w:trP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1. Piloto académico</w:t>
            </w:r>
          </w:p>
        </w:tc>
        <w:tc>
          <w:tcPr>
            <w:tcW w:type="dxa" w:w="3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Novo treino do BERTimbau; medição da latência; avaliação da fila com analistas num lote novo; parecer jurídico</w:t>
            </w:r>
          </w:p>
        </w:tc>
        <w:tc>
          <w:tcPr>
            <w:tcW w:type="dxa" w:w="28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Precisão nos primeiros 50 itens e κ analista–sistema aceites pela instituição; parecer favorável</w:t>
            </w:r>
          </w:p>
        </w:tc>
      </w:tr>
      <w:tr>
        <w:trPr>
          <w:cantSplit/>
          <w:tblHeader w:val="false"/>
        </w:trP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2. Piloto institucional</w:t>
            </w:r>
          </w:p>
        </w:tc>
        <w:tc>
          <w:tcPr>
            <w:tcW w:type="dxa" w:w="3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Instalação em servidor próprio; formação de analistas; recolha agendada; ampliação do corpus angolano com revisões</w:t>
            </w:r>
          </w:p>
        </w:tc>
        <w:tc>
          <w:tcPr>
            <w:tcW w:type="dxa" w:w="28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Auditoria independente; desempenho em conteúdo angolano medido e reportado por categoria</w:t>
            </w:r>
          </w:p>
        </w:tc>
      </w:tr>
      <w:tr>
        <w:trPr>
          <w:cantSplit/>
          <w:tblHeader w:val="false"/>
        </w:trPr>
        <w:tc>
          <w:tcPr>
            <w:tcW w:type="dxa" w:w="19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3. Consolidação</w:t>
            </w:r>
          </w:p>
        </w:tc>
        <w:tc>
          <w:tcPr>
            <w:tcW w:type="dxa" w:w="35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Pré-treino adaptado ao domínio angolano; extensão a outras plataformas por vias oficiais; procedimentos de supervisão</w:t>
            </w:r>
          </w:p>
        </w:tc>
        <w:tc>
          <w:tcPr>
            <w:tcW w:type="dxa" w:w="28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Quadro normativo para uso de IA em segurança; revisão periódica do impacto</w:t>
            </w:r>
          </w:p>
        </w:tc>
      </w:tr>
    </w:tbl>
    <w:p>
      <w:pPr>
        <w:spacing w:after="240" w:before="60" w:line="240"/>
        <w:jc w:val="both"/>
      </w:pPr>
    </w:p>
    <w:p>
      <w:pPr>
        <w:sectPr>
          <w:headerReference w:type="default" r:id="rId17"/>
          <w:footerReference w:type="default" r:id="rId18"/>
          <w:type w:val="nextPage"/>
          <w:pgSz w:w="11906" w:h="16838" w:orient="portrait"/>
          <w:pgMar w:top="1701" w:right="1701" w:bottom="1417" w:left="1984" w:header="850" w:footer="567" w:gutter="0"/>
          <w:pgNumType/>
          <w:docGrid w:linePitch="360"/>
        </w:sectPr>
      </w:pPr>
    </w:p>
    <w:p>
      <w:pPr>
        <w:pStyle w:val="Heading1"/>
        <w:spacing w:after="480" w:before="567"/>
        <w:jc w:val="left"/>
      </w:pPr>
      <w:r>
        <w:rPr>
          <w:rFonts w:ascii="Times New Roman" w:cs="Times New Roman" w:eastAsia="Times New Roman" w:hAnsi="Times New Roman"/>
          <w:b/>
          <w:bCs/>
          <w:sz w:val="28"/>
          <w:szCs w:val="28"/>
        </w:rPr>
        <w:t xml:space="preserve">CAPÍTULO 4 – RESULTADOS E DISCUSSÃO</w:t>
      </w:r>
    </w:p>
    <w:p>
      <w:pPr>
        <w:spacing w:after="120" w:before="0" w:line="360"/>
        <w:ind w:firstLine="567"/>
        <w:jc w:val="both"/>
      </w:pPr>
      <w:r>
        <w:rPr>
          <w:rFonts w:ascii="Times New Roman" w:cs="Times New Roman" w:eastAsia="Times New Roman" w:hAnsi="Times New Roman"/>
          <w:sz w:val="24"/>
          <w:szCs w:val="24"/>
        </w:rPr>
        <w:t xml:space="preserve">Este capítulo apresenta os resultados experimentais obtidos com o corpus híbrido harmonizado e verifica formalmente as hipóteses formuladas na Secção 1.3. Todos os valores foram recalculados a partir das previsões guardadas de cada modelo no conjunto de teste e reproduzem os ficheiros de métricas gerados pelo pipeline. A Secção 4.1 descreve o protocolo de avaliação. As Secções 4.2 a 4.5 tratam do desempenho global, da significância estatística, do desempenho por categoria e da estabilidade dos resultados. A Secção 4.6 testa a lacuna de domínio entre o piloto angolano e o corpus público (H4), a Secção 4.7 trata da avaliação operacional (H2 e H3) e a Secção 4.8 reúne a verificação das hipóteses.</w:t>
      </w:r>
    </w:p>
    <w:p>
      <w:pPr>
        <w:spacing w:after="120" w:before="0" w:line="360"/>
        <w:ind w:firstLine="567"/>
        <w:jc w:val="both"/>
      </w:pPr>
      <w:r>
        <w:rPr>
          <w:rFonts w:ascii="Times New Roman" w:cs="Times New Roman" w:eastAsia="Times New Roman" w:hAnsi="Times New Roman"/>
          <w:sz w:val="24"/>
          <w:szCs w:val="24"/>
        </w:rPr>
        <w:t xml:space="preserve">As categorias são designadas, em tabelas e figuras, pelos rótulos usados no pipeline: Normal, Desinformacao, Odio (Discurso de Ódio) e Mobilizacao (Mobilização Hostil).</w:t>
      </w:r>
    </w:p>
    <w:p>
      <w:pPr>
        <w:pStyle w:val="Heading2"/>
        <w:keepNext/>
        <w:keepLines/>
        <w:spacing w:after="160" w:before="360" w:line="300"/>
      </w:pPr>
      <w:r>
        <w:rPr>
          <w:rFonts w:ascii="Times New Roman" w:cs="Times New Roman" w:eastAsia="Times New Roman" w:hAnsi="Times New Roman"/>
          <w:b/>
          <w:bCs/>
          <w:sz w:val="26"/>
          <w:szCs w:val="26"/>
        </w:rPr>
        <w:t xml:space="preserve">4.1 Corpus de avaliação e protocolo experimental</w:t>
      </w:r>
    </w:p>
    <w:p>
      <w:pPr>
        <w:spacing w:after="120" w:before="0" w:line="360"/>
        <w:ind w:firstLine="567"/>
        <w:jc w:val="both"/>
      </w:pPr>
      <w:r>
        <w:rPr>
          <w:rFonts w:ascii="Times New Roman" w:cs="Times New Roman" w:eastAsia="Times New Roman" w:hAnsi="Times New Roman"/>
          <w:sz w:val="24"/>
          <w:szCs w:val="24"/>
        </w:rPr>
        <w:t xml:space="preserve">O corpus de treino e avaliação resulta da harmonização de três corpora públicos em português (ToLD-BR, Fake.br e HateBR) com o piloto angolano anotado nesta investigação. Após a remoção de 238 duplicados, o corpus contém 26.859 registos, distribuídos conforme a Tabela 4.1.</w:t>
      </w:r>
    </w:p>
    <w:p>
      <w:pPr>
        <w:pStyle w:val="LegendaTabela"/>
        <w:keepNext/>
        <w:spacing w:after="80" w:before="240" w:line="240"/>
        <w:jc w:val="center"/>
      </w:pPr>
      <w:r>
        <w:rPr>
          <w:rFonts w:ascii="Times New Roman" w:cs="Times New Roman" w:eastAsia="Times New Roman" w:hAnsi="Times New Roman"/>
          <w:b/>
          <w:bCs/>
          <w:sz w:val="20"/>
          <w:szCs w:val="20"/>
        </w:rPr>
        <w:t xml:space="preserve">Tabela 4.1 – Composição do corpus harmonizado por fonte e categoria</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1400"/>
        <w:gridCol w:w="1100"/>
        <w:gridCol w:w="1300"/>
        <w:gridCol w:w="1220"/>
      </w:tblGrid>
      <w:tr>
        <w:trPr>
          <w:cantSplit/>
          <w:tblHeader/>
        </w:trPr>
        <w:tc>
          <w:tcPr>
            <w:tcW w:type="dxa" w:w="19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Fonte</w:t>
            </w:r>
          </w:p>
        </w:tc>
        <w:tc>
          <w:tcPr>
            <w:tcW w:type="dxa" w:w="13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Normal</w:t>
            </w:r>
          </w:p>
        </w:tc>
        <w:tc>
          <w:tcPr>
            <w:tcW w:type="dxa" w:w="14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Desinformacao</w:t>
            </w:r>
          </w:p>
        </w:tc>
        <w:tc>
          <w:tcPr>
            <w:tcW w:type="dxa" w:w="11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Odio</w:t>
            </w:r>
          </w:p>
        </w:tc>
        <w:tc>
          <w:tcPr>
            <w:tcW w:type="dxa" w:w="13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Mobilizacao</w:t>
            </w:r>
          </w:p>
        </w:tc>
        <w:tc>
          <w:tcPr>
            <w:tcW w:type="dxa" w:w="12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Total</w:t>
            </w:r>
          </w:p>
        </w:tc>
      </w:tr>
      <w:tr>
        <w:trPr>
          <w:cantSplit/>
          <w:tblHeader w:val="false"/>
        </w:trP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ToLD-BR</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11.682</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w:t>
            </w:r>
          </w:p>
        </w:tc>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1.027</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w:t>
            </w:r>
          </w:p>
        </w:tc>
        <w:tc>
          <w:tcPr>
            <w:tcW w:type="dxa" w:w="12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12.709</w:t>
            </w:r>
          </w:p>
        </w:tc>
      </w:tr>
      <w:tr>
        <w:trPr>
          <w:cantSplit/>
          <w:tblHeader w:val="false"/>
        </w:trP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Fake.br</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3.600</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3.599</w:t>
            </w:r>
          </w:p>
        </w:tc>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w:t>
            </w:r>
          </w:p>
        </w:tc>
        <w:tc>
          <w:tcPr>
            <w:tcW w:type="dxa" w:w="12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7.199</w:t>
            </w:r>
          </w:p>
        </w:tc>
      </w:tr>
      <w:tr>
        <w:trPr>
          <w:cantSplit/>
          <w:tblHeader w:val="false"/>
        </w:trP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HateBR</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2.195</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w:t>
            </w:r>
          </w:p>
        </w:tc>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2.183</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w:t>
            </w:r>
          </w:p>
        </w:tc>
        <w:tc>
          <w:tcPr>
            <w:tcW w:type="dxa" w:w="12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4.378</w:t>
            </w:r>
          </w:p>
        </w:tc>
      </w:tr>
      <w:tr>
        <w:trPr>
          <w:cantSplit/>
          <w:tblHeader w:val="false"/>
        </w:trP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Piloto angolano</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1.613</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318</w:t>
            </w:r>
          </w:p>
        </w:tc>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283</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359</w:t>
            </w:r>
          </w:p>
        </w:tc>
        <w:tc>
          <w:tcPr>
            <w:tcW w:type="dxa" w:w="12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2.573</w:t>
            </w:r>
          </w:p>
        </w:tc>
      </w:tr>
      <w:tr>
        <w:trPr>
          <w:cantSplit/>
          <w:tblHeader w:val="false"/>
        </w:trPr>
        <w:tc>
          <w:tcPr>
            <w:tcW w:type="dxa" w:w="19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Total</w:t>
            </w:r>
          </w:p>
        </w:tc>
        <w:tc>
          <w:tcPr>
            <w:tcW w:type="dxa" w:w="13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19.090</w:t>
            </w:r>
          </w:p>
        </w:tc>
        <w:tc>
          <w:tcPr>
            <w:tcW w:type="dxa" w:w="14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3.917</w:t>
            </w:r>
          </w:p>
        </w:tc>
        <w:tc>
          <w:tcPr>
            <w:tcW w:type="dxa" w:w="11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3.493</w:t>
            </w:r>
          </w:p>
        </w:tc>
        <w:tc>
          <w:tcPr>
            <w:tcW w:type="dxa" w:w="13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359</w:t>
            </w:r>
          </w:p>
        </w:tc>
        <w:tc>
          <w:tcPr>
            <w:tcW w:type="dxa" w:w="12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26.859</w:t>
            </w:r>
          </w:p>
        </w:tc>
      </w:tr>
    </w:tbl>
    <w:p>
      <w:pPr>
        <w:spacing w:after="240" w:before="60" w:line="240"/>
        <w:jc w:val="both"/>
      </w:pPr>
      <w:r>
        <w:rPr>
          <w:rFonts w:ascii="Times New Roman" w:cs="Times New Roman" w:eastAsia="Times New Roman" w:hAnsi="Times New Roman"/>
          <w:i/>
          <w:iCs/>
          <w:sz w:val="18"/>
          <w:szCs w:val="18"/>
        </w:rPr>
        <w:t xml:space="preserve">Nota.</w:t>
      </w:r>
      <w:r>
        <w:rPr>
          <w:rFonts w:ascii="Times New Roman" w:cs="Times New Roman" w:eastAsia="Times New Roman" w:hAnsi="Times New Roman"/>
          <w:sz w:val="18"/>
          <w:szCs w:val="18"/>
        </w:rPr>
        <w:t xml:space="preserve"> Valores após deduplicação (27.097 → 26.859). A categoria Mobilizacao existe apenas no piloto angolano. O piloto inclui 2.288 comentários públicos obtidos por amostragem aleatória e 285 itens de lotes enriquecidos (194 por selecção temática de vídeos e 91 por léxico), usados exclusivamente no treino.</w:t>
      </w:r>
    </w:p>
    <w:p>
      <w:pPr>
        <w:spacing w:after="120" w:before="0" w:line="360"/>
        <w:ind w:firstLine="567"/>
        <w:jc w:val="both"/>
      </w:pPr>
      <w:r>
        <w:rPr>
          <w:rFonts w:ascii="Times New Roman" w:cs="Times New Roman" w:eastAsia="Times New Roman" w:hAnsi="Times New Roman"/>
          <w:sz w:val="24"/>
          <w:szCs w:val="24"/>
        </w:rPr>
        <w:t xml:space="preserve">Três decisões de protocolo condicionam a leitura dos resultados. Primeiro, os lotes enriquecidos do piloto entraram apenas no treino: a sua selecção não foi aleatória e a sua inclusão nos conjuntos de avaliação inflacionaria as métricas. Segundo, a escolha de configurações e variantes foi feita no conjunto de validação, nunca no de teste. Terceiro, os resultados são reportados tal como saíram de cada execução, sem selecção de sementes ou de variantes pelo desempenho no teste.</w:t>
      </w:r>
    </w:p>
    <w:p>
      <w:pPr>
        <w:spacing w:after="120" w:before="0" w:line="360"/>
        <w:ind w:firstLine="567"/>
        <w:jc w:val="both"/>
      </w:pPr>
      <w:r>
        <w:rPr>
          <w:rFonts w:ascii="Times New Roman" w:cs="Times New Roman" w:eastAsia="Times New Roman" w:hAnsi="Times New Roman"/>
          <w:sz w:val="24"/>
          <w:szCs w:val="24"/>
        </w:rPr>
        <w:t xml:space="preserve">O conjunto de validação contém 3.986 itens e o de teste 3.987 itens (Normal 2.843; Desinformacao 580; Odio 517; Mobilizacao 47). Dos itens de teste, 355 (8,9%) provêm do piloto angolano e 3.632 (91,1%) dos corpora públicos brasileiros. Esta composição significa que as métricas globais descrevem sobretudo o desempenho em conteúdo brasileiro; o desempenho em conteúdo angolano é analisado separadamente na Secção 4.6.</w:t>
      </w:r>
    </w:p>
    <w:p>
      <w:pPr>
        <w:spacing w:after="120" w:before="0" w:line="360"/>
        <w:ind w:firstLine="567"/>
        <w:jc w:val="both"/>
      </w:pPr>
      <w:r>
        <w:rPr>
          <w:rFonts w:ascii="Times New Roman" w:cs="Times New Roman" w:eastAsia="Times New Roman" w:hAnsi="Times New Roman"/>
          <w:sz w:val="24"/>
          <w:szCs w:val="24"/>
        </w:rPr>
        <w:t xml:space="preserve">A métrica principal é o F1-macro, que atribui o mesmo peso às quatro categorias e, por isso, não é dominada pela classe Normal. Reportam-se também o F1 ponderado, a exactidão, o Kappa de Cohen entre as previsões e a referência, e a AUC-ROC média das quatro curvas um-contra-todos. Os intervalos de confiança a 95% (IC 95%) foram obtidos por </w:t>
      </w:r>
      <w:r>
        <w:rPr>
          <w:rFonts w:ascii="Times New Roman" w:cs="Times New Roman" w:eastAsia="Times New Roman" w:hAnsi="Times New Roman"/>
          <w:i/>
          <w:iCs/>
          <w:sz w:val="24"/>
          <w:szCs w:val="24"/>
        </w:rPr>
        <w:t xml:space="preserve">bootstrap</w:t>
      </w:r>
      <w:r>
        <w:rPr>
          <w:rFonts w:ascii="Times New Roman" w:cs="Times New Roman" w:eastAsia="Times New Roman" w:hAnsi="Times New Roman"/>
          <w:sz w:val="24"/>
          <w:szCs w:val="24"/>
        </w:rPr>
        <w:t xml:space="preserve"> não paramétrico com 2.000 reamostragens do conjunto de teste. As comparações entre modelos usam o teste de McNemar com correcção de continuidade sobre os acertos e erros emparelhados, com correcção de Bonferroni para as seis comparações entre os quatro modelos (α corrigido = 0,0083); a diferença de F1-macro entre pares é acompanhada do respectivo IC 95% por </w:t>
      </w:r>
      <w:r>
        <w:rPr>
          <w:rFonts w:ascii="Times New Roman" w:cs="Times New Roman" w:eastAsia="Times New Roman" w:hAnsi="Times New Roman"/>
          <w:i/>
          <w:iCs/>
          <w:sz w:val="24"/>
          <w:szCs w:val="24"/>
        </w:rPr>
        <w:t xml:space="preserve">bootstrap</w:t>
      </w:r>
      <w:r>
        <w:rPr>
          <w:rFonts w:ascii="Times New Roman" w:cs="Times New Roman" w:eastAsia="Times New Roman" w:hAnsi="Times New Roman"/>
          <w:sz w:val="24"/>
          <w:szCs w:val="24"/>
        </w:rPr>
        <w:t xml:space="preserve"> emparelhado.</w:t>
      </w:r>
    </w:p>
    <w:p>
      <w:pPr>
        <w:pStyle w:val="Heading2"/>
        <w:keepNext/>
        <w:keepLines/>
        <w:spacing w:after="160" w:before="360" w:line="300"/>
      </w:pPr>
      <w:r>
        <w:rPr>
          <w:rFonts w:ascii="Times New Roman" w:cs="Times New Roman" w:eastAsia="Times New Roman" w:hAnsi="Times New Roman"/>
          <w:b/>
          <w:bCs/>
          <w:sz w:val="26"/>
          <w:szCs w:val="26"/>
        </w:rPr>
        <w:t xml:space="preserve">4.2 Desempenho global dos modelos</w:t>
      </w:r>
    </w:p>
    <w:p>
      <w:pPr>
        <w:spacing w:after="120" w:before="0" w:line="360"/>
        <w:ind w:firstLine="567"/>
        <w:jc w:val="both"/>
      </w:pPr>
      <w:r>
        <w:rPr>
          <w:rFonts w:ascii="Times New Roman" w:cs="Times New Roman" w:eastAsia="Times New Roman" w:hAnsi="Times New Roman"/>
          <w:sz w:val="24"/>
          <w:szCs w:val="24"/>
        </w:rPr>
        <w:t xml:space="preserve">A Tabela 4.2 apresenta o desempenho dos quatro modelos no conjunto de teste, sem ajuste de limiares de decisão.</w:t>
      </w:r>
    </w:p>
    <w:p>
      <w:pPr>
        <w:pStyle w:val="LegendaTabela"/>
        <w:keepNext/>
        <w:spacing w:after="80" w:before="240" w:line="240"/>
        <w:jc w:val="center"/>
      </w:pPr>
      <w:r>
        <w:rPr>
          <w:rFonts w:ascii="Times New Roman" w:cs="Times New Roman" w:eastAsia="Times New Roman" w:hAnsi="Times New Roman"/>
          <w:b/>
          <w:bCs/>
          <w:sz w:val="20"/>
          <w:szCs w:val="20"/>
        </w:rPr>
        <w:t xml:space="preserve">Tabela 4.2 – Desempenho dos modelos no conjunto de teste</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050"/>
        <w:gridCol w:w="1000"/>
        <w:gridCol w:w="900"/>
        <w:gridCol w:w="1770"/>
      </w:tblGrid>
      <w:tr>
        <w:trPr>
          <w:cantSplit/>
          <w:tblHeader/>
        </w:trPr>
        <w:tc>
          <w:tcPr>
            <w:tcW w:type="dxa" w:w="16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Modelo</w:t>
            </w:r>
          </w:p>
        </w:tc>
        <w:tc>
          <w:tcPr>
            <w:tcW w:type="dxa" w:w="19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F1-macro [IC 95%]</w:t>
            </w:r>
          </w:p>
        </w:tc>
        <w:tc>
          <w:tcPr>
            <w:tcW w:type="dxa" w:w="105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F1 ponderado</w:t>
            </w:r>
          </w:p>
        </w:tc>
        <w:tc>
          <w:tcPr>
            <w:tcW w:type="dxa" w:w="10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Exactidão</w:t>
            </w:r>
          </w:p>
        </w:tc>
        <w:tc>
          <w:tcPr>
            <w:tcW w:type="dxa" w:w="9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Kappa (κ)</w:t>
            </w:r>
          </w:p>
        </w:tc>
        <w:tc>
          <w:tcPr>
            <w:tcW w:type="dxa" w:w="177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AUC-ROC [IC 95%]</w:t>
            </w:r>
          </w:p>
        </w:tc>
      </w:tr>
      <w:tr>
        <w:trPr>
          <w:cantSplit/>
          <w:tblHeader w:val="false"/>
        </w:trPr>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Floresta Aleatória</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0,659 [0,621; 0,694]</w:t>
            </w:r>
          </w:p>
        </w:tc>
        <w:tc>
          <w:tcPr>
            <w:tcW w:type="dxa" w:w="10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0,831</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0,834</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0,624</w:t>
            </w:r>
          </w:p>
        </w:tc>
        <w:tc>
          <w:tcPr>
            <w:tcW w:type="dxa" w:w="177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0,906 [0,891; 0,919]</w:t>
            </w:r>
          </w:p>
        </w:tc>
      </w:tr>
      <w:tr>
        <w:trPr>
          <w:cantSplit/>
          <w:tblHeader w:val="false"/>
        </w:trPr>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SVM</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0,633 [0,606; 0,657]</w:t>
            </w:r>
          </w:p>
        </w:tc>
        <w:tc>
          <w:tcPr>
            <w:tcW w:type="dxa" w:w="10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0,791</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0,772</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0,566</w:t>
            </w:r>
          </w:p>
        </w:tc>
        <w:tc>
          <w:tcPr>
            <w:tcW w:type="dxa" w:w="177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0,909 [0,900; 0,917]</w:t>
            </w:r>
          </w:p>
        </w:tc>
      </w:tr>
      <w:tr>
        <w:trPr>
          <w:cantSplit/>
          <w:tblHeader w:val="false"/>
        </w:trPr>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Bi-LSTM</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0,660 [0,628; 0,689]</w:t>
            </w:r>
          </w:p>
        </w:tc>
        <w:tc>
          <w:tcPr>
            <w:tcW w:type="dxa" w:w="10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0,823</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0,819</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0,621</w:t>
            </w:r>
          </w:p>
        </w:tc>
        <w:tc>
          <w:tcPr>
            <w:tcW w:type="dxa" w:w="177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0,915 [0,901; 0,926]</w:t>
            </w:r>
          </w:p>
        </w:tc>
      </w:tr>
      <w:tr>
        <w:trPr>
          <w:cantSplit/>
          <w:tblHeader w:val="false"/>
        </w:trPr>
        <w:tc>
          <w:tcPr>
            <w:tcW w:type="dxa" w:w="1600"/>
            <w:tcBorders>
              <w:top w:val="none" w:color="FFFFFF" w:sz="0"/>
              <w:left w:val="none" w:color="FFFFFF" w:sz="0"/>
              <w:bottom w:val="single" w:color="000000" w:sz="4"/>
              <w:right w:val="none" w:color="FFFFFF" w:sz="0"/>
            </w:tcBorders>
            <w:shd w:fill="F3F2EE"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BERTimbau</w:t>
            </w:r>
          </w:p>
        </w:tc>
        <w:tc>
          <w:tcPr>
            <w:tcW w:type="dxa" w:w="1900"/>
            <w:tcBorders>
              <w:top w:val="none" w:color="FFFFFF" w:sz="0"/>
              <w:left w:val="none" w:color="FFFFFF" w:sz="0"/>
              <w:bottom w:val="single" w:color="000000" w:sz="4"/>
              <w:right w:val="none" w:color="FFFFFF" w:sz="0"/>
            </w:tcBorders>
            <w:shd w:fill="F3F2EE"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0,807 [0,774; 0,838]</w:t>
            </w:r>
          </w:p>
        </w:tc>
        <w:tc>
          <w:tcPr>
            <w:tcW w:type="dxa" w:w="1050"/>
            <w:tcBorders>
              <w:top w:val="none" w:color="FFFFFF" w:sz="0"/>
              <w:left w:val="none" w:color="FFFFFF" w:sz="0"/>
              <w:bottom w:val="single" w:color="000000" w:sz="4"/>
              <w:right w:val="none" w:color="FFFFFF" w:sz="0"/>
            </w:tcBorders>
            <w:shd w:fill="F3F2EE"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0,924</w:t>
            </w:r>
          </w:p>
        </w:tc>
        <w:tc>
          <w:tcPr>
            <w:tcW w:type="dxa" w:w="1000"/>
            <w:tcBorders>
              <w:top w:val="none" w:color="FFFFFF" w:sz="0"/>
              <w:left w:val="none" w:color="FFFFFF" w:sz="0"/>
              <w:bottom w:val="single" w:color="000000" w:sz="4"/>
              <w:right w:val="none" w:color="FFFFFF" w:sz="0"/>
            </w:tcBorders>
            <w:shd w:fill="F3F2EE"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0,924</w:t>
            </w:r>
          </w:p>
        </w:tc>
        <w:tc>
          <w:tcPr>
            <w:tcW w:type="dxa" w:w="900"/>
            <w:tcBorders>
              <w:top w:val="none" w:color="FFFFFF" w:sz="0"/>
              <w:left w:val="none" w:color="FFFFFF" w:sz="0"/>
              <w:bottom w:val="single" w:color="000000" w:sz="4"/>
              <w:right w:val="none" w:color="FFFFFF" w:sz="0"/>
            </w:tcBorders>
            <w:shd w:fill="F3F2EE"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0,832</w:t>
            </w:r>
          </w:p>
        </w:tc>
        <w:tc>
          <w:tcPr>
            <w:tcW w:type="dxa" w:w="1770"/>
            <w:tcBorders>
              <w:top w:val="none" w:color="FFFFFF" w:sz="0"/>
              <w:left w:val="none" w:color="FFFFFF" w:sz="0"/>
              <w:bottom w:val="single" w:color="000000" w:sz="4"/>
              <w:right w:val="none" w:color="FFFFFF" w:sz="0"/>
            </w:tcBorders>
            <w:shd w:fill="F3F2EE"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0,979 [0,973; 0,983]</w:t>
            </w:r>
          </w:p>
        </w:tc>
      </w:tr>
    </w:tbl>
    <w:p>
      <w:pPr>
        <w:spacing w:after="240" w:before="60" w:line="240"/>
        <w:jc w:val="both"/>
      </w:pPr>
      <w:r>
        <w:rPr>
          <w:rFonts w:ascii="Times New Roman" w:cs="Times New Roman" w:eastAsia="Times New Roman" w:hAnsi="Times New Roman"/>
          <w:i/>
          <w:iCs/>
          <w:sz w:val="18"/>
          <w:szCs w:val="18"/>
        </w:rPr>
        <w:t xml:space="preserve">Nota.</w:t>
      </w:r>
      <w:r>
        <w:rPr>
          <w:rFonts w:ascii="Times New Roman" w:cs="Times New Roman" w:eastAsia="Times New Roman" w:hAnsi="Times New Roman"/>
          <w:sz w:val="18"/>
          <w:szCs w:val="18"/>
        </w:rPr>
        <w:t xml:space="preserve"> n = 3.987. AUC-ROC: média das quatro AUC um-contra-todos. IC 95% por </w:t>
      </w:r>
      <w:r>
        <w:rPr>
          <w:rFonts w:ascii="Times New Roman" w:cs="Times New Roman" w:eastAsia="Times New Roman" w:hAnsi="Times New Roman"/>
          <w:i/>
          <w:iCs/>
          <w:sz w:val="18"/>
          <w:szCs w:val="18"/>
        </w:rPr>
        <w:t xml:space="preserve">bootstrap</w:t>
      </w:r>
      <w:r>
        <w:rPr>
          <w:rFonts w:ascii="Times New Roman" w:cs="Times New Roman" w:eastAsia="Times New Roman" w:hAnsi="Times New Roman"/>
          <w:sz w:val="18"/>
          <w:szCs w:val="18"/>
        </w:rPr>
        <w:t xml:space="preserve"> (2.000 reamostragens para o F1; 1.000 para a AUC). BERTimbau com ajuste fino, semente 42 (configuração de referência).</w:t>
      </w:r>
    </w:p>
    <w:p>
      <w:pPr>
        <w:spacing w:after="120" w:before="0" w:line="360"/>
        <w:ind w:firstLine="567"/>
        <w:jc w:val="both"/>
      </w:pPr>
      <w:r>
        <w:rPr>
          <w:rFonts w:ascii="Times New Roman" w:cs="Times New Roman" w:eastAsia="Times New Roman" w:hAnsi="Times New Roman"/>
          <w:sz w:val="24"/>
          <w:szCs w:val="24"/>
        </w:rPr>
        <w:t xml:space="preserve">O BERTimbau obteve F1-macro de 0,807 (IC 95% [0,774; 0,838]), entre 14,6 e 17,4 pontos percentuais (p.p.) acima dos restantes modelos, cujos F1-macro se situam entre 0,633 e 0,660. O intervalo de confiança do BERTimbau não se sobrepõe ao de nenhum outro modelo. A mesma ordenação verifica-se no Kappa (0,832 contra 0,566–0,624) e na AUC-ROC (0,979 contra 0,906–0,915).</w:t>
      </w:r>
    </w:p>
    <w:p>
      <w:pPr>
        <w:spacing w:after="120" w:before="0" w:line="360"/>
        <w:ind w:firstLine="567"/>
        <w:jc w:val="both"/>
      </w:pPr>
      <w:r>
        <w:rPr>
          <w:rFonts w:ascii="Times New Roman" w:cs="Times New Roman" w:eastAsia="Times New Roman" w:hAnsi="Times New Roman"/>
          <w:sz w:val="24"/>
          <w:szCs w:val="24"/>
        </w:rPr>
        <w:t xml:space="preserve">A distância entre o F1 ponderado (0,924) e o F1-macro (0,807) do BERTimbau resulta do desequilíbrio das classes: o F1 ponderado é dominado pela classe Normal, que representa 71,3% do teste, enquanto o F1-macro dá à Mobilizacao (1,2% do teste) o mesmo peso das outras categorias. Por esta razão, o F1-macro é a métrica usada na verificação das hipóteses. A Figura 4.1 apresenta as curvas ROC de cada modelo por categoria.</w:t>
      </w:r>
    </w:p>
    <w:p>
      <w:pPr>
        <w:keepNext/>
        <w:spacing w:after="40" w:before="160"/>
        <w:jc w:val="center"/>
      </w:pPr>
      <w:r>
        <w:drawing>
          <wp:inline distT="0" distB="0" distL="0" distR="0">
            <wp:extent cx="5400675" cy="5048250"/>
            <wp:effectExtent t="0" r="0" b="0" l="0"/>
            <wp:docPr id="1" name="fig4_1_roc.png" descr="fig4_1_roc.png" title="fig4_1_r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400675" cy="5048250"/>
                    </a:xfrm>
                    <a:prstGeom prst="rect">
                      <a:avLst/>
                    </a:prstGeom>
                  </pic:spPr>
                </pic:pic>
              </a:graphicData>
            </a:graphic>
          </wp:inline>
        </w:drawing>
      </w:r>
    </w:p>
    <w:p>
      <w:pPr>
        <w:pStyle w:val="LegendaFigura"/>
        <w:spacing w:after="120" w:before="60" w:line="240"/>
        <w:jc w:val="center"/>
      </w:pPr>
      <w:r>
        <w:rPr>
          <w:rFonts w:ascii="Times New Roman" w:cs="Times New Roman" w:eastAsia="Times New Roman" w:hAnsi="Times New Roman"/>
          <w:b/>
          <w:bCs/>
          <w:sz w:val="20"/>
          <w:szCs w:val="20"/>
        </w:rPr>
        <w:t xml:space="preserve">Figura 4.1 – Curvas ROC um-contra-todos por categoria e modelo (conjunto de teste; AUC entre parêntesis)</w:t>
      </w:r>
    </w:p>
    <w:p>
      <w:pPr>
        <w:spacing w:after="120" w:before="0" w:line="360"/>
        <w:ind w:firstLine="567"/>
        <w:jc w:val="both"/>
      </w:pPr>
      <w:r>
        <w:rPr>
          <w:rFonts w:ascii="Times New Roman" w:cs="Times New Roman" w:eastAsia="Times New Roman" w:hAnsi="Times New Roman"/>
          <w:sz w:val="24"/>
          <w:szCs w:val="24"/>
        </w:rPr>
        <w:t xml:space="preserve">As curvas mostram que a vantagem do BERTimbau se concentra nas categorias Normal e Odio, onde as AUC dos restantes modelos descem para 0,837–0,882. Na Desinformacao, todos os modelos ultrapassam 0,96, um resultado cuja interpretação é revista na Secção 4.6. Na Mobilizacao, as AUC são elevadas (0,924–0,973), mas assentam em apenas 47 exemplos positivos, pelo que as curvas apresentam degraus largos e a estimativa é instável.</w:t>
      </w:r>
    </w:p>
    <w:p>
      <w:pPr>
        <w:pStyle w:val="Heading2"/>
        <w:keepNext/>
        <w:keepLines/>
        <w:spacing w:after="160" w:before="360" w:line="300"/>
      </w:pPr>
      <w:r>
        <w:rPr>
          <w:rFonts w:ascii="Times New Roman" w:cs="Times New Roman" w:eastAsia="Times New Roman" w:hAnsi="Times New Roman"/>
          <w:b/>
          <w:bCs/>
          <w:sz w:val="26"/>
          <w:szCs w:val="26"/>
        </w:rPr>
        <w:t xml:space="preserve">4.3 Significância estatística das diferenças</w:t>
      </w:r>
    </w:p>
    <w:p>
      <w:pPr>
        <w:spacing w:after="120" w:before="0" w:line="360"/>
        <w:ind w:firstLine="567"/>
        <w:jc w:val="both"/>
      </w:pPr>
      <w:r>
        <w:rPr>
          <w:rFonts w:ascii="Times New Roman" w:cs="Times New Roman" w:eastAsia="Times New Roman" w:hAnsi="Times New Roman"/>
          <w:sz w:val="24"/>
          <w:szCs w:val="24"/>
        </w:rPr>
        <w:t xml:space="preserve">A Tabela 4.3 apresenta as seis comparações emparelhadas entre os quatro modelos. As colunas </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 e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indicam, respectivamente, o número de itens que apenas o primeiro modelo do par classificou correctamente e o número de itens que apenas o segundo classificou correctamente.</w:t>
      </w:r>
    </w:p>
    <w:p>
      <w:pPr>
        <w:pStyle w:val="LegendaTabela"/>
        <w:keepNext/>
        <w:spacing w:after="80" w:before="240" w:line="240"/>
        <w:jc w:val="center"/>
      </w:pPr>
      <w:r>
        <w:rPr>
          <w:rFonts w:ascii="Times New Roman" w:cs="Times New Roman" w:eastAsia="Times New Roman" w:hAnsi="Times New Roman"/>
          <w:b/>
          <w:bCs/>
          <w:sz w:val="20"/>
          <w:szCs w:val="20"/>
        </w:rPr>
        <w:t xml:space="preserve">Tabela 4.3 – Comparações emparelhadas: diferença de F1-macro e teste de McNemar</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1900"/>
        <w:gridCol w:w="1000"/>
        <w:gridCol w:w="800"/>
        <w:gridCol w:w="1200"/>
        <w:gridCol w:w="820"/>
      </w:tblGrid>
      <w:tr>
        <w:trPr>
          <w:cantSplit/>
          <w:tblHeader/>
        </w:trPr>
        <w:tc>
          <w:tcPr>
            <w:tcW w:type="dxa" w:w="25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Par</w:t>
            </w:r>
          </w:p>
        </w:tc>
        <w:tc>
          <w:tcPr>
            <w:tcW w:type="dxa" w:w="19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ΔF1-macro, p.p. [IC 95%]</w:t>
            </w:r>
          </w:p>
        </w:tc>
        <w:tc>
          <w:tcPr>
            <w:tcW w:type="dxa" w:w="10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b / c</w:t>
            </w:r>
          </w:p>
        </w:tc>
        <w:tc>
          <w:tcPr>
            <w:tcW w:type="dxa" w:w="8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χ²</w:t>
            </w:r>
          </w:p>
        </w:tc>
        <w:tc>
          <w:tcPr>
            <w:tcW w:type="dxa" w:w="12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p (Bonferroni)</w:t>
            </w:r>
          </w:p>
        </w:tc>
        <w:tc>
          <w:tcPr>
            <w:tcW w:type="dxa" w:w="8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Signif.</w:t>
            </w:r>
          </w:p>
        </w:tc>
      </w:tr>
      <w:tr>
        <w:trPr>
          <w:cantSplit/>
          <w:tblHeader w:val="false"/>
        </w:trPr>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BERTimbau vs. Bi-LSTM</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14,6 [10,9; 18,4]</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529 / 110</w:t>
            </w:r>
          </w:p>
        </w:tc>
        <w:tc>
          <w:tcPr>
            <w:tcW w:type="dxa" w:w="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273,43</w:t>
            </w:r>
          </w:p>
        </w:tc>
        <w:tc>
          <w:tcPr>
            <w:tcW w:type="dxa" w:w="1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1,2 × 10</w:t>
            </w:r>
            <w:r>
              <w:rPr>
                <w:rFonts w:ascii="Times New Roman" w:cs="Times New Roman" w:eastAsia="Times New Roman" w:hAnsi="Times New Roman"/>
                <w:b w:val="false"/>
                <w:bCs w:val="false"/>
                <w:sz w:val="19"/>
                <w:szCs w:val="19"/>
                <w:vertAlign w:val="superscript"/>
              </w:rPr>
              <w:t xml:space="preserve">-60</w:t>
            </w:r>
          </w:p>
        </w:tc>
        <w:tc>
          <w:tcPr>
            <w:tcW w:type="dxa" w:w="8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Sim</w:t>
            </w:r>
          </w:p>
        </w:tc>
      </w:tr>
      <w:tr>
        <w:trPr>
          <w:cantSplit/>
          <w:tblHeader w:val="false"/>
        </w:trPr>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BERTimbau vs. Floresta Aleatória</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14,8 [10,8; 18,8]</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473 / 115</w:t>
            </w:r>
          </w:p>
        </w:tc>
        <w:tc>
          <w:tcPr>
            <w:tcW w:type="dxa" w:w="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216,75</w:t>
            </w:r>
          </w:p>
        </w:tc>
        <w:tc>
          <w:tcPr>
            <w:tcW w:type="dxa" w:w="1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2,8 × 10</w:t>
            </w:r>
            <w:r>
              <w:rPr>
                <w:rFonts w:ascii="Times New Roman" w:cs="Times New Roman" w:eastAsia="Times New Roman" w:hAnsi="Times New Roman"/>
                <w:b w:val="false"/>
                <w:bCs w:val="false"/>
                <w:sz w:val="19"/>
                <w:szCs w:val="19"/>
                <w:vertAlign w:val="superscript"/>
              </w:rPr>
              <w:t xml:space="preserve">-48</w:t>
            </w:r>
          </w:p>
        </w:tc>
        <w:tc>
          <w:tcPr>
            <w:tcW w:type="dxa" w:w="8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Sim</w:t>
            </w:r>
          </w:p>
        </w:tc>
      </w:tr>
      <w:tr>
        <w:trPr>
          <w:cantSplit/>
          <w:tblHeader w:val="false"/>
        </w:trPr>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BERTimbau vs. SVM</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17,4 [14,4; 20,4]</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714 / 110</w:t>
            </w:r>
          </w:p>
        </w:tc>
        <w:tc>
          <w:tcPr>
            <w:tcW w:type="dxa" w:w="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441,27</w:t>
            </w:r>
          </w:p>
        </w:tc>
        <w:tc>
          <w:tcPr>
            <w:tcW w:type="dxa" w:w="1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3,4 × 10</w:t>
            </w:r>
            <w:r>
              <w:rPr>
                <w:rFonts w:ascii="Times New Roman" w:cs="Times New Roman" w:eastAsia="Times New Roman" w:hAnsi="Times New Roman"/>
                <w:b w:val="false"/>
                <w:bCs w:val="false"/>
                <w:sz w:val="19"/>
                <w:szCs w:val="19"/>
                <w:vertAlign w:val="superscript"/>
              </w:rPr>
              <w:t xml:space="preserve">-97</w:t>
            </w:r>
          </w:p>
        </w:tc>
        <w:tc>
          <w:tcPr>
            <w:tcW w:type="dxa" w:w="8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Sim</w:t>
            </w:r>
          </w:p>
        </w:tc>
      </w:tr>
      <w:tr>
        <w:trPr>
          <w:cantSplit/>
          <w:tblHeader w:val="false"/>
        </w:trPr>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Bi-LSTM vs. Floresta Aleatória</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0,2 [-4,0; 4,2]</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348 / 409</w:t>
            </w:r>
          </w:p>
        </w:tc>
        <w:tc>
          <w:tcPr>
            <w:tcW w:type="dxa" w:w="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4,76</w:t>
            </w:r>
          </w:p>
        </w:tc>
        <w:tc>
          <w:tcPr>
            <w:tcW w:type="dxa" w:w="1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0,175</w:t>
            </w:r>
          </w:p>
        </w:tc>
        <w:tc>
          <w:tcPr>
            <w:tcW w:type="dxa" w:w="8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Não</w:t>
            </w:r>
          </w:p>
        </w:tc>
      </w:tr>
      <w:tr>
        <w:trPr>
          <w:cantSplit/>
          <w:tblHeader w:val="false"/>
        </w:trPr>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Bi-LSTM vs. SVM</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2,8 [-0,3; 5,7]</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519 / 334</w:t>
            </w:r>
          </w:p>
        </w:tc>
        <w:tc>
          <w:tcPr>
            <w:tcW w:type="dxa" w:w="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39,69</w:t>
            </w:r>
          </w:p>
        </w:tc>
        <w:tc>
          <w:tcPr>
            <w:tcW w:type="dxa" w:w="1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1,8 × 10</w:t>
            </w:r>
            <w:r>
              <w:rPr>
                <w:rFonts w:ascii="Times New Roman" w:cs="Times New Roman" w:eastAsia="Times New Roman" w:hAnsi="Times New Roman"/>
                <w:b w:val="false"/>
                <w:bCs w:val="false"/>
                <w:sz w:val="19"/>
                <w:szCs w:val="19"/>
                <w:vertAlign w:val="superscript"/>
              </w:rPr>
              <w:t xml:space="preserve">-9</w:t>
            </w:r>
          </w:p>
        </w:tc>
        <w:tc>
          <w:tcPr>
            <w:tcW w:type="dxa" w:w="8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Sim</w:t>
            </w:r>
          </w:p>
        </w:tc>
      </w:tr>
      <w:tr>
        <w:trPr>
          <w:cantSplit/>
          <w:tblHeader w:val="false"/>
        </w:trPr>
        <w:tc>
          <w:tcPr>
            <w:tcW w:type="dxa" w:w="25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Floresta Aleatória vs. SVM</w:t>
            </w:r>
          </w:p>
        </w:tc>
        <w:tc>
          <w:tcPr>
            <w:tcW w:type="dxa" w:w="19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2,6 [-0,9; 6,0]</w:t>
            </w:r>
          </w:p>
        </w:tc>
        <w:tc>
          <w:tcPr>
            <w:tcW w:type="dxa" w:w="10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524 / 278</w:t>
            </w:r>
          </w:p>
        </w:tc>
        <w:tc>
          <w:tcPr>
            <w:tcW w:type="dxa" w:w="8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74,84</w:t>
            </w:r>
          </w:p>
        </w:tc>
        <w:tc>
          <w:tcPr>
            <w:tcW w:type="dxa" w:w="12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3,1 × 10</w:t>
            </w:r>
            <w:r>
              <w:rPr>
                <w:rFonts w:ascii="Times New Roman" w:cs="Times New Roman" w:eastAsia="Times New Roman" w:hAnsi="Times New Roman"/>
                <w:b w:val="false"/>
                <w:bCs w:val="false"/>
                <w:sz w:val="19"/>
                <w:szCs w:val="19"/>
                <w:vertAlign w:val="superscript"/>
              </w:rPr>
              <w:t xml:space="preserve">-17</w:t>
            </w:r>
          </w:p>
        </w:tc>
        <w:tc>
          <w:tcPr>
            <w:tcW w:type="dxa" w:w="8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Sim</w:t>
            </w:r>
          </w:p>
        </w:tc>
      </w:tr>
    </w:tbl>
    <w:p>
      <w:pPr>
        <w:spacing w:after="240" w:before="60" w:line="240"/>
        <w:jc w:val="both"/>
      </w:pPr>
      <w:r>
        <w:rPr>
          <w:rFonts w:ascii="Times New Roman" w:cs="Times New Roman" w:eastAsia="Times New Roman" w:hAnsi="Times New Roman"/>
          <w:i/>
          <w:iCs/>
          <w:sz w:val="18"/>
          <w:szCs w:val="18"/>
        </w:rPr>
        <w:t xml:space="preserve">Nota.</w:t>
      </w:r>
      <w:r>
        <w:rPr>
          <w:rFonts w:ascii="Times New Roman" w:cs="Times New Roman" w:eastAsia="Times New Roman" w:hAnsi="Times New Roman"/>
          <w:sz w:val="18"/>
          <w:szCs w:val="18"/>
        </w:rPr>
        <w:t xml:space="preserve"> n = 3.987. ΔF1 = F1-macro do primeiro modelo menos F1-macro do segundo. p (Bonferroni) = p do teste de McNemar multiplicado por 6 (limitado a 1). O teste de McNemar compara as proporções de acertos e erros; não testa directamente o F1-macro, razão pela qual se apresenta também o IC da diferença de F1.</w:t>
      </w:r>
    </w:p>
    <w:p>
      <w:pPr>
        <w:spacing w:after="120" w:before="0" w:line="360"/>
        <w:ind w:firstLine="567"/>
        <w:jc w:val="both"/>
      </w:pPr>
      <w:r>
        <w:rPr>
          <w:rFonts w:ascii="Times New Roman" w:cs="Times New Roman" w:eastAsia="Times New Roman" w:hAnsi="Times New Roman"/>
          <w:sz w:val="24"/>
          <w:szCs w:val="24"/>
        </w:rPr>
        <w:t xml:space="preserve">O BERTimbau supera os três modelos de referência com diferenças de F1-macro entre 14,6 e 17,4 p.p., cujos intervalos de confiança excluem largamente o zero, e com p corrigido inferior a 10</w:t>
      </w:r>
      <w:r>
        <w:rPr>
          <w:rFonts w:ascii="Times New Roman" w:cs="Times New Roman" w:eastAsia="Times New Roman" w:hAnsi="Times New Roman"/>
          <w:sz w:val="24"/>
          <w:szCs w:val="24"/>
          <w:vertAlign w:val="superscript"/>
        </w:rPr>
        <w:t xml:space="preserve">-47</w:t>
      </w:r>
      <w:r>
        <w:rPr>
          <w:rFonts w:ascii="Times New Roman" w:cs="Times New Roman" w:eastAsia="Times New Roman" w:hAnsi="Times New Roman"/>
          <w:sz w:val="24"/>
          <w:szCs w:val="24"/>
        </w:rPr>
        <w:t xml:space="preserve"> em todos os casos. Em cada par, o número de itens que só o BERTimbau acerta (473–714) é 4,1 a 6,5 vezes superior ao número de itens que só o outro modelo acerta (110–115).</w:t>
      </w:r>
    </w:p>
    <w:p>
      <w:pPr>
        <w:spacing w:after="120" w:before="0" w:line="360"/>
        <w:ind w:firstLine="567"/>
        <w:jc w:val="both"/>
      </w:pPr>
      <w:r>
        <w:rPr>
          <w:rFonts w:ascii="Times New Roman" w:cs="Times New Roman" w:eastAsia="Times New Roman" w:hAnsi="Times New Roman"/>
          <w:sz w:val="24"/>
          <w:szCs w:val="24"/>
        </w:rPr>
        <w:t xml:space="preserve">Entre os modelos de referência, o quadro é diferente. O Bi-LSTM e a Floresta Aleatória têm F1-macro praticamente iguais (ΔF1 = 0,2 p.p., IC 95% [-4,0; 4,2]) e a diferença nos acertos não é significativa após correcção (p = 0,175); a Floresta Aleatória acerta, aliás, mais itens isolados do que o Bi-LSTM (409 contra 348). O Bi-LSTM e a Floresta Aleatória acertam significativamente mais itens do que o SVM, mas as diferenças de F1-macro (2,8 e 2,6 p.p.) têm intervalos que incluem o zero. Só o BERTimbau se distingue, portanto, dos restantes. O Bi-LSTM não mostra vantagem consistente sobre os modelos clássicos neste corpus.</w:t>
      </w:r>
    </w:p>
    <w:p>
      <w:pPr>
        <w:pStyle w:val="Heading2"/>
        <w:keepNext/>
        <w:keepLines/>
        <w:spacing w:after="160" w:before="360" w:line="300"/>
      </w:pPr>
      <w:r>
        <w:rPr>
          <w:rFonts w:ascii="Times New Roman" w:cs="Times New Roman" w:eastAsia="Times New Roman" w:hAnsi="Times New Roman"/>
          <w:b/>
          <w:bCs/>
          <w:sz w:val="26"/>
          <w:szCs w:val="26"/>
        </w:rPr>
        <w:t xml:space="preserve">4.4 Desempenho por categoria e análise de erros</w:t>
      </w:r>
    </w:p>
    <w:p>
      <w:pPr>
        <w:spacing w:after="120" w:before="0" w:line="360"/>
        <w:ind w:firstLine="567"/>
        <w:jc w:val="both"/>
      </w:pPr>
      <w:r>
        <w:rPr>
          <w:rFonts w:ascii="Times New Roman" w:cs="Times New Roman" w:eastAsia="Times New Roman" w:hAnsi="Times New Roman"/>
          <w:sz w:val="24"/>
          <w:szCs w:val="24"/>
        </w:rPr>
        <w:t xml:space="preserve">A Tabela 4.4 desagrega o F1 por categoria. Para o BERTimbau, apresentam-se também a precisão, a sensibilidade (</w:t>
      </w:r>
      <w:r>
        <w:rPr>
          <w:rFonts w:ascii="Times New Roman" w:cs="Times New Roman" w:eastAsia="Times New Roman" w:hAnsi="Times New Roman"/>
          <w:i/>
          <w:iCs/>
          <w:sz w:val="24"/>
          <w:szCs w:val="24"/>
        </w:rPr>
        <w:t xml:space="preserve">recall</w:t>
      </w:r>
      <w:r>
        <w:rPr>
          <w:rFonts w:ascii="Times New Roman" w:cs="Times New Roman" w:eastAsia="Times New Roman" w:hAnsi="Times New Roman"/>
          <w:sz w:val="24"/>
          <w:szCs w:val="24"/>
        </w:rPr>
        <w:t xml:space="preserve">) e o IC 95% do F1 de cada categoria.</w:t>
      </w:r>
    </w:p>
    <w:p>
      <w:pPr>
        <w:pStyle w:val="LegendaTabela"/>
        <w:keepNext/>
        <w:spacing w:after="80" w:before="240" w:line="240"/>
        <w:jc w:val="center"/>
      </w:pPr>
      <w:r>
        <w:rPr>
          <w:rFonts w:ascii="Times New Roman" w:cs="Times New Roman" w:eastAsia="Times New Roman" w:hAnsi="Times New Roman"/>
          <w:b/>
          <w:bCs/>
          <w:sz w:val="20"/>
          <w:szCs w:val="20"/>
        </w:rPr>
        <w:t xml:space="preserve">Tabela 4.4 – F1 por categoria e modelo; precisão e sensibilidade do BERTimbau</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1950"/>
        <w:gridCol w:w="950"/>
        <w:gridCol w:w="700"/>
        <w:gridCol w:w="850"/>
        <w:gridCol w:w="1650"/>
        <w:gridCol w:w="1060"/>
        <w:gridCol w:w="1060"/>
      </w:tblGrid>
      <w:tr>
        <w:trPr>
          <w:cantSplit/>
          <w:tblHeader/>
        </w:trPr>
        <w:tc>
          <w:tcPr>
            <w:tcW w:type="dxa" w:w="195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Categoria</w:t>
            </w:r>
          </w:p>
        </w:tc>
        <w:tc>
          <w:tcPr>
            <w:tcW w:type="dxa" w:w="95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F. Aleatória</w:t>
            </w:r>
          </w:p>
        </w:tc>
        <w:tc>
          <w:tcPr>
            <w:tcW w:type="dxa" w:w="7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SVM</w:t>
            </w:r>
          </w:p>
        </w:tc>
        <w:tc>
          <w:tcPr>
            <w:tcW w:type="dxa" w:w="85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Bi-LSTM</w:t>
            </w:r>
          </w:p>
        </w:tc>
        <w:tc>
          <w:tcPr>
            <w:tcW w:type="dxa" w:w="165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BERTimbau F1 [IC 95%]</w:t>
            </w:r>
          </w:p>
        </w:tc>
        <w:tc>
          <w:tcPr>
            <w:tcW w:type="dxa" w:w="106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Precisão ᵃ</w:t>
            </w:r>
          </w:p>
        </w:tc>
        <w:tc>
          <w:tcPr>
            <w:tcW w:type="dxa" w:w="106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Sensib. ᵃ</w:t>
            </w:r>
          </w:p>
        </w:tc>
      </w:tr>
      <w:tr>
        <w:trPr>
          <w:cantSplit/>
          <w:tblHeader w:val="false"/>
        </w:trPr>
        <w:tc>
          <w:tcPr>
            <w:tcW w:type="dxa" w:w="19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Normal (n = 2.843)</w:t>
            </w:r>
          </w:p>
        </w:tc>
        <w:tc>
          <w:tcPr>
            <w:tcW w:type="dxa" w:w="9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0,889</w:t>
            </w:r>
          </w:p>
        </w:tc>
        <w:tc>
          <w:tcPr>
            <w:tcW w:type="dxa" w:w="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0,836</w:t>
            </w:r>
          </w:p>
        </w:tc>
        <w:tc>
          <w:tcPr>
            <w:tcW w:type="dxa" w:w="8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0,875</w:t>
            </w:r>
          </w:p>
        </w:tc>
        <w:tc>
          <w:tcPr>
            <w:tcW w:type="dxa" w:w="16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0,952</w:t>
            </w:r>
            <w:r>
              <w:rPr>
                <w:rFonts w:ascii="Times New Roman" w:cs="Times New Roman" w:eastAsia="Times New Roman" w:hAnsi="Times New Roman"/>
                <w:b w:val="false"/>
                <w:bCs w:val="false"/>
                <w:sz w:val="19"/>
                <w:szCs w:val="19"/>
              </w:rPr>
              <w:t xml:space="preserve"> [0,95; 0,96]</w:t>
            </w:r>
          </w:p>
        </w:tc>
        <w:tc>
          <w:tcPr>
            <w:tcW w:type="dxa" w:w="10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0,952</w:t>
            </w:r>
          </w:p>
        </w:tc>
        <w:tc>
          <w:tcPr>
            <w:tcW w:type="dxa" w:w="10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0,951</w:t>
            </w:r>
          </w:p>
        </w:tc>
      </w:tr>
      <w:tr>
        <w:trPr>
          <w:cantSplit/>
          <w:tblHeader w:val="false"/>
        </w:trPr>
        <w:tc>
          <w:tcPr>
            <w:tcW w:type="dxa" w:w="19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Desinformacao (n = 580)</w:t>
            </w:r>
          </w:p>
        </w:tc>
        <w:tc>
          <w:tcPr>
            <w:tcW w:type="dxa" w:w="9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0,922</w:t>
            </w:r>
          </w:p>
        </w:tc>
        <w:tc>
          <w:tcPr>
            <w:tcW w:type="dxa" w:w="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0,871</w:t>
            </w:r>
          </w:p>
        </w:tc>
        <w:tc>
          <w:tcPr>
            <w:tcW w:type="dxa" w:w="8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0,815</w:t>
            </w:r>
          </w:p>
        </w:tc>
        <w:tc>
          <w:tcPr>
            <w:tcW w:type="dxa" w:w="16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0,947</w:t>
            </w:r>
            <w:r>
              <w:rPr>
                <w:rFonts w:ascii="Times New Roman" w:cs="Times New Roman" w:eastAsia="Times New Roman" w:hAnsi="Times New Roman"/>
                <w:b w:val="false"/>
                <w:bCs w:val="false"/>
                <w:sz w:val="19"/>
                <w:szCs w:val="19"/>
              </w:rPr>
              <w:t xml:space="preserve"> [0,93; 0,96]</w:t>
            </w:r>
          </w:p>
        </w:tc>
        <w:tc>
          <w:tcPr>
            <w:tcW w:type="dxa" w:w="10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0,947</w:t>
            </w:r>
          </w:p>
        </w:tc>
        <w:tc>
          <w:tcPr>
            <w:tcW w:type="dxa" w:w="10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0,948</w:t>
            </w:r>
          </w:p>
        </w:tc>
      </w:tr>
      <w:tr>
        <w:trPr>
          <w:cantSplit/>
          <w:tblHeader w:val="false"/>
        </w:trPr>
        <w:tc>
          <w:tcPr>
            <w:tcW w:type="dxa" w:w="19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Odio (n = 517)</w:t>
            </w:r>
          </w:p>
        </w:tc>
        <w:tc>
          <w:tcPr>
            <w:tcW w:type="dxa" w:w="9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0,455</w:t>
            </w:r>
          </w:p>
        </w:tc>
        <w:tc>
          <w:tcPr>
            <w:tcW w:type="dxa" w:w="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0,497</w:t>
            </w:r>
          </w:p>
        </w:tc>
        <w:tc>
          <w:tcPr>
            <w:tcW w:type="dxa" w:w="8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0,585</w:t>
            </w:r>
          </w:p>
        </w:tc>
        <w:tc>
          <w:tcPr>
            <w:tcW w:type="dxa" w:w="16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0,778</w:t>
            </w:r>
            <w:r>
              <w:rPr>
                <w:rFonts w:ascii="Times New Roman" w:cs="Times New Roman" w:eastAsia="Times New Roman" w:hAnsi="Times New Roman"/>
                <w:b w:val="false"/>
                <w:bCs w:val="false"/>
                <w:sz w:val="19"/>
                <w:szCs w:val="19"/>
              </w:rPr>
              <w:t xml:space="preserve"> [0,75; 0,80]</w:t>
            </w:r>
          </w:p>
        </w:tc>
        <w:tc>
          <w:tcPr>
            <w:tcW w:type="dxa" w:w="10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0,783</w:t>
            </w:r>
          </w:p>
        </w:tc>
        <w:tc>
          <w:tcPr>
            <w:tcW w:type="dxa" w:w="10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0,774</w:t>
            </w:r>
          </w:p>
        </w:tc>
      </w:tr>
      <w:tr>
        <w:trPr>
          <w:cantSplit/>
          <w:tblHeader w:val="false"/>
        </w:trPr>
        <w:tc>
          <w:tcPr>
            <w:tcW w:type="dxa" w:w="19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Mobilizacao (n = 47)</w:t>
            </w:r>
          </w:p>
        </w:tc>
        <w:tc>
          <w:tcPr>
            <w:tcW w:type="dxa" w:w="9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0,368</w:t>
            </w:r>
          </w:p>
        </w:tc>
        <w:tc>
          <w:tcPr>
            <w:tcW w:type="dxa" w:w="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0,326</w:t>
            </w:r>
          </w:p>
        </w:tc>
        <w:tc>
          <w:tcPr>
            <w:tcW w:type="dxa" w:w="8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0,367</w:t>
            </w:r>
          </w:p>
        </w:tc>
        <w:tc>
          <w:tcPr>
            <w:tcW w:type="dxa" w:w="16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0,549</w:t>
            </w:r>
            <w:r>
              <w:rPr>
                <w:rFonts w:ascii="Times New Roman" w:cs="Times New Roman" w:eastAsia="Times New Roman" w:hAnsi="Times New Roman"/>
                <w:b w:val="false"/>
                <w:bCs w:val="false"/>
                <w:sz w:val="19"/>
                <w:szCs w:val="19"/>
              </w:rPr>
              <w:t xml:space="preserve"> [0,42; 0,66]</w:t>
            </w:r>
          </w:p>
        </w:tc>
        <w:tc>
          <w:tcPr>
            <w:tcW w:type="dxa" w:w="10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0,509</w:t>
            </w:r>
          </w:p>
        </w:tc>
        <w:tc>
          <w:tcPr>
            <w:tcW w:type="dxa" w:w="10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0,596</w:t>
            </w:r>
          </w:p>
        </w:tc>
      </w:tr>
      <w:tr>
        <w:trPr>
          <w:cantSplit/>
          <w:tblHeader w:val="false"/>
        </w:trPr>
        <w:tc>
          <w:tcPr>
            <w:tcW w:type="dxa" w:w="195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F1-macro</w:t>
            </w:r>
          </w:p>
        </w:tc>
        <w:tc>
          <w:tcPr>
            <w:tcW w:type="dxa" w:w="95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0,659</w:t>
            </w:r>
          </w:p>
        </w:tc>
        <w:tc>
          <w:tcPr>
            <w:tcW w:type="dxa" w:w="7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0,633</w:t>
            </w:r>
          </w:p>
        </w:tc>
        <w:tc>
          <w:tcPr>
            <w:tcW w:type="dxa" w:w="85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0,660</w:t>
            </w:r>
          </w:p>
        </w:tc>
        <w:tc>
          <w:tcPr>
            <w:tcW w:type="dxa" w:w="165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0,807</w:t>
            </w:r>
          </w:p>
        </w:tc>
        <w:tc>
          <w:tcPr>
            <w:tcW w:type="dxa" w:w="106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0,798</w:t>
            </w:r>
          </w:p>
        </w:tc>
        <w:tc>
          <w:tcPr>
            <w:tcW w:type="dxa" w:w="106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0,817</w:t>
            </w:r>
          </w:p>
        </w:tc>
      </w:tr>
    </w:tbl>
    <w:p>
      <w:pPr>
        <w:spacing w:after="240" w:before="60" w:line="240"/>
        <w:jc w:val="both"/>
      </w:pPr>
      <w:r>
        <w:rPr>
          <w:rFonts w:ascii="Times New Roman" w:cs="Times New Roman" w:eastAsia="Times New Roman" w:hAnsi="Times New Roman"/>
          <w:i/>
          <w:iCs/>
          <w:sz w:val="18"/>
          <w:szCs w:val="18"/>
        </w:rPr>
        <w:t xml:space="preserve">Nota.</w:t>
      </w:r>
      <w:r>
        <w:rPr>
          <w:rFonts w:ascii="Times New Roman" w:cs="Times New Roman" w:eastAsia="Times New Roman" w:hAnsi="Times New Roman"/>
          <w:sz w:val="18"/>
          <w:szCs w:val="18"/>
        </w:rPr>
        <w:t xml:space="preserve"> ᵃ Precisão e sensibilidade do BERTimbau; na última linha, médias macro.</w:t>
      </w:r>
    </w:p>
    <w:p>
      <w:pPr>
        <w:spacing w:after="120" w:before="0" w:line="360"/>
        <w:ind w:firstLine="567"/>
        <w:jc w:val="both"/>
      </w:pPr>
      <w:r>
        <w:rPr>
          <w:rFonts w:ascii="Times New Roman" w:cs="Times New Roman" w:eastAsia="Times New Roman" w:hAnsi="Times New Roman"/>
          <w:sz w:val="24"/>
          <w:szCs w:val="24"/>
        </w:rPr>
        <w:t xml:space="preserve">O BERTimbau alcança F1 de 0,952 na Normal e 0,947 na Desinformacao, 0,778 no Odio e 0,549 na Mobilizacao. A vantagem sobre os modelos de referência é maior no Odio (0,778 contra 0,455–0,585), categoria em que a Floresta Aleatória classifica como Normal a maioria dos itens de ódio, e na Mobilizacao (0,549 contra 0,326–0,368). Na Desinformacao, a diferença é menor (0,947 contra 0,815–0,922), porque todos os modelos obtêm valores elevados nesta categoria.</w:t>
      </w:r>
    </w:p>
    <w:p>
      <w:pPr>
        <w:spacing w:after="120" w:before="0" w:line="360"/>
        <w:ind w:firstLine="567"/>
        <w:jc w:val="both"/>
      </w:pPr>
      <w:r>
        <w:rPr>
          <w:rFonts w:ascii="Times New Roman" w:cs="Times New Roman" w:eastAsia="Times New Roman" w:hAnsi="Times New Roman"/>
          <w:sz w:val="24"/>
          <w:szCs w:val="24"/>
        </w:rPr>
        <w:t xml:space="preserve">A Mobilizacao é a categoria de maior relevância operacional e a de estimativa menos precisa. O BERTimbau identificou 28 dos 47 itens de teste (sensibilidade de 0,596) e produziu 27 falsos positivos (precisão de 0,509). O IC 95% do F1 desta categoria, [0,42; 0,66], tem uma amplitude superior a 20 p.p., consequência directa do número reduzido de exemplos. A Figura 4.2 apresenta as matrizes de confusão dos quatro modelos.</w:t>
      </w:r>
    </w:p>
    <w:p>
      <w:pPr>
        <w:keepNext/>
        <w:spacing w:after="40" w:before="160"/>
        <w:jc w:val="center"/>
      </w:pPr>
      <w:r>
        <w:drawing>
          <wp:inline distT="0" distB="0" distL="0" distR="0">
            <wp:extent cx="5400675" cy="5162550"/>
            <wp:effectExtent t="0" r="0" b="0" l="0"/>
            <wp:docPr id="1" name="fig4_2_confusao.png" descr="fig4_2_confusao.png" title="fig4_2_confusa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400675" cy="5162550"/>
                    </a:xfrm>
                    <a:prstGeom prst="rect">
                      <a:avLst/>
                    </a:prstGeom>
                  </pic:spPr>
                </pic:pic>
              </a:graphicData>
            </a:graphic>
          </wp:inline>
        </w:drawing>
      </w:r>
    </w:p>
    <w:p>
      <w:pPr>
        <w:pStyle w:val="LegendaFigura"/>
        <w:spacing w:after="120" w:before="60" w:line="240"/>
        <w:jc w:val="center"/>
      </w:pPr>
      <w:r>
        <w:rPr>
          <w:rFonts w:ascii="Times New Roman" w:cs="Times New Roman" w:eastAsia="Times New Roman" w:hAnsi="Times New Roman"/>
          <w:b/>
          <w:bCs/>
          <w:sz w:val="20"/>
          <w:szCs w:val="20"/>
        </w:rPr>
        <w:t xml:space="preserve">Figura 4.2 – Matrizes de confusão (4 × 4) no conjunto de teste (contagens e percentagem por linha)</w:t>
      </w:r>
    </w:p>
    <w:p>
      <w:pPr>
        <w:spacing w:after="120" w:before="0" w:line="360"/>
        <w:ind w:firstLine="567"/>
        <w:jc w:val="both"/>
      </w:pPr>
      <w:r>
        <w:rPr>
          <w:rFonts w:ascii="Times New Roman" w:cs="Times New Roman" w:eastAsia="Times New Roman" w:hAnsi="Times New Roman"/>
          <w:sz w:val="24"/>
          <w:szCs w:val="24"/>
        </w:rPr>
        <w:t xml:space="preserve">Três padrões de erro são comuns aos quatro modelos. O primeiro, e mais frequente, é a confusão entre Normal e Odio: no BERTimbau, 100 itens Normais foram classificados como Odio e 104 itens de Odio como Normais, o que corresponde a 20% dos itens de ódio. Trata-se de uma fronteira conceptualmente difícil, que envolve ódio implícito, ironia e insulto sem alvo identitário. O segundo padrão é a classificação de Mobilizacao como Normal (12 dos 47 itens no BERTimbau; 16 no Bi-LSTM, 24 na Floresta Aleatória e 7 no SVM), que reproduz a fronteira, assumida no Guia de Anotação, entre convocatória legítima e mobilização hostil. O terceiro padrão é a quase ausência de confusões que envolvam a Desinformacao nos corpora públicos, que se analisa na Secção 4.6.</w:t>
      </w:r>
    </w:p>
    <w:p>
      <w:pPr>
        <w:spacing w:after="120" w:before="0" w:line="360"/>
        <w:ind w:firstLine="567"/>
        <w:jc w:val="both"/>
      </w:pPr>
      <w:r>
        <w:rPr>
          <w:rFonts w:ascii="Times New Roman" w:cs="Times New Roman" w:eastAsia="Times New Roman" w:hAnsi="Times New Roman"/>
          <w:sz w:val="24"/>
          <w:szCs w:val="24"/>
        </w:rPr>
        <w:t xml:space="preserve">Do ponto de vista operacional, uma sensibilidade de cerca de 0,60 com precisão de cerca de 0,51 na Mobilizacao significa que o modelo deixa escapar aproximadamente quatro em cada dez itens desta categoria e que cerca de metade dos seus alertas desta categoria são falsos positivos. Estes valores são incompatíveis com qualquer uso automático das classificações e sustentam o desenho do sistema como ferramenta de triagem com revisão humana obrigatória (Secção 4.7).</w:t>
      </w:r>
    </w:p>
    <w:p>
      <w:pPr>
        <w:pStyle w:val="Heading2"/>
        <w:keepNext/>
        <w:keepLines/>
        <w:spacing w:after="160" w:before="360" w:line="300"/>
      </w:pPr>
      <w:r>
        <w:rPr>
          <w:rFonts w:ascii="Times New Roman" w:cs="Times New Roman" w:eastAsia="Times New Roman" w:hAnsi="Times New Roman"/>
          <w:b/>
          <w:bCs/>
          <w:sz w:val="26"/>
          <w:szCs w:val="26"/>
        </w:rPr>
        <w:t xml:space="preserve">4.5 Análises de robustez</w:t>
      </w:r>
    </w:p>
    <w:p>
      <w:pPr>
        <w:pStyle w:val="Heading3"/>
        <w:keepNext/>
        <w:spacing w:after="120" w:before="240"/>
      </w:pPr>
      <w:r>
        <w:rPr>
          <w:rFonts w:ascii="Times New Roman" w:cs="Times New Roman" w:eastAsia="Times New Roman" w:hAnsi="Times New Roman"/>
          <w:b/>
          <w:bCs/>
          <w:sz w:val="24"/>
          <w:szCs w:val="24"/>
        </w:rPr>
        <w:t xml:space="preserve">4.5.1 Variabilidade entre sementes, ensemble e ablações</w:t>
      </w:r>
    </w:p>
    <w:p>
      <w:pPr>
        <w:spacing w:after="120" w:before="0" w:line="360"/>
        <w:ind w:firstLine="567"/>
        <w:jc w:val="both"/>
      </w:pPr>
      <w:r>
        <w:rPr>
          <w:rFonts w:ascii="Times New Roman" w:cs="Times New Roman" w:eastAsia="Times New Roman" w:hAnsi="Times New Roman"/>
          <w:sz w:val="24"/>
          <w:szCs w:val="24"/>
        </w:rPr>
        <w:t xml:space="preserve">Para avaliar a estabilidade do resultado do BERTimbau, o ajuste fino foi repetido com três sementes aleatórias (42, 43 e 44) e foram testadas três variantes: a média das probabilidades das três sementes (</w:t>
      </w:r>
      <w:r>
        <w:rPr>
          <w:rFonts w:ascii="Times New Roman" w:cs="Times New Roman" w:eastAsia="Times New Roman" w:hAnsi="Times New Roman"/>
          <w:i/>
          <w:iCs/>
          <w:sz w:val="24"/>
          <w:szCs w:val="24"/>
        </w:rPr>
        <w:t xml:space="preserve">ensemble</w:t>
      </w:r>
      <w:r>
        <w:rPr>
          <w:rFonts w:ascii="Times New Roman" w:cs="Times New Roman" w:eastAsia="Times New Roman" w:hAnsi="Times New Roman"/>
          <w:sz w:val="24"/>
          <w:szCs w:val="24"/>
        </w:rPr>
        <w:t xml:space="preserve">), o treino sem o lote enriquecido por selecção temática de vídeos (ablação) e pesos de classe suavizados (expoente 0,5 sobre o inverso da frequência). A Tabela 4.5 reúne os resultados.</w:t>
      </w:r>
    </w:p>
    <w:p>
      <w:pPr>
        <w:pStyle w:val="LegendaTabela"/>
        <w:keepNext/>
        <w:spacing w:after="80" w:before="240" w:line="240"/>
        <w:jc w:val="center"/>
      </w:pPr>
      <w:r>
        <w:rPr>
          <w:rFonts w:ascii="Times New Roman" w:cs="Times New Roman" w:eastAsia="Times New Roman" w:hAnsi="Times New Roman"/>
          <w:b/>
          <w:bCs/>
          <w:sz w:val="20"/>
          <w:szCs w:val="20"/>
        </w:rPr>
        <w:t xml:space="preserve">Tabela 4.5 – Variantes do BERTimbau: validação, teste e comparação com a referência</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1150"/>
        <w:gridCol w:w="2000"/>
        <w:gridCol w:w="1250"/>
        <w:gridCol w:w="1320"/>
      </w:tblGrid>
      <w:tr>
        <w:trPr>
          <w:cantSplit/>
          <w:tblHeader/>
        </w:trPr>
        <w:tc>
          <w:tcPr>
            <w:tcW w:type="dxa" w:w="25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Variante</w:t>
            </w:r>
          </w:p>
        </w:tc>
        <w:tc>
          <w:tcPr>
            <w:tcW w:type="dxa" w:w="115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F1-macro validação</w:t>
            </w:r>
          </w:p>
        </w:tc>
        <w:tc>
          <w:tcPr>
            <w:tcW w:type="dxa" w:w="20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F1-macro teste [IC 95%]</w:t>
            </w:r>
          </w:p>
        </w:tc>
        <w:tc>
          <w:tcPr>
            <w:tcW w:type="dxa" w:w="125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F1 Mobil. (teste)</w:t>
            </w:r>
          </w:p>
        </w:tc>
        <w:tc>
          <w:tcPr>
            <w:tcW w:type="dxa" w:w="13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p McNemar vs. referência</w:t>
            </w:r>
          </w:p>
        </w:tc>
      </w:tr>
      <w:tr>
        <w:trPr>
          <w:cantSplit/>
          <w:tblHeader w:val="false"/>
        </w:trPr>
        <w:tc>
          <w:tcPr>
            <w:tcW w:type="dxa" w:w="2500"/>
            <w:tcBorders>
              <w:top w:val="none" w:color="FFFFFF" w:sz="0"/>
              <w:left w:val="none" w:color="FFFFFF" w:sz="0"/>
              <w:bottom w:val="none" w:color="FFFFFF" w:sz="0"/>
              <w:right w:val="none" w:color="FFFFFF" w:sz="0"/>
            </w:tcBorders>
            <w:shd w:fill="F3F2EE"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Referência (semente 42)</w:t>
            </w:r>
          </w:p>
        </w:tc>
        <w:tc>
          <w:tcPr>
            <w:tcW w:type="dxa" w:w="1150"/>
            <w:tcBorders>
              <w:top w:val="none" w:color="FFFFFF" w:sz="0"/>
              <w:left w:val="none" w:color="FFFFFF" w:sz="0"/>
              <w:bottom w:val="none" w:color="FFFFFF" w:sz="0"/>
              <w:right w:val="none" w:color="FFFFFF" w:sz="0"/>
            </w:tcBorders>
            <w:shd w:fill="F3F2EE"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0,814</w:t>
            </w:r>
          </w:p>
        </w:tc>
        <w:tc>
          <w:tcPr>
            <w:tcW w:type="dxa" w:w="2000"/>
            <w:tcBorders>
              <w:top w:val="none" w:color="FFFFFF" w:sz="0"/>
              <w:left w:val="none" w:color="FFFFFF" w:sz="0"/>
              <w:bottom w:val="none" w:color="FFFFFF" w:sz="0"/>
              <w:right w:val="none" w:color="FFFFFF" w:sz="0"/>
            </w:tcBorders>
            <w:shd w:fill="F3F2EE"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0,807 [0,774; 0,838]</w:t>
            </w:r>
          </w:p>
        </w:tc>
        <w:tc>
          <w:tcPr>
            <w:tcW w:type="dxa" w:w="1250"/>
            <w:tcBorders>
              <w:top w:val="none" w:color="FFFFFF" w:sz="0"/>
              <w:left w:val="none" w:color="FFFFFF" w:sz="0"/>
              <w:bottom w:val="none" w:color="FFFFFF" w:sz="0"/>
              <w:right w:val="none" w:color="FFFFFF" w:sz="0"/>
            </w:tcBorders>
            <w:shd w:fill="F3F2EE"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0,549</w:t>
            </w:r>
          </w:p>
        </w:tc>
        <w:tc>
          <w:tcPr>
            <w:tcW w:type="dxa" w:w="1320"/>
            <w:tcBorders>
              <w:top w:val="none" w:color="FFFFFF" w:sz="0"/>
              <w:left w:val="none" w:color="FFFFFF" w:sz="0"/>
              <w:bottom w:val="none" w:color="FFFFFF" w:sz="0"/>
              <w:right w:val="none" w:color="FFFFFF" w:sz="0"/>
            </w:tcBorders>
            <w:shd w:fill="F3F2EE"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w:t>
            </w:r>
          </w:p>
        </w:tc>
      </w:tr>
      <w:tr>
        <w:trPr>
          <w:cantSplit/>
          <w:tblHeader w:val="false"/>
        </w:trPr>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Semente 43</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0,811</w:t>
            </w:r>
          </w:p>
        </w:tc>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0,785 [0,752; 0,816]</w:t>
            </w:r>
          </w:p>
        </w:tc>
        <w:tc>
          <w:tcPr>
            <w:tcW w:type="dxa" w:w="12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0,472</w:t>
            </w:r>
          </w:p>
        </w:tc>
        <w:tc>
          <w:tcPr>
            <w:tcW w:type="dxa" w:w="13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0,059</w:t>
            </w:r>
          </w:p>
        </w:tc>
      </w:tr>
      <w:tr>
        <w:trPr>
          <w:cantSplit/>
          <w:tblHeader w:val="false"/>
        </w:trPr>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Semente 44</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0,816</w:t>
            </w:r>
          </w:p>
        </w:tc>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0,801 [0,769; 0,830]</w:t>
            </w:r>
          </w:p>
        </w:tc>
        <w:tc>
          <w:tcPr>
            <w:tcW w:type="dxa" w:w="12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0,549</w:t>
            </w:r>
          </w:p>
        </w:tc>
        <w:tc>
          <w:tcPr>
            <w:tcW w:type="dxa" w:w="13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0,002</w:t>
            </w:r>
          </w:p>
        </w:tc>
      </w:tr>
      <w:tr>
        <w:trPr>
          <w:cantSplit/>
          <w:tblHeader w:val="false"/>
        </w:trPr>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Ensemble (média das 3 sementes)</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0,820</w:t>
            </w:r>
          </w:p>
        </w:tc>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0,807 [0,775; 0,836]</w:t>
            </w:r>
          </w:p>
        </w:tc>
        <w:tc>
          <w:tcPr>
            <w:tcW w:type="dxa" w:w="12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0,545</w:t>
            </w:r>
          </w:p>
        </w:tc>
        <w:tc>
          <w:tcPr>
            <w:tcW w:type="dxa" w:w="13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0,520</w:t>
            </w:r>
          </w:p>
        </w:tc>
      </w:tr>
      <w:tr>
        <w:trPr>
          <w:cantSplit/>
          <w:tblHeader w:val="false"/>
        </w:trPr>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Sem lote de vídeos temáticos</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0,815</w:t>
            </w:r>
          </w:p>
        </w:tc>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0,799 [0,765; 0,830]</w:t>
            </w:r>
          </w:p>
        </w:tc>
        <w:tc>
          <w:tcPr>
            <w:tcW w:type="dxa" w:w="12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0,529</w:t>
            </w:r>
          </w:p>
        </w:tc>
        <w:tc>
          <w:tcPr>
            <w:tcW w:type="dxa" w:w="13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0,406</w:t>
            </w:r>
          </w:p>
        </w:tc>
      </w:tr>
      <w:tr>
        <w:trPr>
          <w:cantSplit/>
          <w:tblHeader w:val="false"/>
        </w:trPr>
        <w:tc>
          <w:tcPr>
            <w:tcW w:type="dxa" w:w="25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Pesos de classe suavizados (0,5)</w:t>
            </w:r>
          </w:p>
        </w:tc>
        <w:tc>
          <w:tcPr>
            <w:tcW w:type="dxa" w:w="115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0,826</w:t>
            </w:r>
          </w:p>
        </w:tc>
        <w:tc>
          <w:tcPr>
            <w:tcW w:type="dxa" w:w="20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0,799 [0,761; 0,832]</w:t>
            </w:r>
          </w:p>
        </w:tc>
        <w:tc>
          <w:tcPr>
            <w:tcW w:type="dxa" w:w="125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0,518</w:t>
            </w:r>
          </w:p>
        </w:tc>
        <w:tc>
          <w:tcPr>
            <w:tcW w:type="dxa" w:w="13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0,718</w:t>
            </w:r>
          </w:p>
        </w:tc>
      </w:tr>
    </w:tbl>
    <w:p>
      <w:pPr>
        <w:spacing w:after="240" w:before="60" w:line="240"/>
        <w:jc w:val="both"/>
      </w:pPr>
      <w:r>
        <w:rPr>
          <w:rFonts w:ascii="Times New Roman" w:cs="Times New Roman" w:eastAsia="Times New Roman" w:hAnsi="Times New Roman"/>
          <w:i/>
          <w:iCs/>
          <w:sz w:val="18"/>
          <w:szCs w:val="18"/>
        </w:rPr>
        <w:t xml:space="preserve">Nota.</w:t>
      </w:r>
      <w:r>
        <w:rPr>
          <w:rFonts w:ascii="Times New Roman" w:cs="Times New Roman" w:eastAsia="Times New Roman" w:hAnsi="Times New Roman"/>
          <w:sz w:val="18"/>
          <w:szCs w:val="18"/>
        </w:rPr>
        <w:t xml:space="preserve"> Média ± desvio-padrão do F1-macro de teste nas três sementes: 0,797 ± 0,011. Valores de p sem correcção para comparações múltiplas.</w:t>
      </w:r>
    </w:p>
    <w:p>
      <w:pPr>
        <w:spacing w:after="120" w:before="0" w:line="360"/>
        <w:ind w:firstLine="567"/>
        <w:jc w:val="both"/>
      </w:pPr>
      <w:r>
        <w:rPr>
          <w:rFonts w:ascii="Times New Roman" w:cs="Times New Roman" w:eastAsia="Times New Roman" w:hAnsi="Times New Roman"/>
          <w:sz w:val="24"/>
          <w:szCs w:val="24"/>
        </w:rPr>
        <w:t xml:space="preserve">O F1-macro de teste varia entre 0,785 e 0,807 consoante a semente, com média de 0,797 ± 0,011. A semente 42 é a configuração de referência, definida antes das restantes execuções, mas é também a que obteve o valor de teste mais elevado; por isso, a média das três sementes (0,797) constitui a estimativa mais representativa do desempenho esperado do BERTimbau neste protocolo. A variabilidade concentra-se na Mobilizacao, cujo F1 oscila entre 0,472 e 0,549. Embora os F1-macro sejam próximos, as sementes 42 e 44 diferem significativamente nos itens que acertam (p = 0,002), o que confirma que, com 47 itens de Mobilizacao, as decisões individuais do modelo nesta categoria são sensíveis à inicialização.</w:t>
      </w:r>
    </w:p>
    <w:p>
      <w:pPr>
        <w:spacing w:after="120" w:before="0" w:line="360"/>
        <w:ind w:firstLine="567"/>
        <w:jc w:val="both"/>
      </w:pPr>
      <w:r>
        <w:rPr>
          <w:rFonts w:ascii="Times New Roman" w:cs="Times New Roman" w:eastAsia="Times New Roman" w:hAnsi="Times New Roman"/>
          <w:sz w:val="24"/>
          <w:szCs w:val="24"/>
        </w:rPr>
        <w:t xml:space="preserve">Nenhuma das variantes se distingue da referência no conjunto de teste (p &gt; 0,40). A variante com pesos suavizados obteve o melhor F1-macro de validação (0,826), mas no teste ficou em 0,799, com F1 de Mobilizacao inferior (0,518). De acordo com o critério fixado antes das experiências (adoptar uma variante apenas se esta se distinguir da referência), manteve-se a configuração de referência. A ablação do lote de vídeos temáticos reduziu o F1-macro de 0,807 para 0,799 e o F1 de Mobilizacao de 0,549 para 0,529, diferenças que não são estatisticamente distinguíveis (p = 0,41): o contributo desse lote existe na direcção esperada, mas não é demonstrável com a dimensão actual do teste.</w:t>
      </w:r>
    </w:p>
    <w:p>
      <w:pPr>
        <w:spacing w:after="120" w:before="0" w:line="360"/>
        <w:ind w:firstLine="567"/>
        <w:jc w:val="both"/>
      </w:pPr>
      <w:r>
        <w:rPr>
          <w:rFonts w:ascii="Times New Roman" w:cs="Times New Roman" w:eastAsia="Times New Roman" w:hAnsi="Times New Roman"/>
          <w:sz w:val="24"/>
          <w:szCs w:val="24"/>
        </w:rPr>
        <w:t xml:space="preserve">O modelo usado no protótipo do sistema (Secção 3.8) resulta de um novo treino com a configuração de referência, porque os pesos da corrida original não foram guardados. A divisão dos dados foi reconstruída e verificada item a item: as etiquetas de validação e de teste coincidem integralmente com as da corrida de referência. O novo modelo obteve F1-macro de 0,808 (IC 95% [0,773; 0,839]), contra 0,807 na referência; a diferença (0,1 p.p., IC 95% [-1,5; 1,8]) não é significativa (McNemar, p = 0,41), e os dois modelos dão a mesma previsão em 97,4% dos itens de teste. Os resultados deste capítulo referem-se à corrida de referência; o modelo do protótipo é, para efeitos práticos, equivalente.</w:t>
      </w:r>
    </w:p>
    <w:p>
      <w:pPr>
        <w:pStyle w:val="Heading3"/>
        <w:keepNext/>
        <w:spacing w:after="120" w:before="240"/>
      </w:pPr>
      <w:r>
        <w:rPr>
          <w:rFonts w:ascii="Times New Roman" w:cs="Times New Roman" w:eastAsia="Times New Roman" w:hAnsi="Times New Roman"/>
          <w:b/>
          <w:bCs/>
          <w:sz w:val="24"/>
          <w:szCs w:val="24"/>
        </w:rPr>
        <w:t xml:space="preserve">4.5.2 Ajuste de limiares de decisão</w:t>
      </w:r>
    </w:p>
    <w:p>
      <w:pPr>
        <w:spacing w:after="120" w:before="0" w:line="360"/>
        <w:ind w:firstLine="567"/>
        <w:jc w:val="both"/>
      </w:pPr>
      <w:r>
        <w:rPr>
          <w:rFonts w:ascii="Times New Roman" w:cs="Times New Roman" w:eastAsia="Times New Roman" w:hAnsi="Times New Roman"/>
          <w:sz w:val="24"/>
          <w:szCs w:val="24"/>
        </w:rPr>
        <w:t xml:space="preserve">Avaliou-se também o ajuste de vieses por classe sobre as log-probabilidades de cada modelo, escolhidos no conjunto de validação. Como os vieses são escolhidos nos mesmos dados em que se medem, o ganho na validação é optimista; por isso, o ganho esperado foi estimado por validação cruzada dentro do conjunto de validação e confirmado no teste (Tabela 4.6).</w:t>
      </w:r>
    </w:p>
    <w:p>
      <w:pPr>
        <w:pStyle w:val="LegendaTabela"/>
        <w:keepNext/>
        <w:spacing w:after="80" w:before="240" w:line="240"/>
        <w:jc w:val="center"/>
      </w:pPr>
      <w:r>
        <w:rPr>
          <w:rFonts w:ascii="Times New Roman" w:cs="Times New Roman" w:eastAsia="Times New Roman" w:hAnsi="Times New Roman"/>
          <w:b/>
          <w:bCs/>
          <w:sz w:val="20"/>
          <w:szCs w:val="20"/>
        </w:rPr>
        <w:t xml:space="preserve">Tabela 4.6 – Efeito do ajuste de limiares no F1-macro</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1700"/>
        <w:gridCol w:w="1700"/>
        <w:gridCol w:w="1520"/>
      </w:tblGrid>
      <w:tr>
        <w:trPr>
          <w:cantSplit/>
          <w:tblHeader/>
        </w:trPr>
        <w:tc>
          <w:tcPr>
            <w:tcW w:type="dxa" w:w="17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Modelo</w:t>
            </w:r>
          </w:p>
        </w:tc>
        <w:tc>
          <w:tcPr>
            <w:tcW w:type="dxa" w:w="16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Ganho esperado (VC), p.p.</w:t>
            </w:r>
          </w:p>
        </w:tc>
        <w:tc>
          <w:tcPr>
            <w:tcW w:type="dxa" w:w="17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F1-macro teste (sem → com)</w:t>
            </w:r>
          </w:p>
        </w:tc>
        <w:tc>
          <w:tcPr>
            <w:tcW w:type="dxa" w:w="17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Δ teste, p.p. [IC 95%]</w:t>
            </w:r>
          </w:p>
        </w:tc>
        <w:tc>
          <w:tcPr>
            <w:tcW w:type="dxa" w:w="15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Decisão</w:t>
            </w:r>
          </w:p>
        </w:tc>
      </w:tr>
      <w:tr>
        <w:trPr>
          <w:cantSplit/>
          <w:tblHeader w:val="false"/>
        </w:trPr>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BERTimbau</w:t>
            </w:r>
          </w:p>
        </w:tc>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-1,2 ± 0,6</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0,807 → 0,799</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-0,7 [-1,9; 0,3]</w:t>
            </w:r>
          </w:p>
        </w:tc>
        <w:tc>
          <w:tcPr>
            <w:tcW w:type="dxa" w:w="1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Não aplicar</w:t>
            </w:r>
          </w:p>
        </w:tc>
      </w:tr>
      <w:tr>
        <w:trPr>
          <w:cantSplit/>
          <w:tblHeader w:val="false"/>
        </w:trPr>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Bi-LSTM</w:t>
            </w:r>
          </w:p>
        </w:tc>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+1,7 ± 0,7</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0,660 → 0,655</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-0,5 [-3,1; 1,8]</w:t>
            </w:r>
          </w:p>
        </w:tc>
        <w:tc>
          <w:tcPr>
            <w:tcW w:type="dxa" w:w="1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Não aplicar</w:t>
            </w:r>
          </w:p>
        </w:tc>
      </w:tr>
      <w:tr>
        <w:trPr>
          <w:cantSplit/>
          <w:tblHeader w:val="false"/>
        </w:trPr>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Floresta Aleatória</w:t>
            </w:r>
          </w:p>
        </w:tc>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-1,3 ± 0,6</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0,659 → 0,648</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-1,1 [-1,9; -0,4]</w:t>
            </w:r>
          </w:p>
        </w:tc>
        <w:tc>
          <w:tcPr>
            <w:tcW w:type="dxa" w:w="1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Não aplicar</w:t>
            </w:r>
          </w:p>
        </w:tc>
      </w:tr>
      <w:tr>
        <w:trPr>
          <w:cantSplit/>
          <w:tblHeader w:val="false"/>
        </w:trPr>
        <w:tc>
          <w:tcPr>
            <w:tcW w:type="dxa" w:w="17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SVM</w:t>
            </w:r>
          </w:p>
        </w:tc>
        <w:tc>
          <w:tcPr>
            <w:tcW w:type="dxa" w:w="16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+3,5 ± 0,7</w:t>
            </w:r>
          </w:p>
        </w:tc>
        <w:tc>
          <w:tcPr>
            <w:tcW w:type="dxa" w:w="17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0,632 → 0,664</w:t>
            </w:r>
          </w:p>
        </w:tc>
        <w:tc>
          <w:tcPr>
            <w:tcW w:type="dxa" w:w="17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+3,2 [0,0; 5,9]</w:t>
            </w:r>
          </w:p>
        </w:tc>
        <w:tc>
          <w:tcPr>
            <w:tcW w:type="dxa" w:w="15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Análise de sensibilidade</w:t>
            </w:r>
          </w:p>
        </w:tc>
      </w:tr>
    </w:tbl>
    <w:p>
      <w:pPr>
        <w:spacing w:after="240" w:before="60" w:line="240"/>
        <w:jc w:val="both"/>
      </w:pPr>
      <w:r>
        <w:rPr>
          <w:rFonts w:ascii="Times New Roman" w:cs="Times New Roman" w:eastAsia="Times New Roman" w:hAnsi="Times New Roman"/>
          <w:i/>
          <w:iCs/>
          <w:sz w:val="18"/>
          <w:szCs w:val="18"/>
        </w:rPr>
        <w:t xml:space="preserve">Nota.</w:t>
      </w:r>
      <w:r>
        <w:rPr>
          <w:rFonts w:ascii="Times New Roman" w:cs="Times New Roman" w:eastAsia="Times New Roman" w:hAnsi="Times New Roman"/>
          <w:sz w:val="18"/>
          <w:szCs w:val="18"/>
        </w:rPr>
        <w:t xml:space="preserve"> VC: validação cruzada dentro do conjunto de validação (média ± desvio-padrão). Δ teste: diferença no conjunto de teste com IC 95% por </w:t>
      </w:r>
      <w:r>
        <w:rPr>
          <w:rFonts w:ascii="Times New Roman" w:cs="Times New Roman" w:eastAsia="Times New Roman" w:hAnsi="Times New Roman"/>
          <w:i/>
          <w:iCs/>
          <w:sz w:val="18"/>
          <w:szCs w:val="18"/>
        </w:rPr>
        <w:t xml:space="preserve">bootstrap</w:t>
      </w:r>
      <w:r>
        <w:rPr>
          <w:rFonts w:ascii="Times New Roman" w:cs="Times New Roman" w:eastAsia="Times New Roman" w:hAnsi="Times New Roman"/>
          <w:sz w:val="18"/>
          <w:szCs w:val="18"/>
        </w:rPr>
        <w:t xml:space="preserve"> emparelhado.</w:t>
      </w:r>
    </w:p>
    <w:p>
      <w:pPr>
        <w:spacing w:after="120" w:before="0" w:line="360"/>
        <w:ind w:firstLine="567"/>
        <w:jc w:val="both"/>
      </w:pPr>
      <w:r>
        <w:rPr>
          <w:rFonts w:ascii="Times New Roman" w:cs="Times New Roman" w:eastAsia="Times New Roman" w:hAnsi="Times New Roman"/>
          <w:sz w:val="24"/>
          <w:szCs w:val="24"/>
        </w:rPr>
        <w:t xml:space="preserve">O ajuste não melhora o BERTimbau nem a Floresta Aleatória: o ganho esperado é negativo e confirma-se no teste. No Bi-LSTM, o ganho esperado positivo não se confirma no teste (IC inclui o zero). Apenas o SVM beneficia de forma consistente (+3,2 p.p., IC [0,0; 5,9]), passando para F1-macro de 0,664, valor que não altera a ordenação dos modelos. Por coerência, todas as tabelas deste capítulo reportam os modelos sem ajuste, e o valor ajustado do SVM é tratado apenas como análise de sensibilidade.</w:t>
      </w:r>
    </w:p>
    <w:p>
      <w:pPr>
        <w:pStyle w:val="Heading2"/>
        <w:keepNext/>
        <w:keepLines/>
        <w:spacing w:after="160" w:before="360" w:line="300"/>
      </w:pPr>
      <w:r>
        <w:rPr>
          <w:rFonts w:ascii="Times New Roman" w:cs="Times New Roman" w:eastAsia="Times New Roman" w:hAnsi="Times New Roman"/>
          <w:b/>
          <w:bCs/>
          <w:sz w:val="26"/>
          <w:szCs w:val="26"/>
        </w:rPr>
        <w:t xml:space="preserve">4.6 Lacuna de domínio: piloto angolano e corpus público (Hipótese H4)</w:t>
      </w:r>
    </w:p>
    <w:p>
      <w:pPr>
        <w:spacing w:after="120" w:before="0" w:line="360"/>
        <w:ind w:firstLine="567"/>
        <w:jc w:val="both"/>
      </w:pPr>
      <w:r>
        <w:rPr>
          <w:rFonts w:ascii="Times New Roman" w:cs="Times New Roman" w:eastAsia="Times New Roman" w:hAnsi="Times New Roman"/>
          <w:sz w:val="24"/>
          <w:szCs w:val="24"/>
        </w:rPr>
        <w:t xml:space="preserve">Conforme a formulação da Secção 1.3, testa-se se o desempenho do modelo seleccionado se degrada significativamente (ΔF1-macro ≥ 5 p.p.) em conteúdo angolano, comparando o subconjunto de teste proveniente do piloto angolano com o subconjunto proveniente dos corpora públicos. A Tabela 4.7 e a Figura 4.3 apresentam os resultados do BERTimbau em cada subconjunto.</w:t>
      </w:r>
    </w:p>
    <w:p>
      <w:pPr>
        <w:pStyle w:val="LegendaTabela"/>
        <w:keepNext/>
        <w:spacing w:after="80" w:before="240" w:line="240"/>
        <w:jc w:val="center"/>
      </w:pPr>
      <w:r>
        <w:rPr>
          <w:rFonts w:ascii="Times New Roman" w:cs="Times New Roman" w:eastAsia="Times New Roman" w:hAnsi="Times New Roman"/>
          <w:b/>
          <w:bCs/>
          <w:sz w:val="20"/>
          <w:szCs w:val="20"/>
        </w:rPr>
        <w:t xml:space="preserve">Tabela 4.7 – Desempenho do BERTimbau no piloto angolano e no corpus público</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1450"/>
        <w:gridCol w:w="600"/>
        <w:gridCol w:w="450"/>
        <w:gridCol w:w="1900"/>
        <w:gridCol w:w="600"/>
        <w:gridCol w:w="805"/>
        <w:gridCol w:w="805"/>
        <w:gridCol w:w="805"/>
        <w:gridCol w:w="805"/>
      </w:tblGrid>
      <w:tr>
        <w:trPr>
          <w:cantSplit/>
          <w:tblHeader/>
        </w:trPr>
        <w:tc>
          <w:tcPr>
            <w:tcW w:type="dxa" w:w="145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Subconjunto</w:t>
            </w:r>
          </w:p>
        </w:tc>
        <w:tc>
          <w:tcPr>
            <w:tcW w:type="dxa" w:w="6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n</w:t>
            </w:r>
          </w:p>
        </w:tc>
        <w:tc>
          <w:tcPr>
            <w:tcW w:type="dxa" w:w="45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Cl.</w:t>
            </w:r>
          </w:p>
        </w:tc>
        <w:tc>
          <w:tcPr>
            <w:tcW w:type="dxa" w:w="19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F1-macro [IC 95%]</w:t>
            </w:r>
          </w:p>
        </w:tc>
        <w:tc>
          <w:tcPr>
            <w:tcW w:type="dxa" w:w="6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κ</w:t>
            </w:r>
          </w:p>
        </w:tc>
        <w:tc>
          <w:tcPr>
            <w:tcW w:type="dxa" w:w="805"/>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F1 Norm.</w:t>
            </w:r>
          </w:p>
        </w:tc>
        <w:tc>
          <w:tcPr>
            <w:tcW w:type="dxa" w:w="805"/>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F1 Desinf.</w:t>
            </w:r>
          </w:p>
        </w:tc>
        <w:tc>
          <w:tcPr>
            <w:tcW w:type="dxa" w:w="805"/>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F1 Odio</w:t>
            </w:r>
          </w:p>
        </w:tc>
        <w:tc>
          <w:tcPr>
            <w:tcW w:type="dxa" w:w="805"/>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F1 Mobil.</w:t>
            </w:r>
          </w:p>
        </w:tc>
      </w:tr>
      <w:tr>
        <w:trPr>
          <w:cantSplit/>
          <w:tblHeader w:val="false"/>
        </w:trPr>
        <w:tc>
          <w:tcPr>
            <w:tcW w:type="dxa" w:w="14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Piloto angolano</w:t>
            </w:r>
          </w:p>
        </w:tc>
        <w:tc>
          <w:tcPr>
            <w:tcW w:type="dxa" w:w="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355</w:t>
            </w:r>
          </w:p>
        </w:tc>
        <w:tc>
          <w:tcPr>
            <w:tcW w:type="dxa" w:w="4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4</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0,533 [0,470; 0,592]</w:t>
            </w:r>
          </w:p>
        </w:tc>
        <w:tc>
          <w:tcPr>
            <w:tcW w:type="dxa" w:w="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0,436</w:t>
            </w:r>
          </w:p>
        </w:tc>
        <w:tc>
          <w:tcPr>
            <w:tcW w:type="dxa" w:w="805"/>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0,825</w:t>
            </w:r>
          </w:p>
        </w:tc>
        <w:tc>
          <w:tcPr>
            <w:tcW w:type="dxa" w:w="805"/>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0,235</w:t>
            </w:r>
          </w:p>
        </w:tc>
        <w:tc>
          <w:tcPr>
            <w:tcW w:type="dxa" w:w="805"/>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0,518</w:t>
            </w:r>
          </w:p>
        </w:tc>
        <w:tc>
          <w:tcPr>
            <w:tcW w:type="dxa" w:w="805"/>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0,554</w:t>
            </w:r>
          </w:p>
        </w:tc>
      </w:tr>
      <w:tr>
        <w:trPr>
          <w:cantSplit/>
          <w:tblHeader w:val="false"/>
        </w:trPr>
        <w:tc>
          <w:tcPr>
            <w:tcW w:type="dxa" w:w="145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Corpus público</w:t>
            </w:r>
          </w:p>
        </w:tc>
        <w:tc>
          <w:tcPr>
            <w:tcW w:type="dxa" w:w="6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3.632</w:t>
            </w:r>
          </w:p>
        </w:tc>
        <w:tc>
          <w:tcPr>
            <w:tcW w:type="dxa" w:w="45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3</w:t>
            </w:r>
          </w:p>
        </w:tc>
        <w:tc>
          <w:tcPr>
            <w:tcW w:type="dxa" w:w="19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0,919 [0,908; 0,929]</w:t>
            </w:r>
          </w:p>
        </w:tc>
        <w:tc>
          <w:tcPr>
            <w:tcW w:type="dxa" w:w="6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0,879</w:t>
            </w:r>
          </w:p>
        </w:tc>
        <w:tc>
          <w:tcPr>
            <w:tcW w:type="dxa" w:w="805"/>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0,963</w:t>
            </w:r>
          </w:p>
        </w:tc>
        <w:tc>
          <w:tcPr>
            <w:tcW w:type="dxa" w:w="805"/>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0,992</w:t>
            </w:r>
          </w:p>
        </w:tc>
        <w:tc>
          <w:tcPr>
            <w:tcW w:type="dxa" w:w="805"/>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0,802</w:t>
            </w:r>
          </w:p>
        </w:tc>
        <w:tc>
          <w:tcPr>
            <w:tcW w:type="dxa" w:w="805"/>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w:t>
            </w:r>
          </w:p>
        </w:tc>
      </w:tr>
    </w:tbl>
    <w:p>
      <w:pPr>
        <w:spacing w:after="240" w:before="60" w:line="240"/>
        <w:jc w:val="both"/>
      </w:pPr>
      <w:r>
        <w:rPr>
          <w:rFonts w:ascii="Times New Roman" w:cs="Times New Roman" w:eastAsia="Times New Roman" w:hAnsi="Times New Roman"/>
          <w:i/>
          <w:iCs/>
          <w:sz w:val="18"/>
          <w:szCs w:val="18"/>
        </w:rPr>
        <w:t xml:space="preserve">Nota.</w:t>
      </w:r>
      <w:r>
        <w:rPr>
          <w:rFonts w:ascii="Times New Roman" w:cs="Times New Roman" w:eastAsia="Times New Roman" w:hAnsi="Times New Roman"/>
          <w:sz w:val="18"/>
          <w:szCs w:val="18"/>
        </w:rPr>
        <w:t xml:space="preserve"> Δ F1-macro (público − piloto) = 38,6 p.p. O corpus público não contém itens de Mobilizacao, pelo que o seu F1-macro é calculado sobre três classes.</w:t>
      </w:r>
    </w:p>
    <w:p>
      <w:pPr>
        <w:keepNext/>
        <w:spacing w:after="40" w:before="160"/>
        <w:jc w:val="center"/>
      </w:pPr>
      <w:r>
        <w:drawing>
          <wp:inline distT="0" distB="0" distL="0" distR="0">
            <wp:extent cx="4857750" cy="2600325"/>
            <wp:effectExtent t="0" r="0" b="0" l="0"/>
            <wp:docPr id="1" name="fig4_3_h4.png" descr="fig4_3_h4.png" title="fig4_3_h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857750" cy="2600325"/>
                    </a:xfrm>
                    <a:prstGeom prst="rect">
                      <a:avLst/>
                    </a:prstGeom>
                  </pic:spPr>
                </pic:pic>
              </a:graphicData>
            </a:graphic>
          </wp:inline>
        </w:drawing>
      </w:r>
    </w:p>
    <w:p>
      <w:pPr>
        <w:pStyle w:val="LegendaFigura"/>
        <w:spacing w:after="120" w:before="60" w:line="240"/>
        <w:jc w:val="center"/>
      </w:pPr>
      <w:r>
        <w:rPr>
          <w:rFonts w:ascii="Times New Roman" w:cs="Times New Roman" w:eastAsia="Times New Roman" w:hAnsi="Times New Roman"/>
          <w:b/>
          <w:bCs/>
          <w:sz w:val="20"/>
          <w:szCs w:val="20"/>
        </w:rPr>
        <w:t xml:space="preserve">Figura 4.3 – F1 por categoria do BERTimbau no corpus público e no piloto angolano (conjunto de teste)</w:t>
      </w:r>
    </w:p>
    <w:p>
      <w:pPr>
        <w:spacing w:after="120" w:before="0" w:line="360"/>
        <w:ind w:firstLine="567"/>
        <w:jc w:val="both"/>
      </w:pPr>
      <w:r>
        <w:rPr>
          <w:rFonts w:ascii="Times New Roman" w:cs="Times New Roman" w:eastAsia="Times New Roman" w:hAnsi="Times New Roman"/>
          <w:sz w:val="24"/>
          <w:szCs w:val="24"/>
        </w:rPr>
        <w:t xml:space="preserve">No piloto angolano, o BERTimbau obteve F1-macro de 0,533 (IC 95% [0,470; 0,592]) e κ de 0,436, contra 0,919 (IC 95% [0,908; 0,929]) e κ de 0,879 no corpus público. A diferença, de 38,6 p.p., excede largamente o limiar de 5 p.p. e os intervalos de confiança não se sobrepõem.</w:t>
      </w:r>
    </w:p>
    <w:p>
      <w:pPr>
        <w:spacing w:after="120" w:before="0" w:line="360"/>
        <w:ind w:firstLine="567"/>
        <w:jc w:val="both"/>
      </w:pPr>
      <w:r>
        <w:rPr>
          <w:rFonts w:ascii="Times New Roman" w:cs="Times New Roman" w:eastAsia="Times New Roman" w:hAnsi="Times New Roman"/>
          <w:sz w:val="24"/>
          <w:szCs w:val="24"/>
        </w:rPr>
        <w:t xml:space="preserve">A comparação tem um factor de confusão evidente: a Mobilizacao, a categoria mais difícil, existe apenas no piloto, e o F1-macro do corpus público é calculado sobre três classes. Para isolar este efeito, considerou-se no piloto apenas a média do F1 das três categorias comuns, que é de aproximadamente 0,53. A diferença mantém-se na mesma ordem de grandeza (cerca de 39 p.p.), pelo que a degradação não se explica pela composição das classes.</w:t>
      </w:r>
    </w:p>
    <w:p>
      <w:pPr>
        <w:spacing w:after="120" w:before="0" w:line="360"/>
        <w:ind w:firstLine="567"/>
        <w:jc w:val="both"/>
      </w:pPr>
      <w:r>
        <w:rPr>
          <w:rFonts w:ascii="Times New Roman" w:cs="Times New Roman" w:eastAsia="Times New Roman" w:hAnsi="Times New Roman"/>
          <w:sz w:val="24"/>
          <w:szCs w:val="24"/>
        </w:rPr>
        <w:t xml:space="preserve">O resultado mais revelador é o da Desinformacao: F1 de 0,992 no corpus público e de 0,235 no piloto. Nos corpora públicos, toda a Desinformacao provém do Fake.br, constituído por notícias completas, enquanto o piloto contém sobretudo comentários curtos. A combinação de um desempenho quase perfeito no domínio de origem com um desempenho muito baixo no domínio angolano é um indício forte de que o modelo aprendeu sobretudo marcas de estilo e de formato do Fake.br (registo jornalístico, extensão, estrutura) e não propriedades da desinformação enquanto tal. O mesmo mecanismo pode afectar, em menor grau, o Odio (0,802 contra 0,518), cujos exemplos públicos provêm de comentários do Instagram e do Twitter brasileiros. Por isso, o F1 global de 0,807 e, em particular, o F1 de 0,947 na Desinformacao sobrestimam o desempenho que o sistema terá em conteúdo angolano; a estimativa realista para este domínio é a do piloto (F1-macro de 0,533).</w:t>
      </w:r>
    </w:p>
    <w:p>
      <w:pPr>
        <w:spacing w:after="120" w:before="0" w:line="360"/>
        <w:ind w:firstLine="567"/>
        <w:jc w:val="both"/>
      </w:pPr>
      <w:r>
        <w:rPr>
          <w:rFonts w:ascii="Times New Roman" w:cs="Times New Roman" w:eastAsia="Times New Roman" w:hAnsi="Times New Roman"/>
          <w:sz w:val="24"/>
          <w:szCs w:val="24"/>
        </w:rPr>
        <w:t xml:space="preserve">Duas limitações condicionam este teste. O subconjunto do piloto é pequeno (n = 355), o que alarga o intervalo de confiança, e o desenho não permite separar as diferentes componentes da lacuna de domínio: variedade linguística (calão urbano, empréstimos de línguas nacionais), plataforma (comentários de YouTube contra notícias, Instagram e Twitter) e registo. A H4 confirma, por isso, a existência de uma lacuna de domínio substancial, mas não atribui essa lacuna especificamente ao calão ou às línguas nacionais.</w:t>
      </w:r>
    </w:p>
    <w:p>
      <w:pPr>
        <w:pStyle w:val="Heading2"/>
        <w:keepNext/>
        <w:keepLines/>
        <w:spacing w:after="160" w:before="360" w:line="300"/>
      </w:pPr>
      <w:r>
        <w:rPr>
          <w:rFonts w:ascii="Times New Roman" w:cs="Times New Roman" w:eastAsia="Times New Roman" w:hAnsi="Times New Roman"/>
          <w:b/>
          <w:bCs/>
          <w:sz w:val="26"/>
          <w:szCs w:val="26"/>
        </w:rPr>
        <w:t xml:space="preserve">4.7 Avaliação operacional do sistema (Hipóteses H2 e H3)</w:t>
      </w:r>
    </w:p>
    <w:p>
      <w:pPr>
        <w:spacing w:after="120" w:before="0" w:line="360"/>
        <w:ind w:firstLine="567"/>
        <w:jc w:val="both"/>
      </w:pPr>
      <w:r>
        <w:rPr>
          <w:rFonts w:ascii="Times New Roman" w:cs="Times New Roman" w:eastAsia="Times New Roman" w:hAnsi="Times New Roman"/>
          <w:sz w:val="24"/>
          <w:szCs w:val="24"/>
        </w:rPr>
        <w:t xml:space="preserve">As Hipóteses H2 (processamento de cada publicação em menos de 60 segundos) e H3 (antecedência de pelo menos 48 horas em relação a eventos de segurança) referem-se ao sistema em operação e não ao classificador. A H2 foi medida com o protótipo e o modelo do sistema; a H3 não pôde ser testada.</w:t>
      </w:r>
    </w:p>
    <w:p>
      <w:pPr>
        <w:pStyle w:val="Heading3"/>
        <w:keepNext/>
        <w:spacing w:after="120" w:before="240"/>
      </w:pPr>
      <w:r>
        <w:rPr>
          <w:rFonts w:ascii="Times New Roman" w:cs="Times New Roman" w:eastAsia="Times New Roman" w:hAnsi="Times New Roman"/>
          <w:b/>
          <w:bCs/>
          <w:sz w:val="24"/>
          <w:szCs w:val="24"/>
        </w:rPr>
        <w:t xml:space="preserve">4.7.1 Tempo de processamento (H2)</w:t>
      </w:r>
    </w:p>
    <w:p>
      <w:pPr>
        <w:spacing w:after="120" w:before="0" w:line="360"/>
        <w:ind w:firstLine="567"/>
        <w:jc w:val="both"/>
      </w:pPr>
      <w:r>
        <w:rPr>
          <w:rFonts w:ascii="Times New Roman" w:cs="Times New Roman" w:eastAsia="Times New Roman" w:hAnsi="Times New Roman"/>
          <w:sz w:val="24"/>
          <w:szCs w:val="24"/>
        </w:rPr>
        <w:t xml:space="preserve">A medição seguiu o protocolo da Secção 3.9. O comando de medição importou, anonimizou e classificou um lote de 200 comentários reais das amostras aleatórias do piloto, numa base de dados temporária nova em cada repetição; 2 comentários foram descartados na importação por terem menos de três caracteres, restando 198. O ensaio foi repetido 3 vezes num computador pessoal, sem GPU, com processador Intel N100 (quatro núcleos, de baixo consumo) e 8 GB de memória RAM. Trata-se de equipamento modesto, pelo que os tempos obtidos tendem a ser conservadores face a um servidor de produção. A Tabela 4.8 resume os resultados.</w:t>
      </w:r>
    </w:p>
    <w:p>
      <w:pPr>
        <w:pStyle w:val="LegendaTabela"/>
        <w:keepNext/>
        <w:spacing w:after="80" w:before="240" w:line="240"/>
        <w:jc w:val="center"/>
      </w:pPr>
      <w:r>
        <w:rPr>
          <w:rFonts w:ascii="Times New Roman" w:cs="Times New Roman" w:eastAsia="Times New Roman" w:hAnsi="Times New Roman"/>
          <w:b/>
          <w:bCs/>
          <w:sz w:val="20"/>
          <w:szCs w:val="20"/>
        </w:rPr>
        <w:t xml:space="preserve">Tabela 4.8 – Tempo de processamento do protótipo com o modelo do sistema</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5000"/>
        <w:gridCol w:w="3220"/>
      </w:tblGrid>
      <w:tr>
        <w:trPr>
          <w:cantSplit/>
          <w:tblHeader/>
        </w:trPr>
        <w:tc>
          <w:tcPr>
            <w:tcW w:type="dxa" w:w="50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Medida</w:t>
            </w:r>
          </w:p>
        </w:tc>
        <w:tc>
          <w:tcPr>
            <w:tcW w:type="dxa" w:w="32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Valor</w:t>
            </w:r>
          </w:p>
        </w:tc>
      </w:tr>
      <w:tr>
        <w:trPr>
          <w:cantSplit/>
          <w:tblHeader w:val="false"/>
        </w:trPr>
        <w:tc>
          <w:tcPr>
            <w:tcW w:type="dxa" w:w="5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Publicações por lote</w:t>
            </w:r>
          </w:p>
        </w:tc>
        <w:tc>
          <w:tcPr>
            <w:tcW w:type="dxa" w:w="32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198</w:t>
            </w:r>
          </w:p>
        </w:tc>
      </w:tr>
      <w:tr>
        <w:trPr>
          <w:cantSplit/>
          <w:tblHeader w:val="false"/>
        </w:trPr>
        <w:tc>
          <w:tcPr>
            <w:tcW w:type="dxa" w:w="5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Repetições</w:t>
            </w:r>
          </w:p>
        </w:tc>
        <w:tc>
          <w:tcPr>
            <w:tcW w:type="dxa" w:w="32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3</w:t>
            </w:r>
          </w:p>
        </w:tc>
      </w:tr>
      <w:tr>
        <w:trPr>
          <w:cantSplit/>
          <w:tblHeader w:val="false"/>
        </w:trPr>
        <w:tc>
          <w:tcPr>
            <w:tcW w:type="dxa" w:w="5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Tempo total por lote (mediana)</w:t>
            </w:r>
          </w:p>
        </w:tc>
        <w:tc>
          <w:tcPr>
            <w:tcW w:type="dxa" w:w="32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125,5 s</w:t>
            </w:r>
          </w:p>
        </w:tc>
      </w:tr>
      <w:tr>
        <w:trPr>
          <w:cantSplit/>
          <w:tblHeader w:val="false"/>
        </w:trPr>
        <w:tc>
          <w:tcPr>
            <w:tcW w:type="dxa" w:w="5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Tempo médio por publicação (repetição mediana)</w:t>
            </w:r>
          </w:p>
        </w:tc>
        <w:tc>
          <w:tcPr>
            <w:tcW w:type="dxa" w:w="32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0,63 s</w:t>
            </w:r>
          </w:p>
        </w:tc>
      </w:tr>
      <w:tr>
        <w:trPr>
          <w:cantSplit/>
          <w:tblHeader w:val="false"/>
        </w:trPr>
        <w:tc>
          <w:tcPr>
            <w:tcW w:type="dxa" w:w="5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Dispositivo de inferência</w:t>
            </w:r>
          </w:p>
        </w:tc>
        <w:tc>
          <w:tcPr>
            <w:tcW w:type="dxa" w:w="32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CPU (sem GPU)</w:t>
            </w:r>
          </w:p>
        </w:tc>
      </w:tr>
      <w:tr>
        <w:trPr>
          <w:cantSplit/>
          <w:tblHeader w:val="false"/>
        </w:trPr>
        <w:tc>
          <w:tcPr>
            <w:tcW w:type="dxa" w:w="50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Lote máximo compatível com o limiar de 60 s</w:t>
            </w:r>
          </w:p>
        </w:tc>
        <w:tc>
          <w:tcPr>
            <w:tcW w:type="dxa" w:w="32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cerca de 94 publicações</w:t>
            </w:r>
          </w:p>
        </w:tc>
      </w:tr>
    </w:tbl>
    <w:p>
      <w:pPr>
        <w:spacing w:after="240" w:before="60" w:line="240"/>
        <w:jc w:val="both"/>
      </w:pPr>
      <w:r>
        <w:rPr>
          <w:rFonts w:ascii="Times New Roman" w:cs="Times New Roman" w:eastAsia="Times New Roman" w:hAnsi="Times New Roman"/>
          <w:i/>
          <w:iCs/>
          <w:sz w:val="18"/>
          <w:szCs w:val="18"/>
        </w:rPr>
        <w:t xml:space="preserve">Nota.</w:t>
      </w:r>
      <w:r>
        <w:rPr>
          <w:rFonts w:ascii="Times New Roman" w:cs="Times New Roman" w:eastAsia="Times New Roman" w:hAnsi="Times New Roman"/>
          <w:sz w:val="18"/>
          <w:szCs w:val="18"/>
        </w:rPr>
        <w:t xml:space="preserve"> O tempo inclui a leitura do ficheiro, a anonimização, a gravação na base de dados e a classificação com o BERTimbau (até 256 subpalavras, lotes de inferência de 32). Não inclui o carregamento inicial do modelo, que ocorre uma vez no arranque do serviço, nem o intervalo entre a publicação original e a sua recolha.</w:t>
      </w:r>
    </w:p>
    <w:p>
      <w:pPr>
        <w:spacing w:after="120" w:before="0" w:line="360"/>
        <w:ind w:firstLine="567"/>
        <w:jc w:val="both"/>
      </w:pPr>
      <w:r>
        <w:rPr>
          <w:rFonts w:ascii="Times New Roman" w:cs="Times New Roman" w:eastAsia="Times New Roman" w:hAnsi="Times New Roman"/>
          <w:sz w:val="24"/>
          <w:szCs w:val="24"/>
        </w:rPr>
        <w:t xml:space="preserve">O custo por publicação, de cerca de 0,63 segundos, está muito abaixo do limiar de 60 segundos. Há, no entanto, uma condição: no protótipo, as classificações de um lote são gravadas em conjunto no fim do lote, pelo que todas as publicações entram na fila de revisão ao mesmo tempo. Num lote de 198 publicações, a primeira só fica disponível ao fim de cerca de 125 segundos. O critério da H2 é cumprido para lotes até cerca de 94 publicações neste equipamento; acima desse volume, é necessário processar em lotes menores, gravar as classificações à medida que cada sublote termina ou usar uma GPU. A medição foi feita num único computador e com um único lote, e não inclui o tempo entre a publicação na plataforma e a sua recolha, que depende da frequência de recolha; deve ser lida como uma estimativa do custo de processamento interno, e não como o tempo de detecção de ponta a ponta.</w:t>
      </w:r>
    </w:p>
    <w:p>
      <w:pPr>
        <w:spacing w:after="120" w:before="0" w:line="360"/>
        <w:ind w:firstLine="567"/>
        <w:jc w:val="both"/>
      </w:pPr>
      <w:r>
        <w:rPr>
          <w:rFonts w:ascii="Times New Roman" w:cs="Times New Roman" w:eastAsia="Times New Roman" w:hAnsi="Times New Roman"/>
          <w:sz w:val="24"/>
          <w:szCs w:val="24"/>
        </w:rPr>
        <w:t xml:space="preserve">Depois desta medição, o sistema passou a gravar as classificações por sublotes de 32 publicações (Secção 3.8.3), e a medição foi repetida com esta configuração, no mesmo computador e com o mesmo lote de 198 publicações (três repetições). Com a gravação por sublotes, as primeiras 32 publicações ficaram disponíveis na fila ao fim de 36,1 segundos (mediana), contra cerca de 125 segundos com a gravação no fim do lote, e este tempo não depende da dimensão do lote. O lote completo demorou 139,7 segundos (0,71 s por publicação). O custo por publicação foi um pouco mais alto do que na primeira medição porque a aplicação web, com o modelo carregado, estava a correr em simultâneo no mesmo computador.</w:t>
      </w:r>
    </w:p>
    <w:p>
      <w:pPr>
        <w:spacing w:after="120" w:before="0" w:line="360"/>
        <w:ind w:firstLine="567"/>
        <w:jc w:val="both"/>
      </w:pPr>
      <w:r>
        <w:rPr>
          <w:rFonts w:ascii="Times New Roman" w:cs="Times New Roman" w:eastAsia="Times New Roman" w:hAnsi="Times New Roman"/>
          <w:sz w:val="24"/>
          <w:szCs w:val="24"/>
        </w:rPr>
        <w:t xml:space="preserve">A gravação por sublotes muda, portanto, a natureza da condição. As primeiras publicações de qualquer lote chegam à fila em menos de 60 segundos; as seguintes chegam de sublote em sublote, a cada 23 segundos aproximadamente. Por estimativa a partir destes tempos, todas as publicações de um lote ficam disponíveis em menos de 60 segundos quando cada recolha traz até cerca de 64 publicações (dois sublotes). Com recolhas frequentes e pequenas, o critério da H2 é cumprido para todas as publicações neste equipamento.</w:t>
      </w:r>
    </w:p>
    <w:p>
      <w:pPr>
        <w:pStyle w:val="Heading3"/>
        <w:keepNext/>
        <w:spacing w:after="120" w:before="240"/>
      </w:pPr>
      <w:r>
        <w:rPr>
          <w:rFonts w:ascii="Times New Roman" w:cs="Times New Roman" w:eastAsia="Times New Roman" w:hAnsi="Times New Roman"/>
          <w:b/>
          <w:bCs/>
          <w:sz w:val="24"/>
          <w:szCs w:val="24"/>
        </w:rPr>
        <w:t xml:space="preserve">4.7.2 Antecedência de detecção (H3)</w:t>
      </w:r>
    </w:p>
    <w:p>
      <w:pPr>
        <w:spacing w:after="120" w:before="0" w:line="360"/>
        <w:ind w:firstLine="567"/>
        <w:jc w:val="both"/>
      </w:pPr>
      <w:r>
        <w:rPr>
          <w:rFonts w:ascii="Times New Roman" w:cs="Times New Roman" w:eastAsia="Times New Roman" w:hAnsi="Times New Roman"/>
          <w:sz w:val="24"/>
          <w:szCs w:val="24"/>
        </w:rPr>
        <w:t xml:space="preserve">A H3 exige um corpus com datas de publicação, dividido cronologicamente (treino anterior ao período de teste), e um conjunto de eventos de referência independentes do corpus; sem estes elementos, qualquer medida de antecedência seria circular. Como o corpus desta investigação não foi construído em torno de eventos datados, a H3 fica por testar.</w:t>
      </w:r>
    </w:p>
    <w:p>
      <w:pPr>
        <w:pStyle w:val="Heading3"/>
        <w:keepNext/>
        <w:spacing w:after="120" w:before="240"/>
      </w:pPr>
      <w:r>
        <w:rPr>
          <w:rFonts w:ascii="Times New Roman" w:cs="Times New Roman" w:eastAsia="Times New Roman" w:hAnsi="Times New Roman"/>
          <w:b/>
          <w:bCs/>
          <w:sz w:val="24"/>
          <w:szCs w:val="24"/>
        </w:rPr>
        <w:t xml:space="preserve">4.7.3 Implicações para o desenho operacional</w:t>
      </w:r>
    </w:p>
    <w:p>
      <w:pPr>
        <w:spacing w:after="120" w:before="0" w:line="360"/>
        <w:ind w:firstLine="567"/>
        <w:jc w:val="both"/>
      </w:pPr>
      <w:r>
        <w:rPr>
          <w:rFonts w:ascii="Times New Roman" w:cs="Times New Roman" w:eastAsia="Times New Roman" w:hAnsi="Times New Roman"/>
          <w:sz w:val="24"/>
          <w:szCs w:val="24"/>
        </w:rPr>
        <w:t xml:space="preserve">Os resultados das Secções 4.4 a 4.6 têm, no entanto, consequências directas para o desenho operacional. Com precisão de 0,509 e sensibilidade de 0,596 na Mobilizacao, e com desempenho em conteúdo angolano inferior ao global, o sistema só é defensável como apoio ao analista: uma fila de revisão ordenada pela confiança do modelo, com confirmação humana obrigatória antes de qualquer acção e sem decisões automáticas sobre indivíduos. Neste enquadramento, as métricas operacionais relevantes passam a ser a precisão nos primeiros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itens da fila, o tempo de processamento e a concordância entre analista e sistema, medidas que o protótipo foi concebido para registar (Secção 3.9).</w:t>
      </w:r>
    </w:p>
    <w:p>
      <w:pPr>
        <w:pStyle w:val="Heading2"/>
        <w:keepNext/>
        <w:keepLines/>
        <w:spacing w:after="160" w:before="360" w:line="300"/>
      </w:pPr>
      <w:r>
        <w:rPr>
          <w:rFonts w:ascii="Times New Roman" w:cs="Times New Roman" w:eastAsia="Times New Roman" w:hAnsi="Times New Roman"/>
          <w:b/>
          <w:bCs/>
          <w:sz w:val="26"/>
          <w:szCs w:val="26"/>
        </w:rPr>
        <w:t xml:space="preserve">4.8 Discussão e verificação formal das hipóteses</w:t>
      </w:r>
    </w:p>
    <w:p>
      <w:pPr>
        <w:spacing w:after="120" w:before="0" w:line="360"/>
        <w:ind w:firstLine="567"/>
        <w:jc w:val="both"/>
      </w:pPr>
      <w:r>
        <w:rPr>
          <w:rFonts w:ascii="Times New Roman" w:cs="Times New Roman" w:eastAsia="Times New Roman" w:hAnsi="Times New Roman"/>
          <w:sz w:val="24"/>
          <w:szCs w:val="24"/>
        </w:rPr>
        <w:t xml:space="preserve">A Tabela 4.9 sintetiza a verificação das quatro hipóteses face aos critérios definidos na Secção 1.3.</w:t>
      </w:r>
    </w:p>
    <w:p>
      <w:pPr>
        <w:pStyle w:val="LegendaTabela"/>
        <w:keepNext/>
        <w:spacing w:after="80" w:before="240" w:line="240"/>
        <w:jc w:val="center"/>
      </w:pPr>
      <w:r>
        <w:rPr>
          <w:rFonts w:ascii="Times New Roman" w:cs="Times New Roman" w:eastAsia="Times New Roman" w:hAnsi="Times New Roman"/>
          <w:b/>
          <w:bCs/>
          <w:sz w:val="20"/>
          <w:szCs w:val="20"/>
        </w:rPr>
        <w:t xml:space="preserve">Tabela 4.9 – Verificação formal das hipóteses de investigação</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1720"/>
      </w:tblGrid>
      <w:tr>
        <w:trPr>
          <w:cantSplit/>
          <w:tblHeader/>
        </w:trPr>
        <w:tc>
          <w:tcPr>
            <w:tcW w:type="dxa" w:w="30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Hipótese e critério</w:t>
            </w:r>
          </w:p>
        </w:tc>
        <w:tc>
          <w:tcPr>
            <w:tcW w:type="dxa" w:w="35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Evidência</w:t>
            </w:r>
          </w:p>
        </w:tc>
        <w:tc>
          <w:tcPr>
            <w:tcW w:type="dxa" w:w="17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Decisão</w:t>
            </w:r>
          </w:p>
        </w:tc>
      </w:tr>
      <w:tr>
        <w:trPr>
          <w:cantSplit/>
          <w:tblHeader w:val="false"/>
        </w:trPr>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H1. Modelos profundos superam os clássicos (ΔF1 ≥ 5 p.p.; p &lt; 0,05 com Bonferroni)</w:t>
            </w:r>
          </w:p>
        </w:tc>
        <w:tc>
          <w:tcPr>
            <w:tcW w:type="dxa" w:w="3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BERTimbau: ΔF1 de 14,6 a 17,4 p.p., p &lt; 10</w:t>
            </w:r>
            <w:r>
              <w:rPr>
                <w:rFonts w:ascii="Times New Roman" w:cs="Times New Roman" w:eastAsia="Times New Roman" w:hAnsi="Times New Roman"/>
                <w:b w:val="false"/>
                <w:bCs w:val="false"/>
                <w:sz w:val="19"/>
                <w:szCs w:val="19"/>
                <w:vertAlign w:val="superscript"/>
              </w:rPr>
              <w:t xml:space="preserve">-47</w:t>
            </w:r>
            <w:r>
              <w:rPr>
                <w:rFonts w:ascii="Times New Roman" w:cs="Times New Roman" w:eastAsia="Times New Roman" w:hAnsi="Times New Roman"/>
                <w:b w:val="false"/>
                <w:bCs w:val="false"/>
                <w:sz w:val="19"/>
                <w:szCs w:val="19"/>
              </w:rPr>
              <w:t xml:space="preserve">. Bi-LSTM: ΔF1 de 0,2 e 2,8 p.p. (IC incluem 0)</w:t>
            </w:r>
          </w:p>
        </w:tc>
        <w:tc>
          <w:tcPr>
            <w:tcW w:type="dxa" w:w="17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Parcialmente confirmada</w:t>
            </w:r>
          </w:p>
        </w:tc>
      </w:tr>
      <w:tr>
        <w:trPr>
          <w:cantSplit/>
          <w:tblHeader w:val="false"/>
        </w:trPr>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H2. Processamento de cada publicação em menos de 60 s</w:t>
            </w:r>
          </w:p>
        </w:tc>
        <w:tc>
          <w:tcPr>
            <w:tcW w:type="dxa" w:w="3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0,63 s por publicação em CPU; com sublotes, primeiras publicações na fila em 36 s; todas em menos de 60 s para recolhas até cerca de 64 publicações</w:t>
            </w:r>
          </w:p>
        </w:tc>
        <w:tc>
          <w:tcPr>
            <w:tcW w:type="dxa" w:w="17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Confirmada com condições</w:t>
            </w:r>
          </w:p>
        </w:tc>
      </w:tr>
      <w:tr>
        <w:trPr>
          <w:cantSplit/>
          <w:tblHeader w:val="false"/>
        </w:trPr>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H3. Antecedência ≥ 48 h face a eventos</w:t>
            </w:r>
          </w:p>
        </w:tc>
        <w:tc>
          <w:tcPr>
            <w:tcW w:type="dxa" w:w="3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Sem corpus datado nem divisão cronológica</w:t>
            </w:r>
          </w:p>
        </w:tc>
        <w:tc>
          <w:tcPr>
            <w:tcW w:type="dxa" w:w="17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Não testada</w:t>
            </w:r>
          </w:p>
        </w:tc>
      </w:tr>
      <w:tr>
        <w:trPr>
          <w:cantSplit/>
          <w:tblHeader w:val="false"/>
        </w:trPr>
        <w:tc>
          <w:tcPr>
            <w:tcW w:type="dxa" w:w="30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H4. Degradação ≥ 5 p.p. em conteúdo angolano</w:t>
            </w:r>
          </w:p>
        </w:tc>
        <w:tc>
          <w:tcPr>
            <w:tcW w:type="dxa" w:w="35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ΔF1-macro = 38,6 p.p.; IC sem sobreposição; κ 0,436 contra 0,879</w:t>
            </w:r>
          </w:p>
        </w:tc>
        <w:tc>
          <w:tcPr>
            <w:tcW w:type="dxa" w:w="17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Confirmada</w:t>
            </w:r>
            <w:r>
              <w:rPr>
                <w:rFonts w:ascii="Times New Roman" w:cs="Times New Roman" w:eastAsia="Times New Roman" w:hAnsi="Times New Roman"/>
                <w:b w:val="false"/>
                <w:bCs w:val="false"/>
                <w:sz w:val="19"/>
                <w:szCs w:val="19"/>
              </w:rPr>
              <w:t xml:space="preserve"> (com reservas)</w:t>
            </w:r>
          </w:p>
        </w:tc>
      </w:tr>
    </w:tbl>
    <w:p>
      <w:pPr>
        <w:spacing w:after="240" w:before="60" w:line="240"/>
        <w:jc w:val="both"/>
      </w:pPr>
      <w:r>
        <w:rPr>
          <w:rFonts w:ascii="Times New Roman" w:cs="Times New Roman" w:eastAsia="Times New Roman" w:hAnsi="Times New Roman"/>
          <w:i/>
          <w:iCs/>
          <w:sz w:val="18"/>
          <w:szCs w:val="18"/>
        </w:rPr>
        <w:t xml:space="preserve">Nota.</w:t>
      </w:r>
      <w:r>
        <w:rPr>
          <w:rFonts w:ascii="Times New Roman" w:cs="Times New Roman" w:eastAsia="Times New Roman" w:hAnsi="Times New Roman"/>
          <w:sz w:val="18"/>
          <w:szCs w:val="18"/>
        </w:rPr>
        <w:t xml:space="preserve"> A designação “não testada” significa que os dados disponíveis não permitem confirmar nem rejeitar a hipótese.</w:t>
      </w:r>
    </w:p>
    <w:p>
      <w:pPr>
        <w:spacing w:after="120" w:before="0" w:line="360"/>
        <w:ind w:firstLine="567"/>
        <w:jc w:val="both"/>
      </w:pPr>
      <w:r>
        <w:rPr>
          <w:rFonts w:ascii="Times New Roman" w:cs="Times New Roman" w:eastAsia="Times New Roman" w:hAnsi="Times New Roman"/>
          <w:b/>
          <w:bCs/>
          <w:sz w:val="24"/>
          <w:szCs w:val="24"/>
        </w:rPr>
        <w:t xml:space="preserve">H1: parcialmente confirmada.</w:t>
      </w:r>
      <w:r>
        <w:rPr>
          <w:rFonts w:ascii="Times New Roman" w:cs="Times New Roman" w:eastAsia="Times New Roman" w:hAnsi="Times New Roman"/>
          <w:sz w:val="24"/>
          <w:szCs w:val="24"/>
        </w:rPr>
        <w:t xml:space="preserve"> A hipótese previa que ambos os modelos de aprendizagem profunda superassem os clássicos. O BERTimbau cumpre o critério com margem ampla (ΔF1-macro ≥ 14,6 p.p.; p corrigido &lt; 10</w:t>
      </w:r>
      <w:r>
        <w:rPr>
          <w:rFonts w:ascii="Times New Roman" w:cs="Times New Roman" w:eastAsia="Times New Roman" w:hAnsi="Times New Roman"/>
          <w:sz w:val="24"/>
          <w:szCs w:val="24"/>
          <w:vertAlign w:val="superscript"/>
        </w:rPr>
        <w:t xml:space="preserve">-47</w:t>
      </w:r>
      <w:r>
        <w:rPr>
          <w:rFonts w:ascii="Times New Roman" w:cs="Times New Roman" w:eastAsia="Times New Roman" w:hAnsi="Times New Roman"/>
          <w:sz w:val="24"/>
          <w:szCs w:val="24"/>
        </w:rPr>
        <w:t xml:space="preserve">). O Bi-LSTM não o cumpre: não se distingue da Floresta Aleatória e a sua vantagem sobre o SVM (2,8 p.p.) fica abaixo do limiar de 5 p.p., com intervalo que inclui o zero. Uma explicação plausível para a diferença entre os dois modelos profundos é o pré-treino: o BERTimbau parte de representações contextuais aprendidas num corpus de português de grande dimensão, ao passo que o Bi-LSTM aprende essas representações sobretudo a partir do corpus de treino. O resultado sugere que, neste volume de dados, o pré-treino linguístico pesa mais do que a natureza sequencial da arquitectura, hipótese que exigiria um ensaio controlado para ser confirmada.</w:t>
      </w:r>
    </w:p>
    <w:p>
      <w:pPr>
        <w:spacing w:after="120" w:before="0" w:line="360"/>
        <w:ind w:firstLine="567"/>
        <w:jc w:val="both"/>
      </w:pPr>
      <w:r>
        <w:rPr>
          <w:rFonts w:ascii="Times New Roman" w:cs="Times New Roman" w:eastAsia="Times New Roman" w:hAnsi="Times New Roman"/>
          <w:b/>
          <w:bCs/>
          <w:sz w:val="24"/>
          <w:szCs w:val="24"/>
        </w:rPr>
        <w:t xml:space="preserve">H2: confirmada com condições.</w:t>
      </w:r>
      <w:r>
        <w:rPr>
          <w:rFonts w:ascii="Times New Roman" w:cs="Times New Roman" w:eastAsia="Times New Roman" w:hAnsi="Times New Roman"/>
          <w:sz w:val="24"/>
          <w:szCs w:val="24"/>
        </w:rPr>
        <w:t xml:space="preserve"> O protótipo processa cada publicação em cerca de 0,63 segundos num computador sem GPU, muito abaixo do limiar de 60 segundos. Com a gravação de todo o lote no fim, o limiar só era respeitado para lotes até cerca de 94 publicações. Com a gravação por sublotes, as primeiras publicações chegam à fila em 36 segundos independentemente do lote, e todas chegam em menos de 60 segundos quando cada recolha traz até cerca de 64 publicações. A medição cobre o processamento interno e não o intervalo entre a publicação e a sua recolha.</w:t>
      </w:r>
    </w:p>
    <w:p>
      <w:pPr>
        <w:spacing w:after="120" w:before="0" w:line="360"/>
        <w:ind w:firstLine="567"/>
        <w:jc w:val="both"/>
      </w:pPr>
      <w:r>
        <w:rPr>
          <w:rFonts w:ascii="Times New Roman" w:cs="Times New Roman" w:eastAsia="Times New Roman" w:hAnsi="Times New Roman"/>
          <w:b/>
          <w:bCs/>
          <w:sz w:val="24"/>
          <w:szCs w:val="24"/>
        </w:rPr>
        <w:t xml:space="preserve">H3: não testada.</w:t>
      </w:r>
      <w:r>
        <w:rPr>
          <w:rFonts w:ascii="Times New Roman" w:cs="Times New Roman" w:eastAsia="Times New Roman" w:hAnsi="Times New Roman"/>
          <w:sz w:val="24"/>
          <w:szCs w:val="24"/>
        </w:rPr>
        <w:t xml:space="preserve"> A verificação exige um corpus datado em torno de eventos documentados, que não existe nesta fase, e constitui trabalho futuro.</w:t>
      </w:r>
    </w:p>
    <w:p>
      <w:pPr>
        <w:spacing w:after="120" w:before="0" w:line="360"/>
        <w:ind w:firstLine="567"/>
        <w:jc w:val="both"/>
      </w:pPr>
      <w:r>
        <w:rPr>
          <w:rFonts w:ascii="Times New Roman" w:cs="Times New Roman" w:eastAsia="Times New Roman" w:hAnsi="Times New Roman"/>
          <w:b/>
          <w:bCs/>
          <w:sz w:val="24"/>
          <w:szCs w:val="24"/>
        </w:rPr>
        <w:t xml:space="preserve">H4: confirmada, com reservas.</w:t>
      </w:r>
      <w:r>
        <w:rPr>
          <w:rFonts w:ascii="Times New Roman" w:cs="Times New Roman" w:eastAsia="Times New Roman" w:hAnsi="Times New Roman"/>
          <w:sz w:val="24"/>
          <w:szCs w:val="24"/>
        </w:rPr>
        <w:t xml:space="preserve"> A degradação do desempenho em conteúdo angolano é grande (38,6 p.p.), robusta ao controlo da composição de classes e consistente no Kappa. As reservas referem-se à dimensão do subconjunto do piloto, à impossibilidade de separar os efeitos de língua, plataforma e registo, e ao indício de aprendizagem de atalhos de estilo na Desinformacao. Este último ponto tem uma implicação metodológica que ultrapassa a H4: corpora de desinformação constituídos por notícias completas não são adequados para treinar detectores de desinformação em comentários de redes sociais, e o desempenho nesta categoria deve ser medido em conteúdo do domínio de aplicação.</w:t>
      </w:r>
    </w:p>
    <w:p>
      <w:pPr>
        <w:spacing w:after="120" w:before="0" w:line="360"/>
        <w:ind w:firstLine="567"/>
        <w:jc w:val="both"/>
      </w:pPr>
      <w:r>
        <w:rPr>
          <w:rFonts w:ascii="Times New Roman" w:cs="Times New Roman" w:eastAsia="Times New Roman" w:hAnsi="Times New Roman"/>
          <w:sz w:val="24"/>
          <w:szCs w:val="24"/>
        </w:rPr>
        <w:t xml:space="preserve">Destes resultados tiram-se três conclusões. Entre os modelos avaliados, só o BERTimbau serve como classificador principal, e a sua vantagem é estatisticamente sólida. O desempenho global, com F1-macro de cerca de 0,80, foi obtido sobretudo em conteúdo brasileiro e não deve ser apresentado como desempenho do sistema em Angola, onde a estimativa disponível ronda 0,53. Por último, a Mobilizacao, que é a categoria com mais interesse para a segurança, é também aquela em que a evidência é mais frágil, tanto pelo pequeno número de exemplos de teste como pela fronteira pouco nítida com o direito de manifestação. As prioridades de trabalho futuro do Capítulo 5 partem daqui: ampliar o corpus angolano anotado, em especial nas categorias Mobilizacao e Desinformacao, medir o desempenho em conteúdo angolano como métrica principal e manter a revisão humana como componente obrigatória do sistema.</w:t>
      </w:r>
    </w:p>
    <w:p>
      <w:pPr>
        <w:sectPr>
          <w:headerReference w:type="default" r:id="rId19"/>
          <w:footerReference w:type="default" r:id="rId20"/>
          <w:type w:val="nextPage"/>
          <w:pgSz w:w="11906" w:h="16838" w:orient="portrait"/>
          <w:pgMar w:top="1701" w:right="1701" w:bottom="1417" w:left="1984" w:header="850" w:footer="567" w:gutter="0"/>
          <w:pgNumType/>
          <w:docGrid w:linePitch="360"/>
        </w:sectPr>
      </w:pPr>
    </w:p>
    <w:p>
      <w:pPr>
        <w:pStyle w:val="Heading1"/>
        <w:spacing w:after="480" w:before="567"/>
        <w:jc w:val="left"/>
      </w:pPr>
      <w:r>
        <w:rPr>
          <w:rFonts w:ascii="Times New Roman" w:cs="Times New Roman" w:eastAsia="Times New Roman" w:hAnsi="Times New Roman"/>
          <w:b/>
          <w:bCs/>
          <w:sz w:val="28"/>
          <w:szCs w:val="28"/>
        </w:rPr>
        <w:t xml:space="preserve">CAPÍTULO 5 – CONCLUSÕES E RECOMENDAÇÕES</w:t>
      </w:r>
    </w:p>
    <w:p>
      <w:pPr>
        <w:spacing w:after="120" w:before="0" w:line="360"/>
        <w:ind w:firstLine="567"/>
        <w:jc w:val="both"/>
      </w:pPr>
      <w:r>
        <w:rPr>
          <w:rFonts w:ascii="Times New Roman" w:cs="Times New Roman" w:eastAsia="Times New Roman" w:hAnsi="Times New Roman"/>
          <w:sz w:val="24"/>
          <w:szCs w:val="24"/>
        </w:rPr>
        <w:t xml:space="preserve">Esta dissertação partiu de uma pergunta: em que medida a aprendizagem automática consegue apoiar, de forma fiável e responsável, a triagem de publicações ameaçadoras nas redes sociais angolanas. Os resultados mostram que consegue ajudar a ordenar o trabalho do analista, mas não o substitui, nem deve substituir.</w:t>
      </w:r>
    </w:p>
    <w:p>
      <w:pPr>
        <w:pStyle w:val="Heading2"/>
        <w:keepNext/>
        <w:keepLines/>
        <w:spacing w:after="160" w:before="360" w:line="300"/>
      </w:pPr>
      <w:r>
        <w:rPr>
          <w:rFonts w:ascii="Times New Roman" w:cs="Times New Roman" w:eastAsia="Times New Roman" w:hAnsi="Times New Roman"/>
          <w:b/>
          <w:bCs/>
          <w:sz w:val="26"/>
          <w:szCs w:val="26"/>
        </w:rPr>
        <w:t xml:space="preserve">5.1 Síntese dos objectivos</w:t>
      </w:r>
    </w:p>
    <w:p>
      <w:pPr>
        <w:spacing w:after="120" w:before="0" w:line="360"/>
        <w:ind w:firstLine="567"/>
        <w:jc w:val="both"/>
      </w:pPr>
      <w:r>
        <w:rPr>
          <w:rFonts w:ascii="Times New Roman" w:cs="Times New Roman" w:eastAsia="Times New Roman" w:hAnsi="Times New Roman"/>
          <w:sz w:val="24"/>
          <w:szCs w:val="24"/>
        </w:rPr>
        <w:t xml:space="preserve">A Tabela 5.1 resume o grau de cumprimento dos objectivos específicos.</w:t>
      </w:r>
    </w:p>
    <w:p>
      <w:pPr>
        <w:pStyle w:val="LegendaTabela"/>
        <w:keepNext/>
        <w:spacing w:after="80" w:before="240" w:line="240"/>
        <w:jc w:val="center"/>
      </w:pPr>
      <w:r>
        <w:rPr>
          <w:rFonts w:ascii="Times New Roman" w:cs="Times New Roman" w:eastAsia="Times New Roman" w:hAnsi="Times New Roman"/>
          <w:b/>
          <w:bCs/>
          <w:sz w:val="20"/>
          <w:szCs w:val="20"/>
        </w:rPr>
        <w:t xml:space="preserve">Tabela 5.1 – Cumprimento dos objectivos específicos</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4520"/>
        <w:gridCol w:w="1400"/>
      </w:tblGrid>
      <w:tr>
        <w:trPr>
          <w:cantSplit/>
          <w:tblHeader/>
        </w:trPr>
        <w:tc>
          <w:tcPr>
            <w:tcW w:type="dxa" w:w="23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Objectivo</w:t>
            </w:r>
          </w:p>
        </w:tc>
        <w:tc>
          <w:tcPr>
            <w:tcW w:type="dxa" w:w="45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Resultado</w:t>
            </w:r>
          </w:p>
        </w:tc>
        <w:tc>
          <w:tcPr>
            <w:tcW w:type="dxa" w:w="14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Estado</w:t>
            </w:r>
          </w:p>
        </w:tc>
      </w:tr>
      <w:tr>
        <w:trPr>
          <w:cantSplit/>
          <w:tblHeader w:val="false"/>
        </w:trPr>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OE1. Corpus angolano anotado</w:t>
            </w:r>
          </w:p>
        </w:tc>
        <w:tc>
          <w:tcPr>
            <w:tcW w:type="dxa" w:w="4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2.637 comentários públicos anotados por 3 anotadores; κ de Fleiss 0,718; proveniência registada por lote</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Cumprido</w:t>
            </w:r>
          </w:p>
        </w:tc>
      </w:tr>
      <w:tr>
        <w:trPr>
          <w:cantSplit/>
          <w:tblHeader w:val="false"/>
        </w:trPr>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OE2. Comparação de algoritmos</w:t>
            </w:r>
          </w:p>
        </w:tc>
        <w:tc>
          <w:tcPr>
            <w:tcW w:type="dxa" w:w="4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BERTimbau F1-macro 0,807 [0,774; 0,838]; superior aos restantes com p &lt; 10</w:t>
            </w:r>
            <w:r>
              <w:rPr>
                <w:rFonts w:ascii="Times New Roman" w:cs="Times New Roman" w:eastAsia="Times New Roman" w:hAnsi="Times New Roman"/>
                <w:b w:val="false"/>
                <w:bCs w:val="false"/>
                <w:sz w:val="18"/>
                <w:szCs w:val="18"/>
                <w:vertAlign w:val="superscript"/>
              </w:rPr>
              <w:t xml:space="preserve">-47</w:t>
            </w:r>
            <w:r>
              <w:rPr>
                <w:rFonts w:ascii="Times New Roman" w:cs="Times New Roman" w:eastAsia="Times New Roman" w:hAnsi="Times New Roman"/>
                <w:b w:val="false"/>
                <w:bCs w:val="false"/>
                <w:sz w:val="18"/>
                <w:szCs w:val="18"/>
              </w:rPr>
              <w:t xml:space="preserve">; Bi-LSTM sem vantagem sobre a Floresta Aleatória</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Cumprido</w:t>
            </w:r>
          </w:p>
        </w:tc>
      </w:tr>
      <w:tr>
        <w:trPr>
          <w:cantSplit/>
          <w:tblHeader w:val="false"/>
        </w:trPr>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OE3. Lacuna de domínio</w:t>
            </w:r>
          </w:p>
        </w:tc>
        <w:tc>
          <w:tcPr>
            <w:tcW w:type="dxa" w:w="4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F1-macro 0,533 no piloto contra 0,919 no corpus público (Δ 38,6 p.p.); indício de atalhos de estilo na Desinformação</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Cumprido</w:t>
            </w:r>
          </w:p>
        </w:tc>
      </w:tr>
      <w:tr>
        <w:trPr>
          <w:cantSplit/>
          <w:tblHeader w:val="false"/>
        </w:trPr>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OE4. Protótipo do sistema</w:t>
            </w:r>
          </w:p>
        </w:tc>
        <w:tc>
          <w:tcPr>
            <w:tcW w:type="dxa" w:w="4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Aplicação web com contas e papéis, ingestão anonimizada, base de dados auditada, classificação em segundo plano, fila por analista, revisão cega e amostra de controlo; 31 testes; tempo de processamento medido (0,63 s por publicação em CPU; primeiras publicações na fila em 36 s com sublotes); avaliação com analistas por fazer</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Parcialmente cumprido</w:t>
            </w:r>
          </w:p>
        </w:tc>
      </w:tr>
      <w:tr>
        <w:trPr>
          <w:cantSplit/>
          <w:tblHeader w:val="false"/>
        </w:trPr>
        <w:tc>
          <w:tcPr>
            <w:tcW w:type="dxa" w:w="23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OE5. Quadro ético e legal</w:t>
            </w:r>
          </w:p>
        </w:tc>
        <w:tc>
          <w:tcPr>
            <w:tcW w:type="dxa" w:w="45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Salvaguardas implementadas no sistema (pseudonimização, minimização, conservação, auditoria, revisão humana); parecer jurídico recomendado</w:t>
            </w:r>
          </w:p>
        </w:tc>
        <w:tc>
          <w:tcPr>
            <w:tcW w:type="dxa" w:w="14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Cumprido</w:t>
            </w:r>
          </w:p>
        </w:tc>
      </w:tr>
    </w:tbl>
    <w:p>
      <w:pPr>
        <w:spacing w:after="240" w:before="60" w:line="240"/>
        <w:jc w:val="both"/>
      </w:pPr>
    </w:p>
    <w:p>
      <w:pPr>
        <w:pStyle w:val="Heading2"/>
        <w:keepNext/>
        <w:keepLines/>
        <w:spacing w:after="160" w:before="360" w:line="300"/>
      </w:pPr>
      <w:r>
        <w:rPr>
          <w:rFonts w:ascii="Times New Roman" w:cs="Times New Roman" w:eastAsia="Times New Roman" w:hAnsi="Times New Roman"/>
          <w:b/>
          <w:bCs/>
          <w:sz w:val="26"/>
          <w:szCs w:val="26"/>
        </w:rPr>
        <w:t xml:space="preserve">5.2 Resposta às hipóteses</w:t>
      </w:r>
    </w:p>
    <w:p>
      <w:pPr>
        <w:spacing w:after="120" w:before="0" w:line="360"/>
        <w:ind w:firstLine="567"/>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 xml:space="preserve">H1</w:t>
      </w:r>
      <w:r>
        <w:rPr>
          <w:rFonts w:ascii="Times New Roman" w:cs="Times New Roman" w:eastAsia="Times New Roman" w:hAnsi="Times New Roman"/>
          <w:sz w:val="24"/>
          <w:szCs w:val="24"/>
        </w:rPr>
        <w:t xml:space="preserve"> foi parcialmente confirmada. O BERTimbau superou os modelos clássicos por 14,6 a 17,4 pontos percentuais de F1-macro, com diferenças estatisticamente significativas. Já o Bi-LSTM não se distinguiu da Floresta Aleatória (ΔF1 = 0,2 p.p.), o que sugere que, neste volume de dados, o factor decisivo é o pré-treino linguístico e não a arquitectura sequencial.</w:t>
      </w:r>
    </w:p>
    <w:p>
      <w:pPr>
        <w:spacing w:after="120" w:before="0" w:line="360"/>
        <w:ind w:firstLine="567"/>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 xml:space="preserve">H2</w:t>
      </w:r>
      <w:r>
        <w:rPr>
          <w:rFonts w:ascii="Times New Roman" w:cs="Times New Roman" w:eastAsia="Times New Roman" w:hAnsi="Times New Roman"/>
          <w:sz w:val="24"/>
          <w:szCs w:val="24"/>
        </w:rPr>
        <w:t xml:space="preserve"> foi confirmada com condições. O sistema processa cada publicação em cerca de 0,6 a 0,7 segundos num computador sem GPU. Com a gravação por sublotes, as primeiras publicações de qualquer lote chegam à fila em 36 segundos, e todas chegam em menos de 60 segundos quando cada recolha traz até cerca de 64 publicações; recolhas frequentes e pequenas cumprem, assim, o critério. A </w:t>
      </w:r>
      <w:r>
        <w:rPr>
          <w:rFonts w:ascii="Times New Roman" w:cs="Times New Roman" w:eastAsia="Times New Roman" w:hAnsi="Times New Roman"/>
          <w:b/>
          <w:bCs/>
          <w:sz w:val="24"/>
          <w:szCs w:val="24"/>
        </w:rPr>
        <w:t xml:space="preserve">H3</w:t>
      </w:r>
      <w:r>
        <w:rPr>
          <w:rFonts w:ascii="Times New Roman" w:cs="Times New Roman" w:eastAsia="Times New Roman" w:hAnsi="Times New Roman"/>
          <w:sz w:val="24"/>
          <w:szCs w:val="24"/>
        </w:rPr>
        <w:t xml:space="preserve"> não foi testada: exige um corpus datado em torno de eventos documentados, que não existe nesta fase.</w:t>
      </w:r>
    </w:p>
    <w:p>
      <w:pPr>
        <w:spacing w:after="120" w:before="0" w:line="360"/>
        <w:ind w:firstLine="567"/>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 xml:space="preserve">H4</w:t>
      </w:r>
      <w:r>
        <w:rPr>
          <w:rFonts w:ascii="Times New Roman" w:cs="Times New Roman" w:eastAsia="Times New Roman" w:hAnsi="Times New Roman"/>
          <w:sz w:val="24"/>
          <w:szCs w:val="24"/>
        </w:rPr>
        <w:t xml:space="preserve"> foi confirmada. Em conteúdo angolano, o F1-macro do BERTimbau desce 38,6 pontos percentuais, e a diferença mantém-se quando se controla a composição das classes. A queda na Desinformação, de 0,99 para 0,24, mostra que o modelo aprendeu sobretudo o estilo das notícias do Fake.br.</w:t>
      </w:r>
    </w:p>
    <w:p>
      <w:pPr>
        <w:pStyle w:val="Heading2"/>
        <w:keepNext/>
        <w:keepLines/>
        <w:spacing w:after="160" w:before="360" w:line="300"/>
      </w:pPr>
      <w:r>
        <w:rPr>
          <w:rFonts w:ascii="Times New Roman" w:cs="Times New Roman" w:eastAsia="Times New Roman" w:hAnsi="Times New Roman"/>
          <w:b/>
          <w:bCs/>
          <w:sz w:val="26"/>
          <w:szCs w:val="26"/>
        </w:rPr>
        <w:t xml:space="preserve">5.3 Contributos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Corpus angolano anotado.</w:t>
      </w:r>
      <w:r>
        <w:rPr>
          <w:rFonts w:ascii="Times New Roman" w:cs="Times New Roman" w:eastAsia="Times New Roman" w:hAnsi="Times New Roman"/>
          <w:sz w:val="24"/>
          <w:szCs w:val="24"/>
        </w:rPr>
        <w:t xml:space="preserve"> Tanto quanto foi possível apurar, é o primeiro corpus de comentários angolanos anotado para estas quatro categorias, com acordo entre anotadores medido e proveniência documentada.</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Medida da lacuna de domínio.</w:t>
      </w:r>
      <w:r>
        <w:rPr>
          <w:rFonts w:ascii="Times New Roman" w:cs="Times New Roman" w:eastAsia="Times New Roman" w:hAnsi="Times New Roman"/>
          <w:sz w:val="24"/>
          <w:szCs w:val="24"/>
        </w:rPr>
        <w:t xml:space="preserve"> A dissertação quantifica, com intervalos de confiança, quanto se perde ao aplicar a conteúdo angolano um modelo treinado sobretudo com dados brasileiros, e identifica uma causa concreta (a aprendizagem de atalhos de estilo na Desinformação).</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Avaliação metodologicamente cuidada.</w:t>
      </w:r>
      <w:r>
        <w:rPr>
          <w:rFonts w:ascii="Times New Roman" w:cs="Times New Roman" w:eastAsia="Times New Roman" w:hAnsi="Times New Roman"/>
          <w:sz w:val="24"/>
          <w:szCs w:val="24"/>
        </w:rPr>
        <w:t xml:space="preserve"> Intervalos de confiança, testes emparelhados com correcção para comparações múltiplas, repetição com várias sementes e selecção de variantes na validação, sem escolha pelo teste.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Arquitectura de triagem responsável.</w:t>
      </w:r>
      <w:r>
        <w:rPr>
          <w:rFonts w:ascii="Times New Roman" w:cs="Times New Roman" w:eastAsia="Times New Roman" w:hAnsi="Times New Roman"/>
          <w:sz w:val="24"/>
          <w:szCs w:val="24"/>
        </w:rPr>
        <w:t xml:space="preserve"> Um protótipo de código aberto, testado e documentado, que incorpora a protecção de dados desde a concepção e mantém o analista no centro da decisão, adequado aos recursos disponíveis e à soberania sobre os dados.</w:t>
      </w:r>
    </w:p>
    <w:p>
      <w:pPr>
        <w:pStyle w:val="Heading2"/>
        <w:keepNext/>
        <w:keepLines/>
        <w:spacing w:after="160" w:before="360" w:line="300"/>
      </w:pPr>
      <w:r>
        <w:rPr>
          <w:rFonts w:ascii="Times New Roman" w:cs="Times New Roman" w:eastAsia="Times New Roman" w:hAnsi="Times New Roman"/>
          <w:b/>
          <w:bCs/>
          <w:sz w:val="26"/>
          <w:szCs w:val="26"/>
        </w:rPr>
        <w:t xml:space="preserve">5.4 Limitações</w:t>
      </w:r>
    </w:p>
    <w:p>
      <w:pPr>
        <w:spacing w:after="120" w:before="0" w:line="360"/>
        <w:ind w:firstLine="567"/>
        <w:jc w:val="both"/>
      </w:pPr>
      <w:r>
        <w:rPr>
          <w:rFonts w:ascii="Times New Roman" w:cs="Times New Roman" w:eastAsia="Times New Roman" w:hAnsi="Times New Roman"/>
          <w:b/>
          <w:bCs/>
          <w:sz w:val="24"/>
          <w:szCs w:val="24"/>
        </w:rPr>
        <w:t xml:space="preserve">Dimensão e composição do corpus angolano.</w:t>
      </w:r>
      <w:r>
        <w:rPr>
          <w:rFonts w:ascii="Times New Roman" w:cs="Times New Roman" w:eastAsia="Times New Roman" w:hAnsi="Times New Roman"/>
          <w:sz w:val="24"/>
          <w:szCs w:val="24"/>
        </w:rPr>
        <w:t xml:space="preserve"> O piloto tem 2.637 publicações, das quais cerca de 86% são comentários do YouTube. A Mobilização Hostil conta com apenas 47 exemplos no teste, o que torna as estimativas desta categoria instáveis (IC 95% do F1 entre 0,42 e 0,66) e sensíveis à semente de treino.</w:t>
      </w:r>
    </w:p>
    <w:p>
      <w:pPr>
        <w:spacing w:after="120" w:before="0" w:line="360"/>
        <w:ind w:firstLine="567"/>
        <w:jc w:val="both"/>
      </w:pPr>
      <w:r>
        <w:rPr>
          <w:rFonts w:ascii="Times New Roman" w:cs="Times New Roman" w:eastAsia="Times New Roman" w:hAnsi="Times New Roman"/>
          <w:b/>
          <w:bCs/>
          <w:sz w:val="24"/>
          <w:szCs w:val="24"/>
        </w:rPr>
        <w:t xml:space="preserve">Predomínio de dados brasileiros.</w:t>
      </w:r>
      <w:r>
        <w:rPr>
          <w:rFonts w:ascii="Times New Roman" w:cs="Times New Roman" w:eastAsia="Times New Roman" w:hAnsi="Times New Roman"/>
          <w:sz w:val="24"/>
          <w:szCs w:val="24"/>
        </w:rPr>
        <w:t xml:space="preserve"> Cerca de 91% do conjunto de teste provém de corpora brasileiros. O desempenho global descreve, por isso, sobretudo conteúdo brasileiro; a estimativa disponível para Angola é a do piloto (F1-macro de cerca de 0,53), baseada em 355 itens.</w:t>
      </w:r>
    </w:p>
    <w:p>
      <w:pPr>
        <w:spacing w:after="120" w:before="0" w:line="360"/>
        <w:ind w:firstLine="567"/>
        <w:jc w:val="both"/>
      </w:pPr>
      <w:r>
        <w:rPr>
          <w:rFonts w:ascii="Times New Roman" w:cs="Times New Roman" w:eastAsia="Times New Roman" w:hAnsi="Times New Roman"/>
          <w:b/>
          <w:bCs/>
          <w:sz w:val="24"/>
          <w:szCs w:val="24"/>
        </w:rPr>
        <w:t xml:space="preserve">Desinformação.</w:t>
      </w:r>
      <w:r>
        <w:rPr>
          <w:rFonts w:ascii="Times New Roman" w:cs="Times New Roman" w:eastAsia="Times New Roman" w:hAnsi="Times New Roman"/>
          <w:sz w:val="24"/>
          <w:szCs w:val="24"/>
        </w:rPr>
        <w:t xml:space="preserve"> A única fonte pública de desinformação são notícias completas, um género muito diferente dos comentários. O valor elevado desta categoria no teste global não deve ser interpretado como capacidade de detectar desinformação em redes sociais.</w:t>
      </w:r>
    </w:p>
    <w:p>
      <w:pPr>
        <w:spacing w:after="120" w:before="0" w:line="360"/>
        <w:ind w:firstLine="567"/>
        <w:jc w:val="both"/>
      </w:pPr>
      <w:r>
        <w:rPr>
          <w:rFonts w:ascii="Times New Roman" w:cs="Times New Roman" w:eastAsia="Times New Roman" w:hAnsi="Times New Roman"/>
          <w:b/>
          <w:bCs/>
          <w:sz w:val="24"/>
          <w:szCs w:val="24"/>
        </w:rPr>
        <w:t xml:space="preserve">Variação linguística.</w:t>
      </w:r>
      <w:r>
        <w:rPr>
          <w:rFonts w:ascii="Times New Roman" w:cs="Times New Roman" w:eastAsia="Times New Roman" w:hAnsi="Times New Roman"/>
          <w:sz w:val="24"/>
          <w:szCs w:val="24"/>
        </w:rPr>
        <w:t xml:space="preserve"> O corpus não tem marcação de calão ou de línguas nacionais, pelo que não é possível separar o efeito da variedade linguística do efeito da plataforma e do registo. Textos integralmente em kimbundu, kikongo, umbundu ou tchokwe ficam fora do alcance do sistema.</w:t>
      </w:r>
    </w:p>
    <w:p>
      <w:pPr>
        <w:spacing w:after="120" w:before="0" w:line="360"/>
        <w:ind w:firstLine="567"/>
        <w:jc w:val="both"/>
      </w:pPr>
      <w:r>
        <w:rPr>
          <w:rFonts w:ascii="Times New Roman" w:cs="Times New Roman" w:eastAsia="Times New Roman" w:hAnsi="Times New Roman"/>
          <w:b/>
          <w:bCs/>
          <w:sz w:val="24"/>
          <w:szCs w:val="24"/>
        </w:rPr>
        <w:t xml:space="preserve">Avaliação operacional.</w:t>
      </w:r>
      <w:r>
        <w:rPr>
          <w:rFonts w:ascii="Times New Roman" w:cs="Times New Roman" w:eastAsia="Times New Roman" w:hAnsi="Times New Roman"/>
          <w:sz w:val="24"/>
          <w:szCs w:val="24"/>
        </w:rPr>
        <w:t xml:space="preserve"> O tempo de processamento foi medido num único computador, com um único lote, e não inclui o intervalo entre a publicação e a sua recolha. A utilidade da fila para analistas reais e a capacidade de antecipação não foram medidas. O protótipo funciona e está testado, mas a sua eficácia operacional está por demonstrar.</w:t>
      </w:r>
    </w:p>
    <w:p>
      <w:pPr>
        <w:spacing w:after="120" w:before="0" w:line="360"/>
        <w:ind w:firstLine="567"/>
        <w:jc w:val="both"/>
      </w:pPr>
      <w:r>
        <w:rPr>
          <w:rFonts w:ascii="Times New Roman" w:cs="Times New Roman" w:eastAsia="Times New Roman" w:hAnsi="Times New Roman"/>
          <w:b/>
          <w:bCs/>
          <w:sz w:val="24"/>
          <w:szCs w:val="24"/>
        </w:rPr>
        <w:t xml:space="preserve">Fronteira entre protesto e mobilização hostil.</w:t>
      </w:r>
      <w:r>
        <w:rPr>
          <w:rFonts w:ascii="Times New Roman" w:cs="Times New Roman" w:eastAsia="Times New Roman" w:hAnsi="Times New Roman"/>
          <w:sz w:val="24"/>
          <w:szCs w:val="24"/>
        </w:rPr>
        <w:t xml:space="preserve"> Esta fronteira é ambígua mesmo para anotadores humanos. Nenhum resultado desta dissertação autoriza o uso do sistema para fundamentar acções sobre pessoas sem revisão humana e sem enquadramento jurídico.</w:t>
      </w:r>
    </w:p>
    <w:p>
      <w:pPr>
        <w:pStyle w:val="Heading2"/>
        <w:keepNext/>
        <w:keepLines/>
        <w:spacing w:after="160" w:before="360" w:line="300"/>
      </w:pPr>
      <w:r>
        <w:rPr>
          <w:rFonts w:ascii="Times New Roman" w:cs="Times New Roman" w:eastAsia="Times New Roman" w:hAnsi="Times New Roman"/>
          <w:b/>
          <w:bCs/>
          <w:sz w:val="26"/>
          <w:szCs w:val="26"/>
        </w:rPr>
        <w:t xml:space="preserve">5.5 Recomendações e trabalho futuro</w:t>
      </w:r>
    </w:p>
    <w:p>
      <w:pPr>
        <w:spacing w:after="120" w:before="0" w:line="360"/>
        <w:ind w:firstLine="567"/>
        <w:jc w:val="both"/>
      </w:pPr>
      <w:r>
        <w:rPr>
          <w:rFonts w:ascii="Times New Roman" w:cs="Times New Roman" w:eastAsia="Times New Roman" w:hAnsi="Times New Roman"/>
          <w:sz w:val="24"/>
          <w:szCs w:val="24"/>
        </w:rPr>
        <w:t xml:space="preserve">As recomendações estão ordenadas por prioridade. As três primeiras são condições para qualquer uso institucional.</w:t>
      </w:r>
    </w:p>
    <w:p>
      <w:pPr>
        <w:spacing w:after="120" w:before="0" w:line="360"/>
        <w:ind w:firstLine="567"/>
        <w:jc w:val="both"/>
      </w:pPr>
      <w:r>
        <w:rPr>
          <w:rFonts w:ascii="Times New Roman" w:cs="Times New Roman" w:eastAsia="Times New Roman" w:hAnsi="Times New Roman"/>
          <w:b/>
          <w:bCs/>
          <w:sz w:val="24"/>
          <w:szCs w:val="24"/>
        </w:rPr>
        <w:t xml:space="preserve">1. Avaliar o sistema com analistas.</w:t>
      </w:r>
      <w:r>
        <w:rPr>
          <w:rFonts w:ascii="Times New Roman" w:cs="Times New Roman" w:eastAsia="Times New Roman" w:hAnsi="Times New Roman"/>
          <w:sz w:val="24"/>
          <w:szCs w:val="24"/>
        </w:rPr>
        <w:t xml:space="preserve"> Aplicar o protocolo da Secção 3.9 a um lote novo, com analistas: precisão nos primeiros K itens, κ analista–sistema e sensibilidade estimada numa amostra aleatória dos itens classificados como Normal. O sistema já tem as funções necessárias (revisão cega, fila independente por analista e amostra de controlo). Em paralelo, repetir a medição da H2 em equipamento de produção, com recolhas agendadas e pequenas.</w:t>
      </w:r>
    </w:p>
    <w:p>
      <w:pPr>
        <w:spacing w:after="120" w:before="0" w:line="360"/>
        <w:ind w:firstLine="567"/>
        <w:jc w:val="both"/>
      </w:pPr>
      <w:r>
        <w:rPr>
          <w:rFonts w:ascii="Times New Roman" w:cs="Times New Roman" w:eastAsia="Times New Roman" w:hAnsi="Times New Roman"/>
          <w:b/>
          <w:bCs/>
          <w:sz w:val="24"/>
          <w:szCs w:val="24"/>
        </w:rPr>
        <w:t xml:space="preserve">2. Obter parecer jurídico.</w:t>
      </w:r>
      <w:r>
        <w:rPr>
          <w:rFonts w:ascii="Times New Roman" w:cs="Times New Roman" w:eastAsia="Times New Roman" w:hAnsi="Times New Roman"/>
          <w:sz w:val="24"/>
          <w:szCs w:val="24"/>
        </w:rPr>
        <w:t xml:space="preserve"> Antes de qualquer integração institucional, obter parecer sobre a recolha de conteúdos públicos à luz da Lei n.º 22/11, da Lei n.º 7/17 e dos termos de utilização das plataformas, e sobre os limites constitucionais à monitorização de publicações de cidadãos.</w:t>
      </w:r>
    </w:p>
    <w:p>
      <w:pPr>
        <w:spacing w:after="120" w:before="0" w:line="360"/>
        <w:ind w:firstLine="567"/>
        <w:jc w:val="both"/>
      </w:pPr>
      <w:r>
        <w:rPr>
          <w:rFonts w:ascii="Times New Roman" w:cs="Times New Roman" w:eastAsia="Times New Roman" w:hAnsi="Times New Roman"/>
          <w:b/>
          <w:bCs/>
          <w:sz w:val="24"/>
          <w:szCs w:val="24"/>
        </w:rPr>
        <w:t xml:space="preserve">3. Ampliar o corpus angolano e medir sempre em Angola.</w:t>
      </w:r>
      <w:r>
        <w:rPr>
          <w:rFonts w:ascii="Times New Roman" w:cs="Times New Roman" w:eastAsia="Times New Roman" w:hAnsi="Times New Roman"/>
          <w:sz w:val="24"/>
          <w:szCs w:val="24"/>
        </w:rPr>
        <w:t xml:space="preserve"> Aumentar o número de exemplos anotados, em especial de Mobilização Hostil e de Desinformação em comentários, e diversificar as plataformas por vias oficiais. O desempenho em conteúdo angolano deve passar a ser a métrica principal do sistema.</w:t>
      </w:r>
    </w:p>
    <w:p>
      <w:pPr>
        <w:spacing w:after="120" w:before="0" w:line="360"/>
        <w:ind w:firstLine="567"/>
        <w:jc w:val="both"/>
      </w:pPr>
      <w:r>
        <w:rPr>
          <w:rFonts w:ascii="Times New Roman" w:cs="Times New Roman" w:eastAsia="Times New Roman" w:hAnsi="Times New Roman"/>
          <w:b/>
          <w:bCs/>
          <w:sz w:val="24"/>
          <w:szCs w:val="24"/>
        </w:rPr>
        <w:t xml:space="preserve">4. Substituir a fonte de desinformação.</w:t>
      </w:r>
      <w:r>
        <w:rPr>
          <w:rFonts w:ascii="Times New Roman" w:cs="Times New Roman" w:eastAsia="Times New Roman" w:hAnsi="Times New Roman"/>
          <w:sz w:val="24"/>
          <w:szCs w:val="24"/>
        </w:rPr>
        <w:t xml:space="preserve"> Construir ou adoptar exemplos de desinformação em formato de publicação curta, de preferência angolanos, para evitar que o modelo aprenda o estilo jornalístico em vez do fenómeno.</w:t>
      </w:r>
    </w:p>
    <w:p>
      <w:pPr>
        <w:spacing w:after="120" w:before="0" w:line="360"/>
        <w:ind w:firstLine="567"/>
        <w:jc w:val="both"/>
      </w:pPr>
      <w:r>
        <w:rPr>
          <w:rFonts w:ascii="Times New Roman" w:cs="Times New Roman" w:eastAsia="Times New Roman" w:hAnsi="Times New Roman"/>
          <w:b/>
          <w:bCs/>
          <w:sz w:val="24"/>
          <w:szCs w:val="24"/>
        </w:rPr>
        <w:t xml:space="preserve">5. Adaptar o modelo ao domínio.</w:t>
      </w:r>
      <w:r>
        <w:rPr>
          <w:rFonts w:ascii="Times New Roman" w:cs="Times New Roman" w:eastAsia="Times New Roman" w:hAnsi="Times New Roman"/>
          <w:sz w:val="24"/>
          <w:szCs w:val="24"/>
        </w:rPr>
        <w:t xml:space="preserve"> Continuar o pré-treino do BERTimbau com comentários angolanos não anotados, quando houver um volume suficiente (da ordem das dezenas de milhares de textos), seguindo Gururangan et al. (2020).</w:t>
      </w:r>
    </w:p>
    <w:p>
      <w:pPr>
        <w:spacing w:after="120" w:before="0" w:line="360"/>
        <w:ind w:firstLine="567"/>
        <w:jc w:val="both"/>
      </w:pPr>
      <w:r>
        <w:rPr>
          <w:rFonts w:ascii="Times New Roman" w:cs="Times New Roman" w:eastAsia="Times New Roman" w:hAnsi="Times New Roman"/>
          <w:b/>
          <w:bCs/>
          <w:sz w:val="24"/>
          <w:szCs w:val="24"/>
        </w:rPr>
        <w:t xml:space="preserve">6. Marcar a variedade linguística.</w:t>
      </w:r>
      <w:r>
        <w:rPr>
          <w:rFonts w:ascii="Times New Roman" w:cs="Times New Roman" w:eastAsia="Times New Roman" w:hAnsi="Times New Roman"/>
          <w:sz w:val="24"/>
          <w:szCs w:val="24"/>
        </w:rPr>
        <w:t xml:space="preserve"> Acrescentar ao guia de anotação a marcação de calão e de línguas nacionais, para permitir medir separadamente o seu efeito, e envolver linguistas na construção de recursos para as línguas nacionais.</w:t>
      </w:r>
    </w:p>
    <w:p>
      <w:pPr>
        <w:spacing w:after="120" w:before="0" w:line="360"/>
        <w:ind w:firstLine="567"/>
        <w:jc w:val="both"/>
      </w:pPr>
      <w:r>
        <w:rPr>
          <w:rFonts w:ascii="Times New Roman" w:cs="Times New Roman" w:eastAsia="Times New Roman" w:hAnsi="Times New Roman"/>
          <w:b/>
          <w:bCs/>
          <w:sz w:val="24"/>
          <w:szCs w:val="24"/>
        </w:rPr>
        <w:t xml:space="preserve">7. Validar a antecipação (H3).</w:t>
      </w:r>
      <w:r>
        <w:rPr>
          <w:rFonts w:ascii="Times New Roman" w:cs="Times New Roman" w:eastAsia="Times New Roman" w:hAnsi="Times New Roman"/>
          <w:sz w:val="24"/>
          <w:szCs w:val="24"/>
        </w:rPr>
        <w:t xml:space="preserve"> Constituir um corpus datado em torno de eventos documentados, com divisão cronológica estrita, e acrescentar ao sistema indicadores agregados no tempo, incluindo métricas de análise de redes para detectar publicação coordenada.</w:t>
      </w:r>
    </w:p>
    <w:p>
      <w:pPr>
        <w:spacing w:after="120" w:before="0" w:line="360"/>
        <w:ind w:firstLine="567"/>
        <w:jc w:val="both"/>
      </w:pPr>
      <w:r>
        <w:rPr>
          <w:rFonts w:ascii="Times New Roman" w:cs="Times New Roman" w:eastAsia="Times New Roman" w:hAnsi="Times New Roman"/>
          <w:b/>
          <w:bCs/>
          <w:sz w:val="24"/>
          <w:szCs w:val="24"/>
        </w:rPr>
        <w:t xml:space="preserve">8. Cooperação e enquadramento normativo.</w:t>
      </w:r>
      <w:r>
        <w:rPr>
          <w:rFonts w:ascii="Times New Roman" w:cs="Times New Roman" w:eastAsia="Times New Roman" w:hAnsi="Times New Roman"/>
          <w:sz w:val="24"/>
          <w:szCs w:val="24"/>
        </w:rPr>
        <w:t xml:space="preserve"> Partilhar recursos e metodologias com instituições do espaço da CPLP que enfrentam problemas semelhantes, e contribuir para um enquadramento nacional sobre o uso de inteligência artificial em segurança, com requisitos de transparência, auditoria e supervisão humana.</w:t>
      </w:r>
    </w:p>
    <w:p>
      <w:pPr>
        <w:pStyle w:val="Heading2"/>
        <w:keepNext/>
        <w:keepLines/>
        <w:spacing w:after="160" w:before="360" w:line="300"/>
      </w:pPr>
      <w:r>
        <w:rPr>
          <w:rFonts w:ascii="Times New Roman" w:cs="Times New Roman" w:eastAsia="Times New Roman" w:hAnsi="Times New Roman"/>
          <w:b/>
          <w:bCs/>
          <w:sz w:val="26"/>
          <w:szCs w:val="26"/>
        </w:rPr>
        <w:t xml:space="preserve">5.6 Considerações finais</w:t>
      </w:r>
    </w:p>
    <w:p>
      <w:pPr>
        <w:spacing w:after="120" w:before="0" w:line="360"/>
        <w:ind w:firstLine="567"/>
        <w:jc w:val="both"/>
      </w:pPr>
      <w:r>
        <w:rPr>
          <w:rFonts w:ascii="Times New Roman" w:cs="Times New Roman" w:eastAsia="Times New Roman" w:hAnsi="Times New Roman"/>
          <w:sz w:val="24"/>
          <w:szCs w:val="24"/>
        </w:rPr>
        <w:t xml:space="preserve">Os resultados mostram que um modelo de linguagem pré-treinado em português é claramente superior aos métodos clássicos, mas também que esse desempenho não se transfere intacto para o conteúdo angolano. Esta segunda conclusão é talvez a mais útil, porque indica onde vale a pena investir: em dados angolanos anotados, em avaliação no domínio real e em sistemas que tratem a classificação como uma sugestão e não como um veredicto. O protótipo desenvolvido segue esse princípio e fica disponível como base para as fases seguintes.</w:t>
      </w:r>
    </w:p>
    <w:p>
      <w:pPr>
        <w:sectPr>
          <w:headerReference w:type="default" r:id="rId21"/>
          <w:footerReference w:type="default" r:id="rId22"/>
          <w:type w:val="nextPage"/>
          <w:pgSz w:w="11906" w:h="16838" w:orient="portrait"/>
          <w:pgMar w:top="1701" w:right="1701" w:bottom="1417" w:left="1984" w:header="850" w:footer="567" w:gutter="0"/>
          <w:pgNumType/>
          <w:docGrid w:linePitch="360"/>
        </w:sectPr>
      </w:pPr>
    </w:p>
    <w:p>
      <w:pPr>
        <w:pStyle w:val="Heading1"/>
        <w:spacing w:after="480" w:before="567"/>
        <w:jc w:val="left"/>
      </w:pPr>
      <w:r>
        <w:rPr>
          <w:rFonts w:ascii="Times New Roman" w:cs="Times New Roman" w:eastAsia="Times New Roman" w:hAnsi="Times New Roman"/>
          <w:b/>
          <w:bCs/>
          <w:sz w:val="28"/>
          <w:szCs w:val="28"/>
        </w:rPr>
        <w:t xml:space="preserve">REFERÊNCIAS BIBLIOGRÁFICAS</w:t>
      </w:r>
    </w:p>
    <w:p>
      <w:pPr>
        <w:spacing w:after="240" w:line="240"/>
        <w:ind w:left="567" w:hanging="567"/>
        <w:jc w:val="left"/>
      </w:pPr>
      <w:r>
        <w:rPr>
          <w:rFonts w:ascii="Times New Roman" w:cs="Times New Roman" w:eastAsia="Times New Roman" w:hAnsi="Times New Roman"/>
          <w:sz w:val="24"/>
          <w:szCs w:val="24"/>
        </w:rPr>
        <w:t xml:space="preserve">AFRIPOL. (2023). </w:t>
      </w:r>
      <w:r>
        <w:rPr>
          <w:rFonts w:ascii="Times New Roman" w:cs="Times New Roman" w:eastAsia="Times New Roman" w:hAnsi="Times New Roman"/>
          <w:i/>
          <w:iCs/>
          <w:sz w:val="24"/>
          <w:szCs w:val="24"/>
        </w:rPr>
        <w:t xml:space="preserve">African cyberthreat assessment report</w:t>
      </w:r>
      <w:r>
        <w:rPr>
          <w:rFonts w:ascii="Times New Roman" w:cs="Times New Roman" w:eastAsia="Times New Roman" w:hAnsi="Times New Roman"/>
          <w:sz w:val="24"/>
          <w:szCs w:val="24"/>
        </w:rPr>
        <w:t xml:space="preserve">. African Union Mechanism for Police Cooperation; INTERPOL.</w:t>
      </w:r>
    </w:p>
    <w:p>
      <w:pPr>
        <w:spacing w:after="240" w:line="240"/>
        <w:ind w:left="567" w:hanging="567"/>
        <w:jc w:val="left"/>
      </w:pPr>
      <w:r>
        <w:rPr>
          <w:rFonts w:ascii="Times New Roman" w:cs="Times New Roman" w:eastAsia="Times New Roman" w:hAnsi="Times New Roman"/>
          <w:sz w:val="24"/>
          <w:szCs w:val="24"/>
        </w:rPr>
        <w:t xml:space="preserve">Boyd, D. M., &amp; Ellison, N. B. (2007). Social network sites: Definition, history, and scholarship. </w:t>
      </w:r>
      <w:r>
        <w:rPr>
          <w:rFonts w:ascii="Times New Roman" w:cs="Times New Roman" w:eastAsia="Times New Roman" w:hAnsi="Times New Roman"/>
          <w:i/>
          <w:iCs/>
          <w:sz w:val="24"/>
          <w:szCs w:val="24"/>
        </w:rPr>
        <w:t xml:space="preserve">Journal of Computer-Mediated Communication, 13</w:t>
      </w:r>
      <w:r>
        <w:rPr>
          <w:rFonts w:ascii="Times New Roman" w:cs="Times New Roman" w:eastAsia="Times New Roman" w:hAnsi="Times New Roman"/>
          <w:sz w:val="24"/>
          <w:szCs w:val="24"/>
        </w:rPr>
        <w:t xml:space="preserve">(1), 210–230. https://doi.org/10.1111/j.1083-6101.2007.00393.x</w:t>
      </w:r>
    </w:p>
    <w:p>
      <w:pPr>
        <w:spacing w:after="240" w:line="240"/>
        <w:ind w:left="567" w:hanging="567"/>
        <w:jc w:val="left"/>
      </w:pPr>
      <w:r>
        <w:rPr>
          <w:rFonts w:ascii="Times New Roman" w:cs="Times New Roman" w:eastAsia="Times New Roman" w:hAnsi="Times New Roman"/>
          <w:sz w:val="24"/>
          <w:szCs w:val="24"/>
        </w:rPr>
        <w:t xml:space="preserve">Breiman, L. (2001). Random forests. </w:t>
      </w:r>
      <w:r>
        <w:rPr>
          <w:rFonts w:ascii="Times New Roman" w:cs="Times New Roman" w:eastAsia="Times New Roman" w:hAnsi="Times New Roman"/>
          <w:i/>
          <w:iCs/>
          <w:sz w:val="24"/>
          <w:szCs w:val="24"/>
        </w:rPr>
        <w:t xml:space="preserve">Machine Learning, 45</w:t>
      </w:r>
      <w:r>
        <w:rPr>
          <w:rFonts w:ascii="Times New Roman" w:cs="Times New Roman" w:eastAsia="Times New Roman" w:hAnsi="Times New Roman"/>
          <w:sz w:val="24"/>
          <w:szCs w:val="24"/>
        </w:rPr>
        <w:t xml:space="preserve">(1), 5–32. https://doi.org/10.1023/A:1010933404324</w:t>
      </w:r>
    </w:p>
    <w:p>
      <w:pPr>
        <w:spacing w:after="240" w:line="240"/>
        <w:ind w:left="567" w:hanging="567"/>
        <w:jc w:val="left"/>
      </w:pPr>
      <w:r>
        <w:rPr>
          <w:rFonts w:ascii="Times New Roman" w:cs="Times New Roman" w:eastAsia="Times New Roman" w:hAnsi="Times New Roman"/>
          <w:sz w:val="24"/>
          <w:szCs w:val="24"/>
        </w:rPr>
        <w:t xml:space="preserve">Castells, M. (2013). </w:t>
      </w:r>
      <w:r>
        <w:rPr>
          <w:rFonts w:ascii="Times New Roman" w:cs="Times New Roman" w:eastAsia="Times New Roman" w:hAnsi="Times New Roman"/>
          <w:i/>
          <w:iCs/>
          <w:sz w:val="24"/>
          <w:szCs w:val="24"/>
        </w:rPr>
        <w:t xml:space="preserve">Redes de indignação e esperança: Movimentos sociais na era da Internet</w:t>
      </w:r>
      <w:r>
        <w:rPr>
          <w:rFonts w:ascii="Times New Roman" w:cs="Times New Roman" w:eastAsia="Times New Roman" w:hAnsi="Times New Roman"/>
          <w:sz w:val="24"/>
          <w:szCs w:val="24"/>
        </w:rPr>
        <w:t xml:space="preserve">. Zahar.</w:t>
      </w:r>
    </w:p>
    <w:p>
      <w:pPr>
        <w:spacing w:after="240" w:line="240"/>
        <w:ind w:left="567" w:hanging="567"/>
        <w:jc w:val="left"/>
      </w:pPr>
      <w:r>
        <w:rPr>
          <w:rFonts w:ascii="Times New Roman" w:cs="Times New Roman" w:eastAsia="Times New Roman" w:hAnsi="Times New Roman"/>
          <w:sz w:val="24"/>
          <w:szCs w:val="24"/>
        </w:rPr>
        <w:t xml:space="preserve">Cintra, E. S. (2025). </w:t>
      </w:r>
      <w:r>
        <w:rPr>
          <w:rFonts w:ascii="Times New Roman" w:cs="Times New Roman" w:eastAsia="Times New Roman" w:hAnsi="Times New Roman"/>
          <w:i/>
          <w:iCs/>
          <w:sz w:val="24"/>
          <w:szCs w:val="24"/>
        </w:rPr>
        <w:t xml:space="preserve">Desafios midiáticos digitais contemporâneos: Um estudo da ciência das redes como contribuição ao Ministério da Defesa do Brasil sobre as aplicações do terrorismo peer-to-peer</w:t>
      </w:r>
      <w:r>
        <w:rPr>
          <w:rFonts w:ascii="Times New Roman" w:cs="Times New Roman" w:eastAsia="Times New Roman" w:hAnsi="Times New Roman"/>
          <w:sz w:val="24"/>
          <w:szCs w:val="24"/>
        </w:rPr>
        <w:t xml:space="preserve"> [Dissertação de mestrado, Escola Superior de Guerra].</w:t>
      </w:r>
    </w:p>
    <w:p>
      <w:pPr>
        <w:spacing w:after="240" w:line="240"/>
        <w:ind w:left="567" w:hanging="567"/>
        <w:jc w:val="left"/>
      </w:pPr>
      <w:r>
        <w:rPr>
          <w:rFonts w:ascii="Times New Roman" w:cs="Times New Roman" w:eastAsia="Times New Roman" w:hAnsi="Times New Roman"/>
          <w:sz w:val="24"/>
          <w:szCs w:val="24"/>
        </w:rPr>
        <w:t xml:space="preserve">Chawla, N. V., Bowyer, K. W., Hall, L. O., &amp; Kegelmeyer, W. P. (2002). SMOTE: Synthetic minority over-sampling technique. </w:t>
      </w:r>
      <w:r>
        <w:rPr>
          <w:rFonts w:ascii="Times New Roman" w:cs="Times New Roman" w:eastAsia="Times New Roman" w:hAnsi="Times New Roman"/>
          <w:i/>
          <w:iCs/>
          <w:sz w:val="24"/>
          <w:szCs w:val="24"/>
        </w:rPr>
        <w:t xml:space="preserve">Journal of Artificial Intelligence Research, 16</w:t>
      </w:r>
      <w:r>
        <w:rPr>
          <w:rFonts w:ascii="Times New Roman" w:cs="Times New Roman" w:eastAsia="Times New Roman" w:hAnsi="Times New Roman"/>
          <w:sz w:val="24"/>
          <w:szCs w:val="24"/>
        </w:rPr>
        <w:t xml:space="preserve">, 321–357. https://doi.org/10.1613/jair.953</w:t>
      </w:r>
    </w:p>
    <w:p>
      <w:pPr>
        <w:spacing w:after="240" w:line="240"/>
        <w:ind w:left="567" w:hanging="567"/>
        <w:jc w:val="left"/>
      </w:pPr>
      <w:r>
        <w:rPr>
          <w:rFonts w:ascii="Times New Roman" w:cs="Times New Roman" w:eastAsia="Times New Roman" w:hAnsi="Times New Roman"/>
          <w:sz w:val="24"/>
          <w:szCs w:val="24"/>
        </w:rPr>
        <w:t xml:space="preserve">Cohen, J. (1960). A coefficient of agreement for nominal scales. </w:t>
      </w:r>
      <w:r>
        <w:rPr>
          <w:rFonts w:ascii="Times New Roman" w:cs="Times New Roman" w:eastAsia="Times New Roman" w:hAnsi="Times New Roman"/>
          <w:i/>
          <w:iCs/>
          <w:sz w:val="24"/>
          <w:szCs w:val="24"/>
        </w:rPr>
        <w:t xml:space="preserve">Educational and Psychological Measurement, 20</w:t>
      </w:r>
      <w:r>
        <w:rPr>
          <w:rFonts w:ascii="Times New Roman" w:cs="Times New Roman" w:eastAsia="Times New Roman" w:hAnsi="Times New Roman"/>
          <w:sz w:val="24"/>
          <w:szCs w:val="24"/>
        </w:rPr>
        <w:t xml:space="preserve">(1), 37–46. https://doi.org/10.1177/001316446002000104</w:t>
      </w:r>
    </w:p>
    <w:p>
      <w:pPr>
        <w:spacing w:after="240" w:line="240"/>
        <w:ind w:left="567" w:hanging="567"/>
        <w:jc w:val="left"/>
      </w:pPr>
      <w:r>
        <w:rPr>
          <w:rFonts w:ascii="Times New Roman" w:cs="Times New Roman" w:eastAsia="Times New Roman" w:hAnsi="Times New Roman"/>
          <w:sz w:val="24"/>
          <w:szCs w:val="24"/>
        </w:rPr>
        <w:t xml:space="preserve">Conselho da Europa. (2022). </w:t>
      </w:r>
      <w:r>
        <w:rPr>
          <w:rFonts w:ascii="Times New Roman" w:cs="Times New Roman" w:eastAsia="Times New Roman" w:hAnsi="Times New Roman"/>
          <w:i/>
          <w:iCs/>
          <w:sz w:val="24"/>
          <w:szCs w:val="24"/>
        </w:rPr>
        <w:t xml:space="preserve">Recomendação CM/Rec(2022)16 do Comité de Ministros aos Estados-membros sobre o combate ao discurso de ódio</w:t>
      </w:r>
      <w:r>
        <w:rPr>
          <w:rFonts w:ascii="Times New Roman" w:cs="Times New Roman" w:eastAsia="Times New Roman" w:hAnsi="Times New Roman"/>
          <w:sz w:val="24"/>
          <w:szCs w:val="24"/>
        </w:rPr>
        <w:t xml:space="preserve">. Conselho da Europa.</w:t>
      </w:r>
    </w:p>
    <w:p>
      <w:pPr>
        <w:spacing w:after="240" w:line="240"/>
        <w:ind w:left="567" w:hanging="567"/>
        <w:jc w:val="left"/>
      </w:pPr>
      <w:r>
        <w:rPr>
          <w:rFonts w:ascii="Times New Roman" w:cs="Times New Roman" w:eastAsia="Times New Roman" w:hAnsi="Times New Roman"/>
          <w:sz w:val="24"/>
          <w:szCs w:val="24"/>
        </w:rPr>
        <w:t xml:space="preserve">Cortes, C., &amp; Vapnik, V. (1995). Support-vector networks. </w:t>
      </w:r>
      <w:r>
        <w:rPr>
          <w:rFonts w:ascii="Times New Roman" w:cs="Times New Roman" w:eastAsia="Times New Roman" w:hAnsi="Times New Roman"/>
          <w:i/>
          <w:iCs/>
          <w:sz w:val="24"/>
          <w:szCs w:val="24"/>
        </w:rPr>
        <w:t xml:space="preserve">Machine Learning, 20</w:t>
      </w:r>
      <w:r>
        <w:rPr>
          <w:rFonts w:ascii="Times New Roman" w:cs="Times New Roman" w:eastAsia="Times New Roman" w:hAnsi="Times New Roman"/>
          <w:sz w:val="24"/>
          <w:szCs w:val="24"/>
        </w:rPr>
        <w:t xml:space="preserve">(3), 273–297. https://doi.org/10.1007/BF00994018</w:t>
      </w:r>
    </w:p>
    <w:p>
      <w:pPr>
        <w:spacing w:after="240" w:line="240"/>
        <w:ind w:left="567" w:hanging="567"/>
        <w:jc w:val="left"/>
      </w:pPr>
      <w:r>
        <w:rPr>
          <w:rFonts w:ascii="Times New Roman" w:cs="Times New Roman" w:eastAsia="Times New Roman" w:hAnsi="Times New Roman"/>
          <w:sz w:val="24"/>
          <w:szCs w:val="24"/>
        </w:rPr>
        <w:t xml:space="preserve">Defense Advanced Research Projects Agency. (2016). </w:t>
      </w:r>
      <w:r>
        <w:rPr>
          <w:rFonts w:ascii="Times New Roman" w:cs="Times New Roman" w:eastAsia="Times New Roman" w:hAnsi="Times New Roman"/>
          <w:i/>
          <w:iCs/>
          <w:sz w:val="24"/>
          <w:szCs w:val="24"/>
        </w:rPr>
        <w:t xml:space="preserve">Media forensics (MediFor)</w:t>
      </w:r>
      <w:r>
        <w:rPr>
          <w:rFonts w:ascii="Times New Roman" w:cs="Times New Roman" w:eastAsia="Times New Roman" w:hAnsi="Times New Roman"/>
          <w:sz w:val="24"/>
          <w:szCs w:val="24"/>
        </w:rPr>
        <w:t xml:space="preserve">. U.S. Department of Defense. https://www.darpa.mil/research/programs/media-forensics</w:t>
      </w:r>
    </w:p>
    <w:p>
      <w:pPr>
        <w:spacing w:after="240" w:line="240"/>
        <w:ind w:left="567" w:hanging="567"/>
        <w:jc w:val="left"/>
      </w:pPr>
      <w:r>
        <w:rPr>
          <w:rFonts w:ascii="Times New Roman" w:cs="Times New Roman" w:eastAsia="Times New Roman" w:hAnsi="Times New Roman"/>
          <w:sz w:val="24"/>
          <w:szCs w:val="24"/>
        </w:rPr>
        <w:t xml:space="preserve">Devlin, J., Chang, M.-W., Lee, K., &amp; Toutanova, K. (2018). </w:t>
      </w:r>
      <w:r>
        <w:rPr>
          <w:rFonts w:ascii="Times New Roman" w:cs="Times New Roman" w:eastAsia="Times New Roman" w:hAnsi="Times New Roman"/>
          <w:i/>
          <w:iCs/>
          <w:sz w:val="24"/>
          <w:szCs w:val="24"/>
        </w:rPr>
        <w:t xml:space="preserve">BERT: Pre-training of deep bidirectional transformers for language understanding</w:t>
      </w:r>
      <w:r>
        <w:rPr>
          <w:rFonts w:ascii="Times New Roman" w:cs="Times New Roman" w:eastAsia="Times New Roman" w:hAnsi="Times New Roman"/>
          <w:sz w:val="24"/>
          <w:szCs w:val="24"/>
        </w:rPr>
        <w:t xml:space="preserve"> (arXiv:1810.04805). arXiv. https://arxiv.org/abs/1810.04805</w:t>
      </w:r>
    </w:p>
    <w:p>
      <w:pPr>
        <w:spacing w:after="240" w:line="240"/>
        <w:ind w:left="567" w:hanging="567"/>
        <w:jc w:val="left"/>
      </w:pPr>
      <w:r>
        <w:rPr>
          <w:rFonts w:ascii="Times New Roman" w:cs="Times New Roman" w:eastAsia="Times New Roman" w:hAnsi="Times New Roman"/>
          <w:sz w:val="24"/>
          <w:szCs w:val="24"/>
        </w:rPr>
        <w:t xml:space="preserve">Dietterich, T. G. (1998). Approximate statistical tests for comparing supervised classification learning algorithms. </w:t>
      </w:r>
      <w:r>
        <w:rPr>
          <w:rFonts w:ascii="Times New Roman" w:cs="Times New Roman" w:eastAsia="Times New Roman" w:hAnsi="Times New Roman"/>
          <w:i/>
          <w:iCs/>
          <w:sz w:val="24"/>
          <w:szCs w:val="24"/>
        </w:rPr>
        <w:t xml:space="preserve">Neural Computation, 10</w:t>
      </w:r>
      <w:r>
        <w:rPr>
          <w:rFonts w:ascii="Times New Roman" w:cs="Times New Roman" w:eastAsia="Times New Roman" w:hAnsi="Times New Roman"/>
          <w:sz w:val="24"/>
          <w:szCs w:val="24"/>
        </w:rPr>
        <w:t xml:space="preserve">(7), 1895–1923. https://doi.org/10.1162/089976698300017197</w:t>
      </w:r>
    </w:p>
    <w:p>
      <w:pPr>
        <w:spacing w:after="240" w:line="240"/>
        <w:ind w:left="567" w:hanging="567"/>
        <w:jc w:val="left"/>
      </w:pPr>
      <w:r>
        <w:rPr>
          <w:rFonts w:ascii="Times New Roman" w:cs="Times New Roman" w:eastAsia="Times New Roman" w:hAnsi="Times New Roman"/>
          <w:sz w:val="24"/>
          <w:szCs w:val="24"/>
        </w:rPr>
        <w:t xml:space="preserve">Efron, B., &amp; Tibshirani, R. J. (1993). </w:t>
      </w:r>
      <w:r>
        <w:rPr>
          <w:rFonts w:ascii="Times New Roman" w:cs="Times New Roman" w:eastAsia="Times New Roman" w:hAnsi="Times New Roman"/>
          <w:i/>
          <w:iCs/>
          <w:sz w:val="24"/>
          <w:szCs w:val="24"/>
        </w:rPr>
        <w:t xml:space="preserve">An introduction to the bootstrap</w:t>
      </w:r>
      <w:r>
        <w:rPr>
          <w:rFonts w:ascii="Times New Roman" w:cs="Times New Roman" w:eastAsia="Times New Roman" w:hAnsi="Times New Roman"/>
          <w:sz w:val="24"/>
          <w:szCs w:val="24"/>
        </w:rPr>
        <w:t xml:space="preserve">. Chapman &amp; Hall.</w:t>
      </w:r>
    </w:p>
    <w:p>
      <w:pPr>
        <w:spacing w:after="240" w:line="240"/>
        <w:ind w:left="567" w:hanging="567"/>
        <w:jc w:val="left"/>
      </w:pPr>
      <w:r>
        <w:rPr>
          <w:rFonts w:ascii="Times New Roman" w:cs="Times New Roman" w:eastAsia="Times New Roman" w:hAnsi="Times New Roman"/>
          <w:sz w:val="24"/>
          <w:szCs w:val="24"/>
        </w:rPr>
        <w:t xml:space="preserve">Elias, L. (2019). O terrorismo transnacional contemporâneo: Segurança, justiça e cooperação. </w:t>
      </w:r>
      <w:r>
        <w:rPr>
          <w:rFonts w:ascii="Times New Roman" w:cs="Times New Roman" w:eastAsia="Times New Roman" w:hAnsi="Times New Roman"/>
          <w:i/>
          <w:iCs/>
          <w:sz w:val="24"/>
          <w:szCs w:val="24"/>
        </w:rPr>
        <w:t xml:space="preserve">Nação e Defesa, 152</w:t>
      </w:r>
      <w:r>
        <w:rPr>
          <w:rFonts w:ascii="Times New Roman" w:cs="Times New Roman" w:eastAsia="Times New Roman" w:hAnsi="Times New Roman"/>
          <w:sz w:val="24"/>
          <w:szCs w:val="24"/>
        </w:rPr>
        <w:t xml:space="preserve">, 78–112.</w:t>
      </w:r>
    </w:p>
    <w:p>
      <w:pPr>
        <w:spacing w:after="240" w:line="240"/>
        <w:ind w:left="567" w:hanging="567"/>
        <w:jc w:val="left"/>
      </w:pPr>
      <w:r>
        <w:rPr>
          <w:rFonts w:ascii="Times New Roman" w:cs="Times New Roman" w:eastAsia="Times New Roman" w:hAnsi="Times New Roman"/>
          <w:sz w:val="24"/>
          <w:szCs w:val="24"/>
        </w:rPr>
        <w:t xml:space="preserve">EU DisinfoLab. (2020). </w:t>
      </w:r>
      <w:r>
        <w:rPr>
          <w:rFonts w:ascii="Times New Roman" w:cs="Times New Roman" w:eastAsia="Times New Roman" w:hAnsi="Times New Roman"/>
          <w:i/>
          <w:iCs/>
          <w:sz w:val="24"/>
          <w:szCs w:val="24"/>
        </w:rPr>
        <w:t xml:space="preserve">Methodologies for mapping disinformation networks and social network analysis</w:t>
      </w:r>
      <w:r>
        <w:rPr>
          <w:rFonts w:ascii="Times New Roman" w:cs="Times New Roman" w:eastAsia="Times New Roman" w:hAnsi="Times New Roman"/>
          <w:sz w:val="24"/>
          <w:szCs w:val="24"/>
        </w:rPr>
        <w:t xml:space="preserve">. EU DisinfoLab. https://www.disinfo.eu/</w:t>
      </w:r>
    </w:p>
    <w:p>
      <w:pPr>
        <w:spacing w:after="240" w:line="240"/>
        <w:ind w:left="567" w:hanging="567"/>
        <w:jc w:val="left"/>
      </w:pPr>
      <w:r>
        <w:rPr>
          <w:rFonts w:ascii="Times New Roman" w:cs="Times New Roman" w:eastAsia="Times New Roman" w:hAnsi="Times New Roman"/>
          <w:sz w:val="24"/>
          <w:szCs w:val="24"/>
        </w:rPr>
        <w:t xml:space="preserve">EU DisinfoLab. (2021). </w:t>
      </w:r>
      <w:r>
        <w:rPr>
          <w:rFonts w:ascii="Times New Roman" w:cs="Times New Roman" w:eastAsia="Times New Roman" w:hAnsi="Times New Roman"/>
          <w:i/>
          <w:iCs/>
          <w:sz w:val="24"/>
          <w:szCs w:val="24"/>
        </w:rPr>
        <w:t xml:space="preserve">Indian chronicles: Deep dive into a 15-year operation targeting the EU and UN</w:t>
      </w:r>
      <w:r>
        <w:rPr>
          <w:rFonts w:ascii="Times New Roman" w:cs="Times New Roman" w:eastAsia="Times New Roman" w:hAnsi="Times New Roman"/>
          <w:sz w:val="24"/>
          <w:szCs w:val="24"/>
        </w:rPr>
        <w:t xml:space="preserve">. EU DisinfoLab.</w:t>
      </w:r>
    </w:p>
    <w:p>
      <w:pPr>
        <w:spacing w:after="240" w:line="240"/>
        <w:ind w:left="567" w:hanging="567"/>
        <w:jc w:val="left"/>
      </w:pPr>
      <w:r>
        <w:rPr>
          <w:rFonts w:ascii="Times New Roman" w:cs="Times New Roman" w:eastAsia="Times New Roman" w:hAnsi="Times New Roman"/>
          <w:sz w:val="24"/>
          <w:szCs w:val="24"/>
        </w:rPr>
        <w:t xml:space="preserve">Fleiss, J. L. (1971). Measuring nominal scale agreement among many raters. </w:t>
      </w:r>
      <w:r>
        <w:rPr>
          <w:rFonts w:ascii="Times New Roman" w:cs="Times New Roman" w:eastAsia="Times New Roman" w:hAnsi="Times New Roman"/>
          <w:i/>
          <w:iCs/>
          <w:sz w:val="24"/>
          <w:szCs w:val="24"/>
        </w:rPr>
        <w:t xml:space="preserve">Psychological Bulletin, 76</w:t>
      </w:r>
      <w:r>
        <w:rPr>
          <w:rFonts w:ascii="Times New Roman" w:cs="Times New Roman" w:eastAsia="Times New Roman" w:hAnsi="Times New Roman"/>
          <w:sz w:val="24"/>
          <w:szCs w:val="24"/>
        </w:rPr>
        <w:t xml:space="preserve">(5), 378–382. https://doi.org/10.1037/h0031619</w:t>
      </w:r>
    </w:p>
    <w:p>
      <w:pPr>
        <w:spacing w:after="240" w:line="240"/>
        <w:ind w:left="567" w:hanging="567"/>
        <w:jc w:val="left"/>
      </w:pPr>
      <w:r>
        <w:rPr>
          <w:rFonts w:ascii="Times New Roman" w:cs="Times New Roman" w:eastAsia="Times New Roman" w:hAnsi="Times New Roman"/>
          <w:sz w:val="24"/>
          <w:szCs w:val="24"/>
        </w:rPr>
        <w:t xml:space="preserve">Fortuna, P., &amp; Nunes, S. (2018). A survey on automatic detection of hate speech in text. </w:t>
      </w:r>
      <w:r>
        <w:rPr>
          <w:rFonts w:ascii="Times New Roman" w:cs="Times New Roman" w:eastAsia="Times New Roman" w:hAnsi="Times New Roman"/>
          <w:i/>
          <w:iCs/>
          <w:sz w:val="24"/>
          <w:szCs w:val="24"/>
        </w:rPr>
        <w:t xml:space="preserve">ACM Computing Surveys, 51</w:t>
      </w:r>
      <w:r>
        <w:rPr>
          <w:rFonts w:ascii="Times New Roman" w:cs="Times New Roman" w:eastAsia="Times New Roman" w:hAnsi="Times New Roman"/>
          <w:sz w:val="24"/>
          <w:szCs w:val="24"/>
        </w:rPr>
        <w:t xml:space="preserve">(4), Artigo 85. https://doi.org/10.1145/3232676</w:t>
      </w:r>
    </w:p>
    <w:p>
      <w:pPr>
        <w:spacing w:after="240" w:line="240"/>
        <w:ind w:left="567" w:hanging="567"/>
        <w:jc w:val="left"/>
      </w:pPr>
      <w:r>
        <w:rPr>
          <w:rFonts w:ascii="Times New Roman" w:cs="Times New Roman" w:eastAsia="Times New Roman" w:hAnsi="Times New Roman"/>
          <w:sz w:val="24"/>
          <w:szCs w:val="24"/>
        </w:rPr>
        <w:t xml:space="preserve">Fortuna, P., Soler-Company, J., &amp; Wanner, L. (2021). How well do hate speech, toxicity, abusive and offensive language classification models generalize across datasets? </w:t>
      </w:r>
      <w:r>
        <w:rPr>
          <w:rFonts w:ascii="Times New Roman" w:cs="Times New Roman" w:eastAsia="Times New Roman" w:hAnsi="Times New Roman"/>
          <w:i/>
          <w:iCs/>
          <w:sz w:val="24"/>
          <w:szCs w:val="24"/>
        </w:rPr>
        <w:t xml:space="preserve">Information Processing &amp; Management, 58</w:t>
      </w:r>
      <w:r>
        <w:rPr>
          <w:rFonts w:ascii="Times New Roman" w:cs="Times New Roman" w:eastAsia="Times New Roman" w:hAnsi="Times New Roman"/>
          <w:sz w:val="24"/>
          <w:szCs w:val="24"/>
        </w:rPr>
        <w:t xml:space="preserve">(3), Artigo 102524. https://doi.org/10.1016/j.ipm.2021.102524</w:t>
      </w:r>
    </w:p>
    <w:p>
      <w:pPr>
        <w:spacing w:after="240" w:line="240"/>
        <w:ind w:left="567" w:hanging="567"/>
        <w:jc w:val="left"/>
      </w:pPr>
      <w:r>
        <w:rPr>
          <w:rFonts w:ascii="Times New Roman" w:cs="Times New Roman" w:eastAsia="Times New Roman" w:hAnsi="Times New Roman"/>
          <w:sz w:val="24"/>
          <w:szCs w:val="24"/>
        </w:rPr>
        <w:t xml:space="preserve">Freire, C. P. (2015). </w:t>
      </w:r>
      <w:r>
        <w:rPr>
          <w:rFonts w:ascii="Times New Roman" w:cs="Times New Roman" w:eastAsia="Times New Roman" w:hAnsi="Times New Roman"/>
          <w:i/>
          <w:iCs/>
          <w:sz w:val="24"/>
          <w:szCs w:val="24"/>
        </w:rPr>
        <w:t xml:space="preserve">Método de monitoramento de redes sociais: Epistemologia, técnicas e propostas de mineração de banco de dados para conteúdos gerados por fãs de telenovela em redes sociais</w:t>
      </w:r>
      <w:r>
        <w:rPr>
          <w:rFonts w:ascii="Times New Roman" w:cs="Times New Roman" w:eastAsia="Times New Roman" w:hAnsi="Times New Roman"/>
          <w:sz w:val="24"/>
          <w:szCs w:val="24"/>
        </w:rPr>
        <w:t xml:space="preserve"> [Tese de doutoramento, Universidade de São Paulo].</w:t>
      </w:r>
    </w:p>
    <w:p>
      <w:pPr>
        <w:spacing w:after="240" w:line="240"/>
        <w:ind w:left="567" w:hanging="567"/>
        <w:jc w:val="left"/>
      </w:pPr>
      <w:r>
        <w:rPr>
          <w:rFonts w:ascii="Times New Roman" w:cs="Times New Roman" w:eastAsia="Times New Roman" w:hAnsi="Times New Roman"/>
          <w:sz w:val="24"/>
          <w:szCs w:val="24"/>
        </w:rPr>
        <w:t xml:space="preserve">Geirhos, R., Jacobsen, J.-H., Michaelis, C., Zemel, R., Brendel, W., Bethge, M., &amp; Wichmann, F. A. (2020). Shortcut learning in deep neural networks. </w:t>
      </w:r>
      <w:r>
        <w:rPr>
          <w:rFonts w:ascii="Times New Roman" w:cs="Times New Roman" w:eastAsia="Times New Roman" w:hAnsi="Times New Roman"/>
          <w:i/>
          <w:iCs/>
          <w:sz w:val="24"/>
          <w:szCs w:val="24"/>
        </w:rPr>
        <w:t xml:space="preserve">Nature Machine Intelligence, 2</w:t>
      </w:r>
      <w:r>
        <w:rPr>
          <w:rFonts w:ascii="Times New Roman" w:cs="Times New Roman" w:eastAsia="Times New Roman" w:hAnsi="Times New Roman"/>
          <w:sz w:val="24"/>
          <w:szCs w:val="24"/>
        </w:rPr>
        <w:t xml:space="preserve">(11), 665–673. https://doi.org/10.1038/s42256-020-00257-z</w:t>
      </w:r>
    </w:p>
    <w:p>
      <w:pPr>
        <w:spacing w:after="240" w:line="240"/>
        <w:ind w:left="567" w:hanging="567"/>
        <w:jc w:val="left"/>
      </w:pPr>
      <w:r>
        <w:rPr>
          <w:rFonts w:ascii="Times New Roman" w:cs="Times New Roman" w:eastAsia="Times New Roman" w:hAnsi="Times New Roman"/>
          <w:sz w:val="24"/>
          <w:szCs w:val="24"/>
        </w:rPr>
        <w:t xml:space="preserve">Gururangan, S., Marasović, A., Swayamdipta, S., Lo, K., Beltagy, I., Downey, D., &amp; Smith, N. A. (2020). Don't stop pretraining: Adapt language models to domains and tasks. In </w:t>
      </w:r>
      <w:r>
        <w:rPr>
          <w:rFonts w:ascii="Times New Roman" w:cs="Times New Roman" w:eastAsia="Times New Roman" w:hAnsi="Times New Roman"/>
          <w:i/>
          <w:iCs/>
          <w:sz w:val="24"/>
          <w:szCs w:val="24"/>
        </w:rPr>
        <w:t xml:space="preserve">Proceedings of the 58th Annual Meeting of the Association for Computational Linguistics</w:t>
      </w:r>
      <w:r>
        <w:rPr>
          <w:rFonts w:ascii="Times New Roman" w:cs="Times New Roman" w:eastAsia="Times New Roman" w:hAnsi="Times New Roman"/>
          <w:sz w:val="24"/>
          <w:szCs w:val="24"/>
        </w:rPr>
        <w:t xml:space="preserve"> (pp. 8342–8360). Association for Computational Linguistics. https://doi.org/10.18653/v1/2020.acl-main.740</w:t>
      </w:r>
    </w:p>
    <w:p>
      <w:pPr>
        <w:spacing w:after="240" w:line="240"/>
        <w:ind w:left="567" w:hanging="567"/>
        <w:jc w:val="left"/>
      </w:pPr>
      <w:r>
        <w:rPr>
          <w:rFonts w:ascii="Times New Roman" w:cs="Times New Roman" w:eastAsia="Times New Roman" w:hAnsi="Times New Roman"/>
          <w:sz w:val="24"/>
          <w:szCs w:val="24"/>
        </w:rPr>
        <w:t xml:space="preserve">Hassane, A. C. J. (2021). 2022 vais gostar: A onda de manifestações da juventude em Angola. </w:t>
      </w:r>
      <w:r>
        <w:rPr>
          <w:rFonts w:ascii="Times New Roman" w:cs="Times New Roman" w:eastAsia="Times New Roman" w:hAnsi="Times New Roman"/>
          <w:i/>
          <w:iCs/>
          <w:sz w:val="24"/>
          <w:szCs w:val="24"/>
        </w:rPr>
        <w:t xml:space="preserve">Revista Relações Internacionais e Diplomacia em Análise, 2</w:t>
      </w:r>
      <w:r>
        <w:rPr>
          <w:rFonts w:ascii="Times New Roman" w:cs="Times New Roman" w:eastAsia="Times New Roman" w:hAnsi="Times New Roman"/>
          <w:sz w:val="24"/>
          <w:szCs w:val="24"/>
        </w:rPr>
        <w:t xml:space="preserve">(3), 28–40.</w:t>
      </w:r>
    </w:p>
    <w:p>
      <w:pPr>
        <w:spacing w:after="240" w:line="240"/>
        <w:ind w:left="567" w:hanging="567"/>
        <w:jc w:val="left"/>
      </w:pPr>
      <w:r>
        <w:rPr>
          <w:rFonts w:ascii="Times New Roman" w:cs="Times New Roman" w:eastAsia="Times New Roman" w:hAnsi="Times New Roman"/>
          <w:sz w:val="24"/>
          <w:szCs w:val="24"/>
        </w:rPr>
        <w:t xml:space="preserve">Hochreiter, S., &amp; Schmidhuber, J. (1997). Long short-term memory. </w:t>
      </w:r>
      <w:r>
        <w:rPr>
          <w:rFonts w:ascii="Times New Roman" w:cs="Times New Roman" w:eastAsia="Times New Roman" w:hAnsi="Times New Roman"/>
          <w:i/>
          <w:iCs/>
          <w:sz w:val="24"/>
          <w:szCs w:val="24"/>
        </w:rPr>
        <w:t xml:space="preserve">Neural Computation, 9</w:t>
      </w:r>
      <w:r>
        <w:rPr>
          <w:rFonts w:ascii="Times New Roman" w:cs="Times New Roman" w:eastAsia="Times New Roman" w:hAnsi="Times New Roman"/>
          <w:sz w:val="24"/>
          <w:szCs w:val="24"/>
        </w:rPr>
        <w:t xml:space="preserve">(8), 1735–1780. https://doi.org/10.1162/neco.1997.9.8.1735</w:t>
      </w:r>
    </w:p>
    <w:p>
      <w:pPr>
        <w:spacing w:after="240" w:line="240"/>
        <w:ind w:left="567" w:hanging="567"/>
        <w:jc w:val="left"/>
      </w:pPr>
      <w:r>
        <w:rPr>
          <w:rFonts w:ascii="Times New Roman" w:cs="Times New Roman" w:eastAsia="Times New Roman" w:hAnsi="Times New Roman"/>
          <w:sz w:val="24"/>
          <w:szCs w:val="24"/>
        </w:rPr>
        <w:t xml:space="preserve">Joachims, T. (1998). Text categorization with support vector machines: Learning with many relevant features. In C. Nédellec &amp; C. Rouveirol (Eds.), </w:t>
      </w:r>
      <w:r>
        <w:rPr>
          <w:rFonts w:ascii="Times New Roman" w:cs="Times New Roman" w:eastAsia="Times New Roman" w:hAnsi="Times New Roman"/>
          <w:i/>
          <w:iCs/>
          <w:sz w:val="24"/>
          <w:szCs w:val="24"/>
        </w:rPr>
        <w:t xml:space="preserve">Machine Learning: ECML-98</w:t>
      </w:r>
      <w:r>
        <w:rPr>
          <w:rFonts w:ascii="Times New Roman" w:cs="Times New Roman" w:eastAsia="Times New Roman" w:hAnsi="Times New Roman"/>
          <w:sz w:val="24"/>
          <w:szCs w:val="24"/>
        </w:rPr>
        <w:t xml:space="preserve"> (pp. 137–142). Springer. https://doi.org/10.1007/BFb0026683</w:t>
      </w:r>
    </w:p>
    <w:p>
      <w:pPr>
        <w:spacing w:after="240" w:line="240"/>
        <w:ind w:left="567" w:hanging="567"/>
        <w:jc w:val="left"/>
      </w:pPr>
      <w:r>
        <w:rPr>
          <w:rFonts w:ascii="Times New Roman" w:cs="Times New Roman" w:eastAsia="Times New Roman" w:hAnsi="Times New Roman"/>
          <w:sz w:val="24"/>
          <w:szCs w:val="24"/>
        </w:rPr>
        <w:t xml:space="preserve">Kemp, S. (2025). </w:t>
      </w:r>
      <w:r>
        <w:rPr>
          <w:rFonts w:ascii="Times New Roman" w:cs="Times New Roman" w:eastAsia="Times New Roman" w:hAnsi="Times New Roman"/>
          <w:i/>
          <w:iCs/>
          <w:sz w:val="24"/>
          <w:szCs w:val="24"/>
        </w:rPr>
        <w:t xml:space="preserve">Digital 2026: Angola</w:t>
      </w:r>
      <w:r>
        <w:rPr>
          <w:rFonts w:ascii="Times New Roman" w:cs="Times New Roman" w:eastAsia="Times New Roman" w:hAnsi="Times New Roman"/>
          <w:sz w:val="24"/>
          <w:szCs w:val="24"/>
        </w:rPr>
        <w:t xml:space="preserve">. DataReportal. https://datareportal.com/reports/digital-2026-angola</w:t>
      </w:r>
    </w:p>
    <w:p>
      <w:pPr>
        <w:spacing w:after="240" w:line="240"/>
        <w:ind w:left="567" w:hanging="567"/>
        <w:jc w:val="left"/>
      </w:pPr>
      <w:r>
        <w:rPr>
          <w:rFonts w:ascii="Times New Roman" w:cs="Times New Roman" w:eastAsia="Times New Roman" w:hAnsi="Times New Roman"/>
          <w:sz w:val="24"/>
          <w:szCs w:val="24"/>
        </w:rPr>
        <w:t xml:space="preserve">Landis, J. R., &amp; Koch, G. G. (1977). The measurement of observer agreement for categorical data. </w:t>
      </w:r>
      <w:r>
        <w:rPr>
          <w:rFonts w:ascii="Times New Roman" w:cs="Times New Roman" w:eastAsia="Times New Roman" w:hAnsi="Times New Roman"/>
          <w:i/>
          <w:iCs/>
          <w:sz w:val="24"/>
          <w:szCs w:val="24"/>
        </w:rPr>
        <w:t xml:space="preserve">Biometrics, 33</w:t>
      </w:r>
      <w:r>
        <w:rPr>
          <w:rFonts w:ascii="Times New Roman" w:cs="Times New Roman" w:eastAsia="Times New Roman" w:hAnsi="Times New Roman"/>
          <w:sz w:val="24"/>
          <w:szCs w:val="24"/>
        </w:rPr>
        <w:t xml:space="preserve">(1), 159–174. https://doi.org/10.2307/2529310</w:t>
      </w:r>
    </w:p>
    <w:p>
      <w:pPr>
        <w:spacing w:after="240" w:line="240"/>
        <w:ind w:left="567" w:hanging="567"/>
        <w:jc w:val="left"/>
      </w:pPr>
      <w:r>
        <w:rPr>
          <w:rFonts w:ascii="Times New Roman" w:cs="Times New Roman" w:eastAsia="Times New Roman" w:hAnsi="Times New Roman"/>
          <w:sz w:val="24"/>
          <w:szCs w:val="24"/>
        </w:rPr>
        <w:t xml:space="preserve">Leite, J. A., Silva, D., Bontcheva, K., &amp; Scarton, C. (2020). Toxic language detection in social media for Brazilian Portuguese: New dataset and multilingual analysis. In </w:t>
      </w:r>
      <w:r>
        <w:rPr>
          <w:rFonts w:ascii="Times New Roman" w:cs="Times New Roman" w:eastAsia="Times New Roman" w:hAnsi="Times New Roman"/>
          <w:i/>
          <w:iCs/>
          <w:sz w:val="24"/>
          <w:szCs w:val="24"/>
        </w:rPr>
        <w:t xml:space="preserve">Proceedings of the 1st Conference of the Asia-Pacific Chapter of the Association for Computational Linguistics and the 10th International Joint Conference on Natural Language Processing</w:t>
      </w:r>
      <w:r>
        <w:rPr>
          <w:rFonts w:ascii="Times New Roman" w:cs="Times New Roman" w:eastAsia="Times New Roman" w:hAnsi="Times New Roman"/>
          <w:sz w:val="24"/>
          <w:szCs w:val="24"/>
        </w:rPr>
        <w:t xml:space="preserve"> (pp. 914–924). Association for Computational Linguistics.</w:t>
      </w:r>
    </w:p>
    <w:p>
      <w:pPr>
        <w:spacing w:after="240" w:line="240"/>
        <w:ind w:left="567" w:hanging="567"/>
        <w:jc w:val="left"/>
      </w:pPr>
      <w:r>
        <w:rPr>
          <w:rFonts w:ascii="Times New Roman" w:cs="Times New Roman" w:eastAsia="Times New Roman" w:hAnsi="Times New Roman"/>
          <w:sz w:val="24"/>
          <w:szCs w:val="24"/>
        </w:rPr>
        <w:t xml:space="preserve">Marcon, F. (2019). Agências estetizadas: Juventudes, mobilizações e ativismos em Angola. </w:t>
      </w:r>
      <w:r>
        <w:rPr>
          <w:rFonts w:ascii="Times New Roman" w:cs="Times New Roman" w:eastAsia="Times New Roman" w:hAnsi="Times New Roman"/>
          <w:i/>
          <w:iCs/>
          <w:sz w:val="24"/>
          <w:szCs w:val="24"/>
        </w:rPr>
        <w:t xml:space="preserve">Crítica e Sociedade, 9</w:t>
      </w:r>
      <w:r>
        <w:rPr>
          <w:rFonts w:ascii="Times New Roman" w:cs="Times New Roman" w:eastAsia="Times New Roman" w:hAnsi="Times New Roman"/>
          <w:sz w:val="24"/>
          <w:szCs w:val="24"/>
        </w:rPr>
        <w:t xml:space="preserve">(2). https://doi.org/10.14393/CEv9n2-2019</w:t>
      </w:r>
    </w:p>
    <w:p>
      <w:pPr>
        <w:spacing w:after="240" w:line="240"/>
        <w:ind w:left="567" w:hanging="567"/>
        <w:jc w:val="left"/>
      </w:pPr>
      <w:r>
        <w:rPr>
          <w:rFonts w:ascii="Times New Roman" w:cs="Times New Roman" w:eastAsia="Times New Roman" w:hAnsi="Times New Roman"/>
          <w:sz w:val="24"/>
          <w:szCs w:val="24"/>
        </w:rPr>
        <w:t xml:space="preserve">McNemar, Q. (1947). Note on the sampling error of the difference between correlated proportions or percentages. </w:t>
      </w:r>
      <w:r>
        <w:rPr>
          <w:rFonts w:ascii="Times New Roman" w:cs="Times New Roman" w:eastAsia="Times New Roman" w:hAnsi="Times New Roman"/>
          <w:i/>
          <w:iCs/>
          <w:sz w:val="24"/>
          <w:szCs w:val="24"/>
        </w:rPr>
        <w:t xml:space="preserve">Psychometrika, 12</w:t>
      </w:r>
      <w:r>
        <w:rPr>
          <w:rFonts w:ascii="Times New Roman" w:cs="Times New Roman" w:eastAsia="Times New Roman" w:hAnsi="Times New Roman"/>
          <w:sz w:val="24"/>
          <w:szCs w:val="24"/>
        </w:rPr>
        <w:t xml:space="preserve">(2), 153–157. https://doi.org/10.1007/BF02295996</w:t>
      </w:r>
    </w:p>
    <w:p>
      <w:pPr>
        <w:spacing w:after="240" w:line="240"/>
        <w:ind w:left="567" w:hanging="567"/>
        <w:jc w:val="left"/>
      </w:pPr>
      <w:r>
        <w:rPr>
          <w:rFonts w:ascii="Times New Roman" w:cs="Times New Roman" w:eastAsia="Times New Roman" w:hAnsi="Times New Roman"/>
          <w:sz w:val="24"/>
          <w:szCs w:val="24"/>
        </w:rPr>
        <w:t xml:space="preserve">Monaco, N., &amp; Arnaudo, D. (2020). </w:t>
      </w:r>
      <w:r>
        <w:rPr>
          <w:rFonts w:ascii="Times New Roman" w:cs="Times New Roman" w:eastAsia="Times New Roman" w:hAnsi="Times New Roman"/>
          <w:i/>
          <w:iCs/>
          <w:sz w:val="24"/>
          <w:szCs w:val="24"/>
        </w:rPr>
        <w:t xml:space="preserve">Análise de dados para o monitoramento de redes sociais</w:t>
      </w:r>
      <w:r>
        <w:rPr>
          <w:rFonts w:ascii="Times New Roman" w:cs="Times New Roman" w:eastAsia="Times New Roman" w:hAnsi="Times New Roman"/>
          <w:sz w:val="24"/>
          <w:szCs w:val="24"/>
        </w:rPr>
        <w:t xml:space="preserve">. National Democratic Institute.</w:t>
      </w:r>
    </w:p>
    <w:p>
      <w:pPr>
        <w:spacing w:after="240" w:line="240"/>
        <w:ind w:left="567" w:hanging="567"/>
        <w:jc w:val="left"/>
      </w:pPr>
      <w:r>
        <w:rPr>
          <w:rFonts w:ascii="Times New Roman" w:cs="Times New Roman" w:eastAsia="Times New Roman" w:hAnsi="Times New Roman"/>
          <w:sz w:val="24"/>
          <w:szCs w:val="24"/>
        </w:rPr>
        <w:t xml:space="preserve">Monteiro, R. A., Santos, R. L. S., Pardo, T. A. S., de Almeida, T. A., Ruiz, E. E. S., &amp; Vale, O. A. (2018). Contributions to the study of fake news in Portuguese: New corpus and automatic detection results. In </w:t>
      </w:r>
      <w:r>
        <w:rPr>
          <w:rFonts w:ascii="Times New Roman" w:cs="Times New Roman" w:eastAsia="Times New Roman" w:hAnsi="Times New Roman"/>
          <w:i/>
          <w:iCs/>
          <w:sz w:val="24"/>
          <w:szCs w:val="24"/>
        </w:rPr>
        <w:t xml:space="preserve">Computational Processing of the Portuguese Language: PROPOR 2018</w:t>
      </w:r>
      <w:r>
        <w:rPr>
          <w:rFonts w:ascii="Times New Roman" w:cs="Times New Roman" w:eastAsia="Times New Roman" w:hAnsi="Times New Roman"/>
          <w:sz w:val="24"/>
          <w:szCs w:val="24"/>
        </w:rPr>
        <w:t xml:space="preserve"> (pp. 324–334). Springer. https://doi.org/10.1007/978-3-319-99722-3_33</w:t>
      </w:r>
    </w:p>
    <w:p>
      <w:pPr>
        <w:spacing w:after="240" w:line="240"/>
        <w:ind w:left="567" w:hanging="567"/>
        <w:jc w:val="left"/>
      </w:pPr>
      <w:r>
        <w:rPr>
          <w:rFonts w:ascii="Times New Roman" w:cs="Times New Roman" w:eastAsia="Times New Roman" w:hAnsi="Times New Roman"/>
          <w:sz w:val="24"/>
          <w:szCs w:val="24"/>
        </w:rPr>
        <w:t xml:space="preserve">Palantir Technologies. (2021). </w:t>
      </w:r>
      <w:r>
        <w:rPr>
          <w:rFonts w:ascii="Times New Roman" w:cs="Times New Roman" w:eastAsia="Times New Roman" w:hAnsi="Times New Roman"/>
          <w:i/>
          <w:iCs/>
          <w:sz w:val="24"/>
          <w:szCs w:val="24"/>
        </w:rPr>
        <w:t xml:space="preserve">Palantir Gotham: Enterprise platform for mission planning and intelligence analysis</w:t>
      </w:r>
      <w:r>
        <w:rPr>
          <w:rFonts w:ascii="Times New Roman" w:cs="Times New Roman" w:eastAsia="Times New Roman" w:hAnsi="Times New Roman"/>
          <w:sz w:val="24"/>
          <w:szCs w:val="24"/>
        </w:rPr>
        <w:t xml:space="preserve">. Digital Marketplace, UK Government.</w:t>
      </w:r>
    </w:p>
    <w:p>
      <w:pPr>
        <w:spacing w:after="240" w:line="240"/>
        <w:ind w:left="567" w:hanging="567"/>
        <w:jc w:val="left"/>
      </w:pPr>
      <w:r>
        <w:rPr>
          <w:rFonts w:ascii="Times New Roman" w:cs="Times New Roman" w:eastAsia="Times New Roman" w:hAnsi="Times New Roman"/>
          <w:sz w:val="24"/>
          <w:szCs w:val="24"/>
        </w:rPr>
        <w:t xml:space="preserve">Poletto, F., Basile, V., Sanguinetti, M., Bosco, C., &amp; Patti, V. (2021). Resources and benchmark corpora for hate speech detection: A systematic review. </w:t>
      </w:r>
      <w:r>
        <w:rPr>
          <w:rFonts w:ascii="Times New Roman" w:cs="Times New Roman" w:eastAsia="Times New Roman" w:hAnsi="Times New Roman"/>
          <w:i/>
          <w:iCs/>
          <w:sz w:val="24"/>
          <w:szCs w:val="24"/>
        </w:rPr>
        <w:t xml:space="preserve">Language Resources and Evaluation, 55</w:t>
      </w:r>
      <w:r>
        <w:rPr>
          <w:rFonts w:ascii="Times New Roman" w:cs="Times New Roman" w:eastAsia="Times New Roman" w:hAnsi="Times New Roman"/>
          <w:sz w:val="24"/>
          <w:szCs w:val="24"/>
        </w:rPr>
        <w:t xml:space="preserve">(2), 477–523. https://doi.org/10.1007/s10579-020-09502-8</w:t>
      </w:r>
    </w:p>
    <w:p>
      <w:pPr>
        <w:spacing w:after="240" w:line="240"/>
        <w:ind w:left="567" w:hanging="567"/>
        <w:jc w:val="left"/>
      </w:pPr>
      <w:r>
        <w:rPr>
          <w:rFonts w:ascii="Times New Roman" w:cs="Times New Roman" w:eastAsia="Times New Roman" w:hAnsi="Times New Roman"/>
          <w:sz w:val="24"/>
          <w:szCs w:val="24"/>
        </w:rPr>
        <w:t xml:space="preserve">República de Angola. (2010). </w:t>
      </w:r>
      <w:r>
        <w:rPr>
          <w:rFonts w:ascii="Times New Roman" w:cs="Times New Roman" w:eastAsia="Times New Roman" w:hAnsi="Times New Roman"/>
          <w:i/>
          <w:iCs/>
          <w:sz w:val="24"/>
          <w:szCs w:val="24"/>
        </w:rPr>
        <w:t xml:space="preserve">Constituição da República de Angola</w:t>
      </w:r>
      <w:r>
        <w:rPr>
          <w:rFonts w:ascii="Times New Roman" w:cs="Times New Roman" w:eastAsia="Times New Roman" w:hAnsi="Times New Roman"/>
          <w:sz w:val="24"/>
          <w:szCs w:val="24"/>
        </w:rPr>
        <w:t xml:space="preserve">. Assembleia Nacional.</w:t>
      </w:r>
    </w:p>
    <w:p>
      <w:pPr>
        <w:spacing w:after="240" w:line="240"/>
        <w:ind w:left="567" w:hanging="567"/>
        <w:jc w:val="left"/>
      </w:pPr>
      <w:r>
        <w:rPr>
          <w:rFonts w:ascii="Times New Roman" w:cs="Times New Roman" w:eastAsia="Times New Roman" w:hAnsi="Times New Roman"/>
          <w:sz w:val="24"/>
          <w:szCs w:val="24"/>
        </w:rPr>
        <w:t xml:space="preserve">República de Angola. (2011). Lei n.º 22/11, de 17 de Junho: Lei da Protecção de Dados Pessoais. </w:t>
      </w:r>
      <w:r>
        <w:rPr>
          <w:rFonts w:ascii="Times New Roman" w:cs="Times New Roman" w:eastAsia="Times New Roman" w:hAnsi="Times New Roman"/>
          <w:i/>
          <w:iCs/>
          <w:sz w:val="24"/>
          <w:szCs w:val="24"/>
        </w:rPr>
        <w:t xml:space="preserve">Diário da República</w:t>
      </w:r>
      <w:r>
        <w:rPr>
          <w:rFonts w:ascii="Times New Roman" w:cs="Times New Roman" w:eastAsia="Times New Roman" w:hAnsi="Times New Roman"/>
          <w:sz w:val="24"/>
          <w:szCs w:val="24"/>
        </w:rPr>
        <w:t xml:space="preserve">, I Série, n.º 114.</w:t>
      </w:r>
    </w:p>
    <w:p>
      <w:pPr>
        <w:spacing w:after="240" w:line="240"/>
        <w:ind w:left="567" w:hanging="567"/>
        <w:jc w:val="left"/>
      </w:pPr>
      <w:r>
        <w:rPr>
          <w:rFonts w:ascii="Times New Roman" w:cs="Times New Roman" w:eastAsia="Times New Roman" w:hAnsi="Times New Roman"/>
          <w:sz w:val="24"/>
          <w:szCs w:val="24"/>
        </w:rPr>
        <w:t xml:space="preserve">República de Angola. (2017). Lei n.º 7/17, de 16 de Fevereiro: Lei de Protecção das Redes e Sistemas Informáticos. </w:t>
      </w:r>
      <w:r>
        <w:rPr>
          <w:rFonts w:ascii="Times New Roman" w:cs="Times New Roman" w:eastAsia="Times New Roman" w:hAnsi="Times New Roman"/>
          <w:i/>
          <w:iCs/>
          <w:sz w:val="24"/>
          <w:szCs w:val="24"/>
        </w:rPr>
        <w:t xml:space="preserve">Diário da República</w:t>
      </w:r>
      <w:r>
        <w:rPr>
          <w:rFonts w:ascii="Times New Roman" w:cs="Times New Roman" w:eastAsia="Times New Roman" w:hAnsi="Times New Roman"/>
          <w:sz w:val="24"/>
          <w:szCs w:val="24"/>
        </w:rPr>
        <w:t xml:space="preserve">, I Série.</w:t>
      </w:r>
    </w:p>
    <w:p>
      <w:pPr>
        <w:spacing w:after="240" w:line="240"/>
        <w:ind w:left="567" w:hanging="567"/>
        <w:jc w:val="left"/>
      </w:pPr>
      <w:r>
        <w:rPr>
          <w:rFonts w:ascii="Times New Roman" w:cs="Times New Roman" w:eastAsia="Times New Roman" w:hAnsi="Times New Roman"/>
          <w:sz w:val="24"/>
          <w:szCs w:val="24"/>
        </w:rPr>
        <w:t xml:space="preserve">Sambaca, S. C., &amp; Pessoa, S. N. (2026). </w:t>
      </w:r>
      <w:r>
        <w:rPr>
          <w:rFonts w:ascii="Times New Roman" w:cs="Times New Roman" w:eastAsia="Times New Roman" w:hAnsi="Times New Roman"/>
          <w:i/>
          <w:iCs/>
          <w:sz w:val="24"/>
          <w:szCs w:val="24"/>
        </w:rPr>
        <w:t xml:space="preserve">Eleições em Angola: A influência das redes sociais no comportamento eleitoral dos jovens angolanos em 2022</w:t>
      </w:r>
      <w:r>
        <w:rPr>
          <w:rFonts w:ascii="Times New Roman" w:cs="Times New Roman" w:eastAsia="Times New Roman" w:hAnsi="Times New Roman"/>
          <w:sz w:val="24"/>
          <w:szCs w:val="24"/>
        </w:rPr>
        <w:t xml:space="preserve">. Zenodo. https://doi.org/10.5281/zenodo.18363947</w:t>
      </w:r>
    </w:p>
    <w:p>
      <w:pPr>
        <w:spacing w:after="240" w:line="240"/>
        <w:ind w:left="567" w:hanging="567"/>
        <w:jc w:val="left"/>
      </w:pPr>
      <w:r>
        <w:rPr>
          <w:rFonts w:ascii="Times New Roman" w:cs="Times New Roman" w:eastAsia="Times New Roman" w:hAnsi="Times New Roman"/>
          <w:sz w:val="24"/>
          <w:szCs w:val="24"/>
        </w:rPr>
        <w:t xml:space="preserve">Schuster, M., &amp; Paliwal, K. K. (1997). Bidirectional recurrent neural networks. </w:t>
      </w:r>
      <w:r>
        <w:rPr>
          <w:rFonts w:ascii="Times New Roman" w:cs="Times New Roman" w:eastAsia="Times New Roman" w:hAnsi="Times New Roman"/>
          <w:i/>
          <w:iCs/>
          <w:sz w:val="24"/>
          <w:szCs w:val="24"/>
        </w:rPr>
        <w:t xml:space="preserve">IEEE Transactions on Signal Processing, 45</w:t>
      </w:r>
      <w:r>
        <w:rPr>
          <w:rFonts w:ascii="Times New Roman" w:cs="Times New Roman" w:eastAsia="Times New Roman" w:hAnsi="Times New Roman"/>
          <w:sz w:val="24"/>
          <w:szCs w:val="24"/>
        </w:rPr>
        <w:t xml:space="preserve">(11), 2673–2681. https://doi.org/10.1109/78.650093</w:t>
      </w:r>
    </w:p>
    <w:p>
      <w:pPr>
        <w:spacing w:after="240" w:line="240"/>
        <w:ind w:left="567" w:hanging="567"/>
        <w:jc w:val="left"/>
      </w:pPr>
      <w:r>
        <w:rPr>
          <w:rFonts w:ascii="Times New Roman" w:cs="Times New Roman" w:eastAsia="Times New Roman" w:hAnsi="Times New Roman"/>
          <w:sz w:val="24"/>
          <w:szCs w:val="24"/>
        </w:rPr>
        <w:t xml:space="preserve">Sette Câmara, T. (2016). Terrorismo na era da Internet: O uso de redes sociais pelo Estado Islâmico. </w:t>
      </w:r>
      <w:r>
        <w:rPr>
          <w:rFonts w:ascii="Times New Roman" w:cs="Times New Roman" w:eastAsia="Times New Roman" w:hAnsi="Times New Roman"/>
          <w:i/>
          <w:iCs/>
          <w:sz w:val="24"/>
          <w:szCs w:val="24"/>
        </w:rPr>
        <w:t xml:space="preserve">Revista Relações Internacionais no Mundo Atual, 21</w:t>
      </w:r>
      <w:r>
        <w:rPr>
          <w:rFonts w:ascii="Times New Roman" w:cs="Times New Roman" w:eastAsia="Times New Roman" w:hAnsi="Times New Roman"/>
          <w:sz w:val="24"/>
          <w:szCs w:val="24"/>
        </w:rPr>
        <w:t xml:space="preserve">(1), 196–221.</w:t>
      </w:r>
    </w:p>
    <w:p>
      <w:pPr>
        <w:spacing w:after="240" w:line="240"/>
        <w:ind w:left="567" w:hanging="567"/>
        <w:jc w:val="left"/>
      </w:pPr>
      <w:r>
        <w:rPr>
          <w:rFonts w:ascii="Times New Roman" w:cs="Times New Roman" w:eastAsia="Times New Roman" w:hAnsi="Times New Roman"/>
          <w:sz w:val="24"/>
          <w:szCs w:val="24"/>
        </w:rPr>
        <w:t xml:space="preserve">Sokolova, M., &amp; Lapalme, G. (2009). A systematic analysis of performance measures for classification tasks. </w:t>
      </w:r>
      <w:r>
        <w:rPr>
          <w:rFonts w:ascii="Times New Roman" w:cs="Times New Roman" w:eastAsia="Times New Roman" w:hAnsi="Times New Roman"/>
          <w:i/>
          <w:iCs/>
          <w:sz w:val="24"/>
          <w:szCs w:val="24"/>
        </w:rPr>
        <w:t xml:space="preserve">Information Processing &amp; Management, 45</w:t>
      </w:r>
      <w:r>
        <w:rPr>
          <w:rFonts w:ascii="Times New Roman" w:cs="Times New Roman" w:eastAsia="Times New Roman" w:hAnsi="Times New Roman"/>
          <w:sz w:val="24"/>
          <w:szCs w:val="24"/>
        </w:rPr>
        <w:t xml:space="preserve">(4), 427–437. https://doi.org/10.1016/j.ipm.2009.03.002</w:t>
      </w:r>
    </w:p>
    <w:p>
      <w:pPr>
        <w:spacing w:after="240" w:line="240"/>
        <w:ind w:left="567" w:hanging="567"/>
        <w:jc w:val="left"/>
      </w:pPr>
      <w:r>
        <w:rPr>
          <w:rFonts w:ascii="Times New Roman" w:cs="Times New Roman" w:eastAsia="Times New Roman" w:hAnsi="Times New Roman"/>
          <w:sz w:val="24"/>
          <w:szCs w:val="24"/>
        </w:rPr>
        <w:t xml:space="preserve">Souza, F., Nogueira, R., &amp; Lotufo, R. (2020). BERTimbau: Pretrained BERT models for Brazilian Portuguese. In </w:t>
      </w:r>
      <w:r>
        <w:rPr>
          <w:rFonts w:ascii="Times New Roman" w:cs="Times New Roman" w:eastAsia="Times New Roman" w:hAnsi="Times New Roman"/>
          <w:i/>
          <w:iCs/>
          <w:sz w:val="24"/>
          <w:szCs w:val="24"/>
        </w:rPr>
        <w:t xml:space="preserve">Intelligent Systems: BRACIS 2020</w:t>
      </w:r>
      <w:r>
        <w:rPr>
          <w:rFonts w:ascii="Times New Roman" w:cs="Times New Roman" w:eastAsia="Times New Roman" w:hAnsi="Times New Roman"/>
          <w:sz w:val="24"/>
          <w:szCs w:val="24"/>
        </w:rPr>
        <w:t xml:space="preserve"> (pp. 403–417). Springer. https://doi.org/10.1007/978-3-030-61377-8_28</w:t>
      </w:r>
    </w:p>
    <w:p>
      <w:pPr>
        <w:spacing w:after="240" w:line="240"/>
        <w:ind w:left="567" w:hanging="567"/>
        <w:jc w:val="left"/>
      </w:pPr>
      <w:r>
        <w:rPr>
          <w:rFonts w:ascii="Times New Roman" w:cs="Times New Roman" w:eastAsia="Times New Roman" w:hAnsi="Times New Roman"/>
          <w:sz w:val="24"/>
          <w:szCs w:val="24"/>
        </w:rPr>
        <w:t xml:space="preserve">Thelwall, M. (2009). Social network sites: Users and uses. </w:t>
      </w:r>
      <w:r>
        <w:rPr>
          <w:rFonts w:ascii="Times New Roman" w:cs="Times New Roman" w:eastAsia="Times New Roman" w:hAnsi="Times New Roman"/>
          <w:i/>
          <w:iCs/>
          <w:sz w:val="24"/>
          <w:szCs w:val="24"/>
        </w:rPr>
        <w:t xml:space="preserve">Advances in Computers, 76</w:t>
      </w:r>
      <w:r>
        <w:rPr>
          <w:rFonts w:ascii="Times New Roman" w:cs="Times New Roman" w:eastAsia="Times New Roman" w:hAnsi="Times New Roman"/>
          <w:sz w:val="24"/>
          <w:szCs w:val="24"/>
        </w:rPr>
        <w:t xml:space="preserve">, 19–73. https://doi.org/10.1016/S0065-2458(09)01002-X</w:t>
      </w:r>
    </w:p>
    <w:p>
      <w:pPr>
        <w:spacing w:after="240" w:line="240"/>
        <w:ind w:left="567" w:hanging="567"/>
        <w:jc w:val="left"/>
      </w:pPr>
      <w:r>
        <w:rPr>
          <w:rFonts w:ascii="Times New Roman" w:cs="Times New Roman" w:eastAsia="Times New Roman" w:hAnsi="Times New Roman"/>
          <w:sz w:val="24"/>
          <w:szCs w:val="24"/>
        </w:rPr>
        <w:t xml:space="preserve">UNESCO. (2019). </w:t>
      </w:r>
      <w:r>
        <w:rPr>
          <w:rFonts w:ascii="Times New Roman" w:cs="Times New Roman" w:eastAsia="Times New Roman" w:hAnsi="Times New Roman"/>
          <w:i/>
          <w:iCs/>
          <w:sz w:val="24"/>
          <w:szCs w:val="24"/>
        </w:rPr>
        <w:t xml:space="preserve">Journalism, fake news &amp; disinformation: Handbook for journalism education and training</w:t>
      </w:r>
      <w:r>
        <w:rPr>
          <w:rFonts w:ascii="Times New Roman" w:cs="Times New Roman" w:eastAsia="Times New Roman" w:hAnsi="Times New Roman"/>
          <w:sz w:val="24"/>
          <w:szCs w:val="24"/>
        </w:rPr>
        <w:t xml:space="preserve">. UNESCO.</w:t>
      </w:r>
    </w:p>
    <w:p>
      <w:pPr>
        <w:spacing w:after="240" w:line="240"/>
        <w:ind w:left="567" w:hanging="567"/>
        <w:jc w:val="left"/>
      </w:pPr>
      <w:r>
        <w:rPr>
          <w:rFonts w:ascii="Times New Roman" w:cs="Times New Roman" w:eastAsia="Times New Roman" w:hAnsi="Times New Roman"/>
          <w:sz w:val="24"/>
          <w:szCs w:val="24"/>
        </w:rPr>
        <w:t xml:space="preserve">UNESCO. (2021). </w:t>
      </w:r>
      <w:r>
        <w:rPr>
          <w:rFonts w:ascii="Times New Roman" w:cs="Times New Roman" w:eastAsia="Times New Roman" w:hAnsi="Times New Roman"/>
          <w:i/>
          <w:iCs/>
          <w:sz w:val="24"/>
          <w:szCs w:val="24"/>
        </w:rPr>
        <w:t xml:space="preserve">Recommendation on the ethics of artificial intelligence</w:t>
      </w:r>
      <w:r>
        <w:rPr>
          <w:rFonts w:ascii="Times New Roman" w:cs="Times New Roman" w:eastAsia="Times New Roman" w:hAnsi="Times New Roman"/>
          <w:sz w:val="24"/>
          <w:szCs w:val="24"/>
        </w:rPr>
        <w:t xml:space="preserve">. UNESCO.</w:t>
      </w:r>
    </w:p>
    <w:p>
      <w:pPr>
        <w:spacing w:after="240" w:line="240"/>
        <w:ind w:left="567" w:hanging="567"/>
        <w:jc w:val="left"/>
      </w:pPr>
      <w:r>
        <w:rPr>
          <w:rFonts w:ascii="Times New Roman" w:cs="Times New Roman" w:eastAsia="Times New Roman" w:hAnsi="Times New Roman"/>
          <w:sz w:val="24"/>
          <w:szCs w:val="24"/>
        </w:rPr>
        <w:t xml:space="preserve">União Europeia. (2024). Regulamento (UE) 2024/1689 do Parlamento Europeu e do Conselho, de 13 de junho de 2024, que cria regras harmonizadas em matéria de inteligência artificial. </w:t>
      </w:r>
      <w:r>
        <w:rPr>
          <w:rFonts w:ascii="Times New Roman" w:cs="Times New Roman" w:eastAsia="Times New Roman" w:hAnsi="Times New Roman"/>
          <w:i/>
          <w:iCs/>
          <w:sz w:val="24"/>
          <w:szCs w:val="24"/>
        </w:rPr>
        <w:t xml:space="preserve">Jornal Oficial da União Europeia</w:t>
      </w:r>
      <w:r>
        <w:rPr>
          <w:rFonts w:ascii="Times New Roman" w:cs="Times New Roman" w:eastAsia="Times New Roman" w:hAnsi="Times New Roman"/>
          <w:sz w:val="24"/>
          <w:szCs w:val="24"/>
        </w:rPr>
        <w:t xml:space="preserve">, Série L.</w:t>
      </w:r>
    </w:p>
    <w:p>
      <w:pPr>
        <w:spacing w:after="240" w:line="240"/>
        <w:ind w:left="567" w:hanging="567"/>
        <w:jc w:val="left"/>
      </w:pPr>
      <w:r>
        <w:rPr>
          <w:rFonts w:ascii="Times New Roman" w:cs="Times New Roman" w:eastAsia="Times New Roman" w:hAnsi="Times New Roman"/>
          <w:sz w:val="24"/>
          <w:szCs w:val="24"/>
        </w:rPr>
        <w:t xml:space="preserve">Vargas, F., Carvalho, I., Rodrigues de Góes, F., Pardo, T., &amp; Benevenuto, F. (2022). HateBR: A large expert annotated corpus of Brazilian Instagram comments for offensive language and hate speech detection. In </w:t>
      </w:r>
      <w:r>
        <w:rPr>
          <w:rFonts w:ascii="Times New Roman" w:cs="Times New Roman" w:eastAsia="Times New Roman" w:hAnsi="Times New Roman"/>
          <w:i/>
          <w:iCs/>
          <w:sz w:val="24"/>
          <w:szCs w:val="24"/>
        </w:rPr>
        <w:t xml:space="preserve">Proceedings of the Thirteenth Language Resources and Evaluation Conference</w:t>
      </w:r>
      <w:r>
        <w:rPr>
          <w:rFonts w:ascii="Times New Roman" w:cs="Times New Roman" w:eastAsia="Times New Roman" w:hAnsi="Times New Roman"/>
          <w:sz w:val="24"/>
          <w:szCs w:val="24"/>
        </w:rPr>
        <w:t xml:space="preserve"> (pp. 7174–7183). European Language Resources Association.</w:t>
      </w:r>
    </w:p>
    <w:p>
      <w:pPr>
        <w:spacing w:after="240" w:line="240"/>
        <w:ind w:left="567" w:hanging="567"/>
        <w:jc w:val="left"/>
      </w:pPr>
      <w:r>
        <w:rPr>
          <w:rFonts w:ascii="Times New Roman" w:cs="Times New Roman" w:eastAsia="Times New Roman" w:hAnsi="Times New Roman"/>
          <w:sz w:val="24"/>
          <w:szCs w:val="24"/>
        </w:rPr>
        <w:t xml:space="preserve">Vaswani, A., Shazeer, N., Parmar, N., Uszkoreit, J., Jones, L., Gomez, A. N., Kaiser, Ł., &amp; Polosukhin, I. (2017). Attention is all you need. In </w:t>
      </w:r>
      <w:r>
        <w:rPr>
          <w:rFonts w:ascii="Times New Roman" w:cs="Times New Roman" w:eastAsia="Times New Roman" w:hAnsi="Times New Roman"/>
          <w:i/>
          <w:iCs/>
          <w:sz w:val="24"/>
          <w:szCs w:val="24"/>
        </w:rPr>
        <w:t xml:space="preserve">Advances in Neural Information Processing Systems 30</w:t>
      </w:r>
      <w:r>
        <w:rPr>
          <w:rFonts w:ascii="Times New Roman" w:cs="Times New Roman" w:eastAsia="Times New Roman" w:hAnsi="Times New Roman"/>
          <w:sz w:val="24"/>
          <w:szCs w:val="24"/>
        </w:rPr>
        <w:t xml:space="preserve"> (pp. 5998–6008). Curran Associates.</w:t>
      </w:r>
    </w:p>
    <w:p>
      <w:pPr>
        <w:spacing w:after="240" w:line="240"/>
        <w:ind w:left="567" w:hanging="567"/>
        <w:jc w:val="left"/>
      </w:pPr>
      <w:r>
        <w:rPr>
          <w:rFonts w:ascii="Times New Roman" w:cs="Times New Roman" w:eastAsia="Times New Roman" w:hAnsi="Times New Roman"/>
          <w:sz w:val="24"/>
          <w:szCs w:val="24"/>
        </w:rPr>
        <w:t xml:space="preserve">Wardle, C., &amp; Derakhshan, H. (2017). </w:t>
      </w:r>
      <w:r>
        <w:rPr>
          <w:rFonts w:ascii="Times New Roman" w:cs="Times New Roman" w:eastAsia="Times New Roman" w:hAnsi="Times New Roman"/>
          <w:i/>
          <w:iCs/>
          <w:sz w:val="24"/>
          <w:szCs w:val="24"/>
        </w:rPr>
        <w:t xml:space="preserve">Information disorder: Toward an interdisciplinary framework for research and policy making</w:t>
      </w:r>
      <w:r>
        <w:rPr>
          <w:rFonts w:ascii="Times New Roman" w:cs="Times New Roman" w:eastAsia="Times New Roman" w:hAnsi="Times New Roman"/>
          <w:sz w:val="24"/>
          <w:szCs w:val="24"/>
        </w:rPr>
        <w:t xml:space="preserve"> (Relatório DGI(2017)09). Conselho da Europa.</w:t>
      </w:r>
    </w:p>
    <w:p>
      <w:pPr>
        <w:spacing w:after="240" w:line="240"/>
        <w:ind w:left="567" w:hanging="567"/>
        <w:jc w:val="left"/>
      </w:pPr>
      <w:r>
        <w:rPr>
          <w:rFonts w:ascii="Times New Roman" w:cs="Times New Roman" w:eastAsia="Times New Roman" w:hAnsi="Times New Roman"/>
          <w:sz w:val="24"/>
          <w:szCs w:val="24"/>
        </w:rPr>
        <w:t xml:space="preserve">Woolley, S. C., &amp; Howard, P. N. (2017). </w:t>
      </w:r>
      <w:r>
        <w:rPr>
          <w:rFonts w:ascii="Times New Roman" w:cs="Times New Roman" w:eastAsia="Times New Roman" w:hAnsi="Times New Roman"/>
          <w:i/>
          <w:iCs/>
          <w:sz w:val="24"/>
          <w:szCs w:val="24"/>
        </w:rPr>
        <w:t xml:space="preserve">Computational propaganda worldwide: Executive summary</w:t>
      </w:r>
      <w:r>
        <w:rPr>
          <w:rFonts w:ascii="Times New Roman" w:cs="Times New Roman" w:eastAsia="Times New Roman" w:hAnsi="Times New Roman"/>
          <w:sz w:val="24"/>
          <w:szCs w:val="24"/>
        </w:rPr>
        <w:t xml:space="preserve"> (Working Paper 2017.11). Oxford Internet Institute.</w:t>
      </w:r>
    </w:p>
    <w:p>
      <w:pPr>
        <w:sectPr>
          <w:headerReference w:type="default" r:id="rId23"/>
          <w:footerReference w:type="default" r:id="rId24"/>
          <w:type w:val="nextPage"/>
          <w:pgSz w:w="11906" w:h="16838" w:orient="portrait"/>
          <w:pgMar w:top="1701" w:right="1701" w:bottom="1417" w:left="1984" w:header="850" w:footer="567" w:gutter="0"/>
          <w:pgNumType/>
          <w:docGrid w:linePitch="360"/>
        </w:sectPr>
      </w:pPr>
    </w:p>
    <w:p>
      <w:pPr>
        <w:pStyle w:val="Heading1"/>
        <w:spacing w:after="480" w:before="567"/>
        <w:jc w:val="left"/>
      </w:pPr>
      <w:r>
        <w:rPr>
          <w:rFonts w:ascii="Times New Roman" w:cs="Times New Roman" w:eastAsia="Times New Roman" w:hAnsi="Times New Roman"/>
          <w:b/>
          <w:bCs/>
          <w:sz w:val="28"/>
          <w:szCs w:val="28"/>
        </w:rPr>
        <w:t xml:space="preserve">GLOSSÁRIO</w:t>
      </w:r>
    </w:p>
    <w:p>
      <w:pPr>
        <w:spacing w:after="140" w:line="300"/>
        <w:jc w:val="both"/>
      </w:pPr>
      <w:r>
        <w:rPr>
          <w:rFonts w:ascii="Times New Roman" w:cs="Times New Roman" w:eastAsia="Times New Roman" w:hAnsi="Times New Roman"/>
          <w:b/>
          <w:bCs/>
          <w:sz w:val="24"/>
          <w:szCs w:val="24"/>
        </w:rPr>
        <w:t xml:space="preserve">AdamW.</w:t>
      </w:r>
      <w:r>
        <w:rPr>
          <w:rFonts w:ascii="Times New Roman" w:cs="Times New Roman" w:eastAsia="Times New Roman" w:hAnsi="Times New Roman"/>
          <w:sz w:val="24"/>
          <w:szCs w:val="24"/>
        </w:rPr>
        <w:t xml:space="preserve"> Variante do optimizador Adam com decaimento de pesos desacoplado, habitual no ajuste fino de modelos </w:t>
      </w:r>
      <w:r>
        <w:rPr>
          <w:rFonts w:ascii="Times New Roman" w:cs="Times New Roman" w:eastAsia="Times New Roman" w:hAnsi="Times New Roman"/>
          <w:i/>
          <w:iCs/>
          <w:sz w:val="24"/>
          <w:szCs w:val="24"/>
        </w:rPr>
        <w:t xml:space="preserve">Transformer</w:t>
      </w:r>
      <w:r>
        <w:rPr>
          <w:rFonts w:ascii="Times New Roman" w:cs="Times New Roman" w:eastAsia="Times New Roman" w:hAnsi="Times New Roman"/>
          <w:sz w:val="24"/>
          <w:szCs w:val="24"/>
        </w:rPr>
        <w:t xml:space="preserve">.</w:t>
      </w:r>
    </w:p>
    <w:p>
      <w:pPr>
        <w:spacing w:after="140" w:line="300"/>
        <w:jc w:val="both"/>
      </w:pPr>
      <w:r>
        <w:rPr>
          <w:rFonts w:ascii="Times New Roman" w:cs="Times New Roman" w:eastAsia="Times New Roman" w:hAnsi="Times New Roman"/>
          <w:b/>
          <w:bCs/>
          <w:sz w:val="24"/>
          <w:szCs w:val="24"/>
        </w:rPr>
        <w:t xml:space="preserve">Ajuste fino.</w:t>
      </w:r>
      <w:r>
        <w:rPr>
          <w:rFonts w:ascii="Times New Roman" w:cs="Times New Roman" w:eastAsia="Times New Roman" w:hAnsi="Times New Roman"/>
          <w:sz w:val="24"/>
          <w:szCs w:val="24"/>
        </w:rPr>
        <w:t xml:space="preserve"> Treino adicional de um modelo pré-treinado numa tarefa específica, com dados anotados dessa tarefa.</w:t>
      </w:r>
    </w:p>
    <w:p>
      <w:pPr>
        <w:spacing w:after="140" w:line="300"/>
        <w:jc w:val="both"/>
      </w:pPr>
      <w:r>
        <w:rPr>
          <w:rFonts w:ascii="Times New Roman" w:cs="Times New Roman" w:eastAsia="Times New Roman" w:hAnsi="Times New Roman"/>
          <w:b/>
          <w:bCs/>
          <w:sz w:val="24"/>
          <w:szCs w:val="24"/>
        </w:rPr>
        <w:t xml:space="preserve">Aprendizagem de atalhos.</w:t>
      </w:r>
      <w:r>
        <w:rPr>
          <w:rFonts w:ascii="Times New Roman" w:cs="Times New Roman" w:eastAsia="Times New Roman" w:hAnsi="Times New Roman"/>
          <w:sz w:val="24"/>
          <w:szCs w:val="24"/>
        </w:rPr>
        <w:t xml:space="preserve"> Fenómeno em que o modelo aprende uma regularidade acidental dos dados de treino (por exemplo, o estilo de uma fonte) em vez da propriedade que se pretende detectar.</w:t>
      </w:r>
    </w:p>
    <w:p>
      <w:pPr>
        <w:spacing w:after="140" w:line="300"/>
        <w:jc w:val="both"/>
      </w:pPr>
      <w:r>
        <w:rPr>
          <w:rFonts w:ascii="Times New Roman" w:cs="Times New Roman" w:eastAsia="Times New Roman" w:hAnsi="Times New Roman"/>
          <w:b/>
          <w:bCs/>
          <w:sz w:val="24"/>
          <w:szCs w:val="24"/>
        </w:rPr>
        <w:t xml:space="preserve">AUC-ROC.</w:t>
      </w:r>
      <w:r>
        <w:rPr>
          <w:rFonts w:ascii="Times New Roman" w:cs="Times New Roman" w:eastAsia="Times New Roman" w:hAnsi="Times New Roman"/>
          <w:sz w:val="24"/>
          <w:szCs w:val="24"/>
        </w:rPr>
        <w:t xml:space="preserve"> Área sob a curva que relaciona a taxa de verdadeiros positivos com a taxa de falsos positivos para todos os limiares de decisão; 0,5 corresponde ao acaso e 1 à separação perfeita.</w:t>
      </w:r>
    </w:p>
    <w:p>
      <w:pPr>
        <w:spacing w:after="140" w:line="300"/>
        <w:jc w:val="both"/>
      </w:pPr>
      <w:r>
        <w:rPr>
          <w:rFonts w:ascii="Times New Roman" w:cs="Times New Roman" w:eastAsia="Times New Roman" w:hAnsi="Times New Roman"/>
          <w:b/>
          <w:bCs/>
          <w:sz w:val="24"/>
          <w:szCs w:val="24"/>
        </w:rPr>
        <w:t xml:space="preserve">BERTimbau.</w:t>
      </w:r>
      <w:r>
        <w:rPr>
          <w:rFonts w:ascii="Times New Roman" w:cs="Times New Roman" w:eastAsia="Times New Roman" w:hAnsi="Times New Roman"/>
          <w:sz w:val="24"/>
          <w:szCs w:val="24"/>
        </w:rPr>
        <w:t xml:space="preserve"> Versão do modelo BERT pré-treinada com texto em português do Brasil (Souza et al., 2020).</w:t>
      </w:r>
    </w:p>
    <w:p>
      <w:pPr>
        <w:spacing w:after="140" w:line="300"/>
        <w:jc w:val="both"/>
      </w:pPr>
      <w:r>
        <w:rPr>
          <w:rFonts w:ascii="Times New Roman" w:cs="Times New Roman" w:eastAsia="Times New Roman" w:hAnsi="Times New Roman"/>
          <w:b/>
          <w:bCs/>
          <w:sz w:val="24"/>
          <w:szCs w:val="24"/>
        </w:rPr>
        <w:t xml:space="preserve">Bootstrap.</w:t>
      </w:r>
      <w:r>
        <w:rPr>
          <w:rFonts w:ascii="Times New Roman" w:cs="Times New Roman" w:eastAsia="Times New Roman" w:hAnsi="Times New Roman"/>
          <w:sz w:val="24"/>
          <w:szCs w:val="24"/>
        </w:rPr>
        <w:t xml:space="preserve"> Método de reamostragem com reposição usado para estimar a variabilidade de uma estatística e construir intervalos de confiança.</w:t>
      </w:r>
    </w:p>
    <w:p>
      <w:pPr>
        <w:spacing w:after="140" w:line="300"/>
        <w:jc w:val="both"/>
      </w:pPr>
      <w:r>
        <w:rPr>
          <w:rFonts w:ascii="Times New Roman" w:cs="Times New Roman" w:eastAsia="Times New Roman" w:hAnsi="Times New Roman"/>
          <w:b/>
          <w:bCs/>
          <w:sz w:val="24"/>
          <w:szCs w:val="24"/>
        </w:rPr>
        <w:t xml:space="preserve">Corpus.</w:t>
      </w:r>
      <w:r>
        <w:rPr>
          <w:rFonts w:ascii="Times New Roman" w:cs="Times New Roman" w:eastAsia="Times New Roman" w:hAnsi="Times New Roman"/>
          <w:sz w:val="24"/>
          <w:szCs w:val="24"/>
        </w:rPr>
        <w:t xml:space="preserve"> Colecção estruturada de textos usada para treinar ou avaliar modelos de linguagem.</w:t>
      </w:r>
    </w:p>
    <w:p>
      <w:pPr>
        <w:spacing w:after="140" w:line="300"/>
        <w:jc w:val="both"/>
      </w:pPr>
      <w:r>
        <w:rPr>
          <w:rFonts w:ascii="Times New Roman" w:cs="Times New Roman" w:eastAsia="Times New Roman" w:hAnsi="Times New Roman"/>
          <w:b/>
          <w:bCs/>
          <w:sz w:val="24"/>
          <w:szCs w:val="24"/>
        </w:rPr>
        <w:t xml:space="preserve">Corpus híbrido.</w:t>
      </w:r>
      <w:r>
        <w:rPr>
          <w:rFonts w:ascii="Times New Roman" w:cs="Times New Roman" w:eastAsia="Times New Roman" w:hAnsi="Times New Roman"/>
          <w:sz w:val="24"/>
          <w:szCs w:val="24"/>
        </w:rPr>
        <w:t xml:space="preserve"> Nesta dissertação, a combinação do piloto angolano com os corpora públicos ToLD-BR, HateBR e Fake.br.</w:t>
      </w:r>
    </w:p>
    <w:p>
      <w:pPr>
        <w:spacing w:after="140" w:line="300"/>
        <w:jc w:val="both"/>
      </w:pPr>
      <w:r>
        <w:rPr>
          <w:rFonts w:ascii="Times New Roman" w:cs="Times New Roman" w:eastAsia="Times New Roman" w:hAnsi="Times New Roman"/>
          <w:b/>
          <w:bCs/>
          <w:sz w:val="24"/>
          <w:szCs w:val="24"/>
        </w:rPr>
        <w:t xml:space="preserve">F1.</w:t>
      </w:r>
      <w:r>
        <w:rPr>
          <w:rFonts w:ascii="Times New Roman" w:cs="Times New Roman" w:eastAsia="Times New Roman" w:hAnsi="Times New Roman"/>
          <w:sz w:val="24"/>
          <w:szCs w:val="24"/>
        </w:rPr>
        <w:t xml:space="preserve"> Média harmónica entre a precisão e a sensibilidade de uma categoria.</w:t>
      </w:r>
    </w:p>
    <w:p>
      <w:pPr>
        <w:spacing w:after="140" w:line="300"/>
        <w:jc w:val="both"/>
      </w:pPr>
      <w:r>
        <w:rPr>
          <w:rFonts w:ascii="Times New Roman" w:cs="Times New Roman" w:eastAsia="Times New Roman" w:hAnsi="Times New Roman"/>
          <w:b/>
          <w:bCs/>
          <w:sz w:val="24"/>
          <w:szCs w:val="24"/>
        </w:rPr>
        <w:t xml:space="preserve">F1-macro.</w:t>
      </w:r>
      <w:r>
        <w:rPr>
          <w:rFonts w:ascii="Times New Roman" w:cs="Times New Roman" w:eastAsia="Times New Roman" w:hAnsi="Times New Roman"/>
          <w:sz w:val="24"/>
          <w:szCs w:val="24"/>
        </w:rPr>
        <w:t xml:space="preserve"> Média simples dos F1 das categorias; dá a mesma importância a todas, independentemente da sua frequência.</w:t>
      </w:r>
    </w:p>
    <w:p>
      <w:pPr>
        <w:spacing w:after="140" w:line="300"/>
        <w:jc w:val="both"/>
      </w:pPr>
      <w:r>
        <w:rPr>
          <w:rFonts w:ascii="Times New Roman" w:cs="Times New Roman" w:eastAsia="Times New Roman" w:hAnsi="Times New Roman"/>
          <w:b/>
          <w:bCs/>
          <w:sz w:val="24"/>
          <w:szCs w:val="24"/>
        </w:rPr>
        <w:t xml:space="preserve">F1 ponderado.</w:t>
      </w:r>
      <w:r>
        <w:rPr>
          <w:rFonts w:ascii="Times New Roman" w:cs="Times New Roman" w:eastAsia="Times New Roman" w:hAnsi="Times New Roman"/>
          <w:sz w:val="24"/>
          <w:szCs w:val="24"/>
        </w:rPr>
        <w:t xml:space="preserve"> Média dos F1 das categorias ponderada pelo número de exemplos de cada uma; é dominado pelas categorias frequentes.</w:t>
      </w:r>
    </w:p>
    <w:p>
      <w:pPr>
        <w:spacing w:after="140" w:line="300"/>
        <w:jc w:val="both"/>
      </w:pPr>
      <w:r>
        <w:rPr>
          <w:rFonts w:ascii="Times New Roman" w:cs="Times New Roman" w:eastAsia="Times New Roman" w:hAnsi="Times New Roman"/>
          <w:b/>
          <w:bCs/>
          <w:sz w:val="24"/>
          <w:szCs w:val="24"/>
        </w:rPr>
        <w:t xml:space="preserve">Fila de revisão.</w:t>
      </w:r>
      <w:r>
        <w:rPr>
          <w:rFonts w:ascii="Times New Roman" w:cs="Times New Roman" w:eastAsia="Times New Roman" w:hAnsi="Times New Roman"/>
          <w:sz w:val="24"/>
          <w:szCs w:val="24"/>
        </w:rPr>
        <w:t xml:space="preserve"> Lista de publicações por rever, ordenada pela prioridade calculada pelo sistema.</w:t>
      </w:r>
    </w:p>
    <w:p>
      <w:pPr>
        <w:spacing w:after="140" w:line="300"/>
        <w:jc w:val="both"/>
      </w:pPr>
      <w:r>
        <w:rPr>
          <w:rFonts w:ascii="Times New Roman" w:cs="Times New Roman" w:eastAsia="Times New Roman" w:hAnsi="Times New Roman"/>
          <w:b/>
          <w:bCs/>
          <w:sz w:val="24"/>
          <w:szCs w:val="24"/>
        </w:rPr>
        <w:t xml:space="preserve">HMAC.</w:t>
      </w:r>
      <w:r>
        <w:rPr>
          <w:rFonts w:ascii="Times New Roman" w:cs="Times New Roman" w:eastAsia="Times New Roman" w:hAnsi="Times New Roman"/>
          <w:sz w:val="24"/>
          <w:szCs w:val="24"/>
        </w:rPr>
        <w:t xml:space="preserve"> Código de autenticação de mensagens baseado numa função de </w:t>
      </w:r>
      <w:r>
        <w:rPr>
          <w:rFonts w:ascii="Times New Roman" w:cs="Times New Roman" w:eastAsia="Times New Roman" w:hAnsi="Times New Roman"/>
          <w:i/>
          <w:iCs/>
          <w:sz w:val="24"/>
          <w:szCs w:val="24"/>
        </w:rPr>
        <w:t xml:space="preserve">hash</w:t>
      </w:r>
      <w:r>
        <w:rPr>
          <w:rFonts w:ascii="Times New Roman" w:cs="Times New Roman" w:eastAsia="Times New Roman" w:hAnsi="Times New Roman"/>
          <w:sz w:val="24"/>
          <w:szCs w:val="24"/>
        </w:rPr>
        <w:t xml:space="preserve"> e num segredo; usado para gerar pseudónimos que não podem ser revertidos por dicionário sem o segredo.</w:t>
      </w:r>
    </w:p>
    <w:p>
      <w:pPr>
        <w:spacing w:after="140" w:line="300"/>
        <w:jc w:val="both"/>
      </w:pPr>
      <w:r>
        <w:rPr>
          <w:rFonts w:ascii="Times New Roman" w:cs="Times New Roman" w:eastAsia="Times New Roman" w:hAnsi="Times New Roman"/>
          <w:b/>
          <w:bCs/>
          <w:sz w:val="24"/>
          <w:szCs w:val="24"/>
        </w:rPr>
        <w:t xml:space="preserve">Kappa de Cohen.</w:t>
      </w:r>
      <w:r>
        <w:rPr>
          <w:rFonts w:ascii="Times New Roman" w:cs="Times New Roman" w:eastAsia="Times New Roman" w:hAnsi="Times New Roman"/>
          <w:sz w:val="24"/>
          <w:szCs w:val="24"/>
        </w:rPr>
        <w:t xml:space="preserve"> Medida de acordo entre dois avaliadores corrigida pelo acordo esperado ao acaso.</w:t>
      </w:r>
    </w:p>
    <w:p>
      <w:pPr>
        <w:spacing w:after="140" w:line="300"/>
        <w:jc w:val="both"/>
      </w:pPr>
      <w:r>
        <w:rPr>
          <w:rFonts w:ascii="Times New Roman" w:cs="Times New Roman" w:eastAsia="Times New Roman" w:hAnsi="Times New Roman"/>
          <w:b/>
          <w:bCs/>
          <w:sz w:val="24"/>
          <w:szCs w:val="24"/>
        </w:rPr>
        <w:t xml:space="preserve">Kappa de Fleiss.</w:t>
      </w:r>
      <w:r>
        <w:rPr>
          <w:rFonts w:ascii="Times New Roman" w:cs="Times New Roman" w:eastAsia="Times New Roman" w:hAnsi="Times New Roman"/>
          <w:sz w:val="24"/>
          <w:szCs w:val="24"/>
        </w:rPr>
        <w:t xml:space="preserve"> Generalização do Kappa para três ou mais avaliadores.</w:t>
      </w:r>
    </w:p>
    <w:p>
      <w:pPr>
        <w:spacing w:after="140" w:line="300"/>
        <w:jc w:val="both"/>
      </w:pPr>
      <w:r>
        <w:rPr>
          <w:rFonts w:ascii="Times New Roman" w:cs="Times New Roman" w:eastAsia="Times New Roman" w:hAnsi="Times New Roman"/>
          <w:b/>
          <w:bCs/>
          <w:sz w:val="24"/>
          <w:szCs w:val="24"/>
        </w:rPr>
        <w:t xml:space="preserve">Lacuna de domínio.</w:t>
      </w:r>
      <w:r>
        <w:rPr>
          <w:rFonts w:ascii="Times New Roman" w:cs="Times New Roman" w:eastAsia="Times New Roman" w:hAnsi="Times New Roman"/>
          <w:sz w:val="24"/>
          <w:szCs w:val="24"/>
        </w:rPr>
        <w:t xml:space="preserve"> Diferença de desempenho de um modelo entre os dados semelhantes aos de treino e dados de outro domínio (plataforma, região, variedade linguística ou género textual).</w:t>
      </w:r>
    </w:p>
    <w:p>
      <w:pPr>
        <w:spacing w:after="140" w:line="300"/>
        <w:jc w:val="both"/>
      </w:pPr>
      <w:r>
        <w:rPr>
          <w:rFonts w:ascii="Times New Roman" w:cs="Times New Roman" w:eastAsia="Times New Roman" w:hAnsi="Times New Roman"/>
          <w:b/>
          <w:bCs/>
          <w:sz w:val="24"/>
          <w:szCs w:val="24"/>
        </w:rPr>
        <w:t xml:space="preserve">Pseudonimização.</w:t>
      </w:r>
      <w:r>
        <w:rPr>
          <w:rFonts w:ascii="Times New Roman" w:cs="Times New Roman" w:eastAsia="Times New Roman" w:hAnsi="Times New Roman"/>
          <w:sz w:val="24"/>
          <w:szCs w:val="24"/>
        </w:rPr>
        <w:t xml:space="preserve"> Substituição de identificadores pessoais por códigos que não permitem identificar a pessoa sem informação adicional guardada separadamente.</w:t>
      </w:r>
    </w:p>
    <w:p>
      <w:pPr>
        <w:spacing w:after="140" w:line="300"/>
        <w:jc w:val="both"/>
      </w:pPr>
      <w:r>
        <w:rPr>
          <w:rFonts w:ascii="Times New Roman" w:cs="Times New Roman" w:eastAsia="Times New Roman" w:hAnsi="Times New Roman"/>
          <w:b/>
          <w:bCs/>
          <w:sz w:val="24"/>
          <w:szCs w:val="24"/>
        </w:rPr>
        <w:t xml:space="preserve">Precisão.</w:t>
      </w:r>
      <w:r>
        <w:rPr>
          <w:rFonts w:ascii="Times New Roman" w:cs="Times New Roman" w:eastAsia="Times New Roman" w:hAnsi="Times New Roman"/>
          <w:sz w:val="24"/>
          <w:szCs w:val="24"/>
        </w:rPr>
        <w:t xml:space="preserve"> Fracção das previsões de uma categoria que estão correctas.</w:t>
      </w:r>
    </w:p>
    <w:p>
      <w:pPr>
        <w:spacing w:after="140" w:line="300"/>
        <w:jc w:val="both"/>
      </w:pPr>
      <w:r>
        <w:rPr>
          <w:rFonts w:ascii="Times New Roman" w:cs="Times New Roman" w:eastAsia="Times New Roman" w:hAnsi="Times New Roman"/>
          <w:b/>
          <w:bCs/>
          <w:sz w:val="24"/>
          <w:szCs w:val="24"/>
        </w:rPr>
        <w:t xml:space="preserve">Precisão nos primeiros K.</w:t>
      </w:r>
      <w:r>
        <w:rPr>
          <w:rFonts w:ascii="Times New Roman" w:cs="Times New Roman" w:eastAsia="Times New Roman" w:hAnsi="Times New Roman"/>
          <w:sz w:val="24"/>
          <w:szCs w:val="24"/>
        </w:rPr>
        <w:t xml:space="preserve"> Fracção de ameaças confirmadas pelo analista entre os K primeiros itens da fila de revisão.</w:t>
      </w:r>
    </w:p>
    <w:p>
      <w:pPr>
        <w:spacing w:after="140" w:line="300"/>
        <w:jc w:val="both"/>
      </w:pPr>
      <w:r>
        <w:rPr>
          <w:rFonts w:ascii="Times New Roman" w:cs="Times New Roman" w:eastAsia="Times New Roman" w:hAnsi="Times New Roman"/>
          <w:b/>
          <w:bCs/>
          <w:sz w:val="24"/>
          <w:szCs w:val="24"/>
        </w:rPr>
        <w:t xml:space="preserve">Sensibilidade.</w:t>
      </w:r>
      <w:r>
        <w:rPr>
          <w:rFonts w:ascii="Times New Roman" w:cs="Times New Roman" w:eastAsia="Times New Roman" w:hAnsi="Times New Roman"/>
          <w:sz w:val="24"/>
          <w:szCs w:val="24"/>
        </w:rPr>
        <w:t xml:space="preserve"> Fracção dos exemplos de uma categoria que o modelo identifica (em inglês, </w:t>
      </w:r>
      <w:r>
        <w:rPr>
          <w:rFonts w:ascii="Times New Roman" w:cs="Times New Roman" w:eastAsia="Times New Roman" w:hAnsi="Times New Roman"/>
          <w:i/>
          <w:iCs/>
          <w:sz w:val="24"/>
          <w:szCs w:val="24"/>
        </w:rPr>
        <w:t xml:space="preserve">recall</w:t>
      </w:r>
      <w:r>
        <w:rPr>
          <w:rFonts w:ascii="Times New Roman" w:cs="Times New Roman" w:eastAsia="Times New Roman" w:hAnsi="Times New Roman"/>
          <w:sz w:val="24"/>
          <w:szCs w:val="24"/>
        </w:rPr>
        <w:t xml:space="preserve">).</w:t>
      </w:r>
    </w:p>
    <w:p>
      <w:pPr>
        <w:spacing w:after="140" w:line="300"/>
        <w:jc w:val="both"/>
      </w:pPr>
      <w:r>
        <w:rPr>
          <w:rFonts w:ascii="Times New Roman" w:cs="Times New Roman" w:eastAsia="Times New Roman" w:hAnsi="Times New Roman"/>
          <w:b/>
          <w:bCs/>
          <w:sz w:val="24"/>
          <w:szCs w:val="24"/>
        </w:rPr>
        <w:t xml:space="preserve">Subpalavra.</w:t>
      </w:r>
      <w:r>
        <w:rPr>
          <w:rFonts w:ascii="Times New Roman" w:cs="Times New Roman" w:eastAsia="Times New Roman" w:hAnsi="Times New Roman"/>
          <w:sz w:val="24"/>
          <w:szCs w:val="24"/>
        </w:rPr>
        <w:t xml:space="preserve"> Fragmento de palavra usado pelo tokenizador dos modelos BERT; palavras fora do vocabulário são divididas em subpalavras conhecidas.</w:t>
      </w:r>
    </w:p>
    <w:p>
      <w:pPr>
        <w:spacing w:after="140" w:line="300"/>
        <w:jc w:val="both"/>
      </w:pPr>
      <w:r>
        <w:rPr>
          <w:rFonts w:ascii="Times New Roman" w:cs="Times New Roman" w:eastAsia="Times New Roman" w:hAnsi="Times New Roman"/>
          <w:b/>
          <w:bCs/>
          <w:sz w:val="24"/>
          <w:szCs w:val="24"/>
        </w:rPr>
        <w:t xml:space="preserve">Teste de McNemar.</w:t>
      </w:r>
      <w:r>
        <w:rPr>
          <w:rFonts w:ascii="Times New Roman" w:cs="Times New Roman" w:eastAsia="Times New Roman" w:hAnsi="Times New Roman"/>
          <w:sz w:val="24"/>
          <w:szCs w:val="24"/>
        </w:rPr>
        <w:t xml:space="preserve"> Teste estatístico para comparar dois classificadores no mesmo conjunto de teste, com base nos casos em que apenas um deles acerta.</w:t>
      </w:r>
    </w:p>
    <w:p>
      <w:pPr>
        <w:spacing w:after="140" w:line="300"/>
        <w:jc w:val="both"/>
      </w:pPr>
      <w:r>
        <w:rPr>
          <w:rFonts w:ascii="Times New Roman" w:cs="Times New Roman" w:eastAsia="Times New Roman" w:hAnsi="Times New Roman"/>
          <w:b/>
          <w:bCs/>
          <w:sz w:val="24"/>
          <w:szCs w:val="24"/>
        </w:rPr>
        <w:t xml:space="preserve">TF-IDF.</w:t>
      </w:r>
      <w:r>
        <w:rPr>
          <w:rFonts w:ascii="Times New Roman" w:cs="Times New Roman" w:eastAsia="Times New Roman" w:hAnsi="Times New Roman"/>
          <w:sz w:val="24"/>
          <w:szCs w:val="24"/>
        </w:rPr>
        <w:t xml:space="preserve"> Representação de um texto pela frequência dos seus termos, ponderada pela raridade de cada termo no conjunto de documentos.</w:t>
      </w:r>
    </w:p>
    <w:p>
      <w:pPr>
        <w:spacing w:after="140" w:line="300"/>
        <w:jc w:val="both"/>
      </w:pPr>
      <w:r>
        <w:rPr>
          <w:rFonts w:ascii="Times New Roman" w:cs="Times New Roman" w:eastAsia="Times New Roman" w:hAnsi="Times New Roman"/>
          <w:b/>
          <w:bCs/>
          <w:sz w:val="24"/>
          <w:szCs w:val="24"/>
        </w:rPr>
        <w:t xml:space="preserve">Transformer.</w:t>
      </w:r>
      <w:r>
        <w:rPr>
          <w:rFonts w:ascii="Times New Roman" w:cs="Times New Roman" w:eastAsia="Times New Roman" w:hAnsi="Times New Roman"/>
          <w:sz w:val="24"/>
          <w:szCs w:val="24"/>
        </w:rPr>
        <w:t xml:space="preserve"> Arquitectura de rede neuronal baseada em mecanismos de atenção, que processa toda a sequência em paralelo (Vaswani et al., 2017).</w:t>
      </w:r>
    </w:p>
    <w:p>
      <w:pPr>
        <w:sectPr>
          <w:headerReference w:type="default" r:id="rId25"/>
          <w:footerReference w:type="default" r:id="rId26"/>
          <w:type w:val="nextPage"/>
          <w:pgSz w:w="11906" w:h="16838" w:orient="portrait"/>
          <w:pgMar w:top="1701" w:right="1701" w:bottom="1417" w:left="1984" w:header="850" w:footer="567" w:gutter="0"/>
          <w:pgNumType/>
          <w:docGrid w:linePitch="360"/>
        </w:sectPr>
      </w:pPr>
    </w:p>
    <w:p>
      <w:pPr>
        <w:pStyle w:val="Heading1"/>
        <w:spacing w:after="480" w:before="567"/>
        <w:jc w:val="left"/>
      </w:pPr>
      <w:r>
        <w:rPr>
          <w:rFonts w:ascii="Times New Roman" w:cs="Times New Roman" w:eastAsia="Times New Roman" w:hAnsi="Times New Roman"/>
          <w:b/>
          <w:bCs/>
          <w:sz w:val="28"/>
          <w:szCs w:val="28"/>
        </w:rPr>
        <w:t xml:space="preserve">APÊNDICE A – EXCERTOS DE CÓDIGO-FONTE</w:t>
      </w:r>
    </w:p>
    <w:p>
      <w:pPr>
        <w:spacing w:after="120" w:before="0" w:line="360"/>
        <w:ind w:firstLine="567"/>
        <w:jc w:val="both"/>
      </w:pPr>
      <w:r>
        <w:rPr>
          <w:rFonts w:ascii="Times New Roman" w:cs="Times New Roman" w:eastAsia="Times New Roman" w:hAnsi="Times New Roman"/>
          <w:sz w:val="24"/>
          <w:szCs w:val="24"/>
        </w:rPr>
        <w:t xml:space="preserve">Os excertos seguintes são reproduzidos, sem alterações, do código do protótipo (pasta sistema_uan do repositório do projecto). O código completo, com testes e documentação, está disponível em https://github.com/manuelmuinga/dissertacao-uan-angola.</w:t>
      </w:r>
    </w:p>
    <w:p>
      <w:pPr>
        <w:pStyle w:val="Heading2"/>
        <w:keepNext/>
        <w:keepLines/>
        <w:spacing w:after="160" w:before="360" w:line="300"/>
      </w:pPr>
      <w:r>
        <w:rPr>
          <w:rFonts w:ascii="Times New Roman" w:cs="Times New Roman" w:eastAsia="Times New Roman" w:hAnsi="Times New Roman"/>
          <w:b/>
          <w:bCs/>
          <w:sz w:val="26"/>
          <w:szCs w:val="26"/>
        </w:rPr>
        <w:t xml:space="preserve">A.1 Anonimização à entrada</w:t>
      </w:r>
    </w:p>
    <w:p>
      <w:pPr>
        <w:spacing w:after="120" w:before="0" w:line="360"/>
        <w:ind w:firstLine="567"/>
        <w:jc w:val="both"/>
      </w:pPr>
      <w:r>
        <w:rPr>
          <w:rFonts w:ascii="Times New Roman" w:cs="Times New Roman" w:eastAsia="Times New Roman" w:hAnsi="Times New Roman"/>
          <w:sz w:val="24"/>
          <w:szCs w:val="24"/>
        </w:rPr>
        <w:t xml:space="preserve">Máscaras de identificadores directos e pseudónimo do autor (módulo sistema/anonimizacao.py).</w:t>
      </w:r>
    </w:p>
    <w:p>
      <w:pPr>
        <w:shd w:fill="F4F3EF" w:color="auto" w:val="clear"/>
        <w:spacing w:after="0" w:before="120" w:line="220"/>
        <w:ind w:left="113" w:right="113"/>
      </w:pPr>
      <w:r>
        <w:rPr>
          <w:rFonts w:ascii="Courier New" w:cs="Courier New" w:eastAsia="Courier New" w:hAnsi="Courier New"/>
          <w:sz w:val="17"/>
          <w:szCs w:val="17"/>
        </w:rPr>
        <w:t xml:space="preserve">_PADROES: list[tuple[re.Pattern[str], str]] = [</w:t>
      </w:r>
    </w:p>
    <w:p>
      <w:pPr>
        <w:shd w:fill="F4F3EF" w:color="auto" w:val="clear"/>
        <w:spacing w:after="0" w:before="0" w:line="220"/>
        <w:ind w:left="113" w:right="113"/>
      </w:pPr>
      <w:r>
        <w:rPr>
          <w:rFonts w:ascii="Courier New" w:cs="Courier New" w:eastAsia="Courier New" w:hAnsi="Courier New"/>
          <w:sz w:val="17"/>
          <w:szCs w:val="17"/>
        </w:rPr>
        <w:t xml:space="preserve">    (re.compile(r"https?://\S+|www\.\S+", re.IGNORECASE), "[URL]"),</w:t>
      </w:r>
    </w:p>
    <w:p>
      <w:pPr>
        <w:shd w:fill="F4F3EF" w:color="auto" w:val="clear"/>
        <w:spacing w:after="0" w:before="0" w:line="220"/>
        <w:ind w:left="113" w:right="113"/>
      </w:pPr>
      <w:r>
        <w:rPr>
          <w:rFonts w:ascii="Courier New" w:cs="Courier New" w:eastAsia="Courier New" w:hAnsi="Courier New"/>
          <w:sz w:val="17"/>
          <w:szCs w:val="17"/>
        </w:rPr>
        <w:t xml:space="preserve">    (re.compile(r"\b[\w.+-]+@[\w-]+\.[\w.-]+\b"), "[EMAIL]"),</w:t>
      </w:r>
    </w:p>
    <w:p>
      <w:pPr>
        <w:shd w:fill="F4F3EF" w:color="auto" w:val="clear"/>
        <w:spacing w:after="0" w:before="0" w:line="220"/>
        <w:ind w:left="113" w:right="113"/>
      </w:pPr>
      <w:r>
        <w:rPr>
          <w:rFonts w:ascii="Courier New" w:cs="Courier New" w:eastAsia="Courier New" w:hAnsi="Courier New"/>
          <w:sz w:val="17"/>
          <w:szCs w:val="17"/>
        </w:rPr>
        <w:t xml:space="preserve">    # Telefones: +244 9xx xxx xxx, 9xxxxxxxx e variantes com espaços/hífenes.</w:t>
      </w:r>
    </w:p>
    <w:p>
      <w:pPr>
        <w:shd w:fill="F4F3EF" w:color="auto" w:val="clear"/>
        <w:spacing w:after="0" w:before="0" w:line="220"/>
        <w:ind w:left="113" w:right="113"/>
      </w:pPr>
      <w:r>
        <w:rPr>
          <w:rFonts w:ascii="Courier New" w:cs="Courier New" w:eastAsia="Courier New" w:hAnsi="Courier New"/>
          <w:sz w:val="17"/>
          <w:szCs w:val="17"/>
        </w:rPr>
        <w:t xml:space="preserve">    (re.compile(r"(?&lt;!\w)(?:\+?244[\s-]?)?9\d{2}[\s-]?\d{3}[\s-]?\d{3}(?!\w)"), "[TELEFONE]"),</w:t>
      </w:r>
    </w:p>
    <w:p>
      <w:pPr>
        <w:shd w:fill="F4F3EF" w:color="auto" w:val="clear"/>
        <w:spacing w:after="0" w:before="0" w:line="220"/>
        <w:ind w:left="113" w:right="113"/>
      </w:pPr>
      <w:r>
        <w:rPr>
          <w:rFonts w:ascii="Courier New" w:cs="Courier New" w:eastAsia="Courier New" w:hAnsi="Courier New"/>
          <w:sz w:val="17"/>
          <w:szCs w:val="17"/>
        </w:rPr>
        <w:t xml:space="preserve">    (re.compile(r"(?&lt;!\w)@[\w.]{2,}"), "@[UTILIZADOR]"),</w:t>
      </w:r>
    </w:p>
    <w:p>
      <w:pPr>
        <w:shd w:fill="F4F3EF" w:color="auto" w:val="clear"/>
        <w:spacing w:after="0" w:before="0" w:line="220"/>
        <w:ind w:left="113" w:right="113"/>
      </w:pPr>
      <w:r>
        <w:rPr>
          <w:rFonts w:ascii="Courier New" w:cs="Courier New" w:eastAsia="Courier New" w:hAnsi="Courier New"/>
          <w:sz w:val="17"/>
          <w:szCs w:val="17"/>
        </w:rPr>
        <w:t xml:space="preserve">]</w:t>
      </w:r>
    </w:p>
    <w:p>
      <w:pPr>
        <w:shd w:fill="F4F3EF" w:color="auto" w:val="clear"/>
        <w:spacing w:after="0" w:before="0" w:line="220"/>
        <w:ind w:left="113" w:right="113"/>
      </w:pPr>
      <w:r>
        <w:rPr>
          <w:rFonts w:ascii="Courier New" w:cs="Courier New" w:eastAsia="Courier New" w:hAnsi="Courier New"/>
          <w:sz w:val="17"/>
          <w:szCs w:val="17"/>
        </w:rPr>
        <w:t xml:space="preserve"> </w:t>
      </w:r>
    </w:p>
    <w:p>
      <w:pPr>
        <w:shd w:fill="F4F3EF" w:color="auto" w:val="clear"/>
        <w:spacing w:after="0" w:before="0" w:line="220"/>
        <w:ind w:left="113" w:right="113"/>
      </w:pPr>
      <w:r>
        <w:rPr>
          <w:rFonts w:ascii="Courier New" w:cs="Courier New" w:eastAsia="Courier New" w:hAnsi="Courier New"/>
          <w:sz w:val="17"/>
          <w:szCs w:val="17"/>
        </w:rPr>
        <w:t xml:space="preserve"> </w:t>
      </w:r>
    </w:p>
    <w:p>
      <w:pPr>
        <w:shd w:fill="F4F3EF" w:color="auto" w:val="clear"/>
        <w:spacing w:after="0" w:before="0" w:line="220"/>
        <w:ind w:left="113" w:right="113"/>
      </w:pPr>
      <w:r>
        <w:rPr>
          <w:rFonts w:ascii="Courier New" w:cs="Courier New" w:eastAsia="Courier New" w:hAnsi="Courier New"/>
          <w:sz w:val="17"/>
          <w:szCs w:val="17"/>
        </w:rPr>
        <w:t xml:space="preserve">def mascarar_texto(texto: str) -&gt; str:</w:t>
      </w:r>
    </w:p>
    <w:p>
      <w:pPr>
        <w:shd w:fill="F4F3EF" w:color="auto" w:val="clear"/>
        <w:spacing w:after="0" w:before="0" w:line="220"/>
        <w:ind w:left="113" w:right="113"/>
      </w:pPr>
      <w:r>
        <w:rPr>
          <w:rFonts w:ascii="Courier New" w:cs="Courier New" w:eastAsia="Courier New" w:hAnsi="Courier New"/>
          <w:sz w:val="17"/>
          <w:szCs w:val="17"/>
        </w:rPr>
        <w:t xml:space="preserve">    """Substitui identificadores directos no texto por marcadores."""</w:t>
      </w:r>
    </w:p>
    <w:p>
      <w:pPr>
        <w:shd w:fill="F4F3EF" w:color="auto" w:val="clear"/>
        <w:spacing w:after="0" w:before="0" w:line="220"/>
        <w:ind w:left="113" w:right="113"/>
      </w:pPr>
      <w:r>
        <w:rPr>
          <w:rFonts w:ascii="Courier New" w:cs="Courier New" w:eastAsia="Courier New" w:hAnsi="Courier New"/>
          <w:sz w:val="17"/>
          <w:szCs w:val="17"/>
        </w:rPr>
        <w:t xml:space="preserve">    if not texto:</w:t>
      </w:r>
    </w:p>
    <w:p>
      <w:pPr>
        <w:shd w:fill="F4F3EF" w:color="auto" w:val="clear"/>
        <w:spacing w:after="0" w:before="0" w:line="220"/>
        <w:ind w:left="113" w:right="113"/>
      </w:pPr>
      <w:r>
        <w:rPr>
          <w:rFonts w:ascii="Courier New" w:cs="Courier New" w:eastAsia="Courier New" w:hAnsi="Courier New"/>
          <w:sz w:val="17"/>
          <w:szCs w:val="17"/>
        </w:rPr>
        <w:t xml:space="preserve">        return ""</w:t>
      </w:r>
    </w:p>
    <w:p>
      <w:pPr>
        <w:shd w:fill="F4F3EF" w:color="auto" w:val="clear"/>
        <w:spacing w:after="0" w:before="0" w:line="220"/>
        <w:ind w:left="113" w:right="113"/>
      </w:pPr>
      <w:r>
        <w:rPr>
          <w:rFonts w:ascii="Courier New" w:cs="Courier New" w:eastAsia="Courier New" w:hAnsi="Courier New"/>
          <w:sz w:val="17"/>
          <w:szCs w:val="17"/>
        </w:rPr>
        <w:t xml:space="preserve">    for padrao, marcador in _PADROES:</w:t>
      </w:r>
    </w:p>
    <w:p>
      <w:pPr>
        <w:shd w:fill="F4F3EF" w:color="auto" w:val="clear"/>
        <w:spacing w:after="0" w:before="0" w:line="220"/>
        <w:ind w:left="113" w:right="113"/>
      </w:pPr>
      <w:r>
        <w:rPr>
          <w:rFonts w:ascii="Courier New" w:cs="Courier New" w:eastAsia="Courier New" w:hAnsi="Courier New"/>
          <w:sz w:val="17"/>
          <w:szCs w:val="17"/>
        </w:rPr>
        <w:t xml:space="preserve">        texto = padrao.sub(marcador, texto)</w:t>
      </w:r>
    </w:p>
    <w:p>
      <w:pPr>
        <w:shd w:fill="F4F3EF" w:color="auto" w:val="clear"/>
        <w:spacing w:after="0" w:before="0" w:line="220"/>
        <w:ind w:left="113" w:right="113"/>
      </w:pPr>
      <w:r>
        <w:rPr>
          <w:rFonts w:ascii="Courier New" w:cs="Courier New" w:eastAsia="Courier New" w:hAnsi="Courier New"/>
          <w:sz w:val="17"/>
          <w:szCs w:val="17"/>
        </w:rPr>
        <w:t xml:space="preserve">    return re.sub(r"\s+", " ", texto).strip()</w:t>
      </w:r>
    </w:p>
    <w:p>
      <w:pPr>
        <w:shd w:fill="F4F3EF" w:color="auto" w:val="clear"/>
        <w:spacing w:after="0" w:before="0" w:line="220"/>
        <w:ind w:left="113" w:right="113"/>
      </w:pPr>
      <w:r>
        <w:rPr>
          <w:rFonts w:ascii="Courier New" w:cs="Courier New" w:eastAsia="Courier New" w:hAnsi="Courier New"/>
          <w:sz w:val="17"/>
          <w:szCs w:val="17"/>
        </w:rPr>
        <w:t xml:space="preserve"> </w:t>
      </w:r>
    </w:p>
    <w:p>
      <w:pPr>
        <w:shd w:fill="F4F3EF" w:color="auto" w:val="clear"/>
        <w:spacing w:after="0" w:before="0" w:line="220"/>
        <w:ind w:left="113" w:right="113"/>
      </w:pPr>
      <w:r>
        <w:rPr>
          <w:rFonts w:ascii="Courier New" w:cs="Courier New" w:eastAsia="Courier New" w:hAnsi="Courier New"/>
          <w:sz w:val="17"/>
          <w:szCs w:val="17"/>
        </w:rPr>
        <w:t xml:space="preserve"> </w:t>
      </w:r>
    </w:p>
    <w:p>
      <w:pPr>
        <w:shd w:fill="F4F3EF" w:color="auto" w:val="clear"/>
        <w:spacing w:after="0" w:before="0" w:line="220"/>
        <w:ind w:left="113" w:right="113"/>
      </w:pPr>
      <w:r>
        <w:rPr>
          <w:rFonts w:ascii="Courier New" w:cs="Courier New" w:eastAsia="Courier New" w:hAnsi="Courier New"/>
          <w:sz w:val="17"/>
          <w:szCs w:val="17"/>
        </w:rPr>
        <w:t xml:space="preserve">def pseudonimo_autor(autor: str | None, segredo: str) -&gt; str | None:</w:t>
      </w:r>
    </w:p>
    <w:p>
      <w:pPr>
        <w:shd w:fill="F4F3EF" w:color="auto" w:val="clear"/>
        <w:spacing w:after="0" w:before="0" w:line="220"/>
        <w:ind w:left="113" w:right="113"/>
      </w:pPr>
      <w:r>
        <w:rPr>
          <w:rFonts w:ascii="Courier New" w:cs="Courier New" w:eastAsia="Courier New" w:hAnsi="Courier New"/>
          <w:sz w:val="17"/>
          <w:szCs w:val="17"/>
        </w:rPr>
        <w:t xml:space="preserve">    """Pseudónimo irreversível do autor (HMAC-SHA-256, 16 hex)."""</w:t>
      </w:r>
    </w:p>
    <w:p>
      <w:pPr>
        <w:shd w:fill="F4F3EF" w:color="auto" w:val="clear"/>
        <w:spacing w:after="0" w:before="0" w:line="220"/>
        <w:ind w:left="113" w:right="113"/>
      </w:pPr>
      <w:r>
        <w:rPr>
          <w:rFonts w:ascii="Courier New" w:cs="Courier New" w:eastAsia="Courier New" w:hAnsi="Courier New"/>
          <w:sz w:val="17"/>
          <w:szCs w:val="17"/>
        </w:rPr>
        <w:t xml:space="preserve">    if not autor:</w:t>
      </w:r>
    </w:p>
    <w:p>
      <w:pPr>
        <w:shd w:fill="F4F3EF" w:color="auto" w:val="clear"/>
        <w:spacing w:after="0" w:before="0" w:line="220"/>
        <w:ind w:left="113" w:right="113"/>
      </w:pPr>
      <w:r>
        <w:rPr>
          <w:rFonts w:ascii="Courier New" w:cs="Courier New" w:eastAsia="Courier New" w:hAnsi="Courier New"/>
          <w:sz w:val="17"/>
          <w:szCs w:val="17"/>
        </w:rPr>
        <w:t xml:space="preserve">        return None</w:t>
      </w:r>
    </w:p>
    <w:p>
      <w:pPr>
        <w:shd w:fill="F4F3EF" w:color="auto" w:val="clear"/>
        <w:spacing w:after="0" w:before="0" w:line="220"/>
        <w:ind w:left="113" w:right="113"/>
      </w:pPr>
      <w:r>
        <w:rPr>
          <w:rFonts w:ascii="Courier New" w:cs="Courier New" w:eastAsia="Courier New" w:hAnsi="Courier New"/>
          <w:sz w:val="17"/>
          <w:szCs w:val="17"/>
        </w:rPr>
        <w:t xml:space="preserve">    if not segredo:</w:t>
      </w:r>
    </w:p>
    <w:p>
      <w:pPr>
        <w:shd w:fill="F4F3EF" w:color="auto" w:val="clear"/>
        <w:spacing w:after="0" w:before="0" w:line="220"/>
        <w:ind w:left="113" w:right="113"/>
      </w:pPr>
      <w:r>
        <w:rPr>
          <w:rFonts w:ascii="Courier New" w:cs="Courier New" w:eastAsia="Courier New" w:hAnsi="Courier New"/>
          <w:sz w:val="17"/>
          <w:szCs w:val="17"/>
        </w:rPr>
        <w:t xml:space="preserve">        raise ValueError(</w:t>
      </w:r>
    </w:p>
    <w:p>
      <w:pPr>
        <w:shd w:fill="F4F3EF" w:color="auto" w:val="clear"/>
        <w:spacing w:after="0" w:before="0" w:line="220"/>
        <w:ind w:left="113" w:right="113"/>
      </w:pPr>
      <w:r>
        <w:rPr>
          <w:rFonts w:ascii="Courier New" w:cs="Courier New" w:eastAsia="Courier New" w:hAnsi="Courier New"/>
          <w:sz w:val="17"/>
          <w:szCs w:val="17"/>
        </w:rPr>
        <w:t xml:space="preserve">            "Defina UAN_SEGREDO_HASH: sem segredo, o hash de um nome de utilizador "</w:t>
      </w:r>
    </w:p>
    <w:p>
      <w:pPr>
        <w:shd w:fill="F4F3EF" w:color="auto" w:val="clear"/>
        <w:spacing w:after="0" w:before="0" w:line="220"/>
        <w:ind w:left="113" w:right="113"/>
      </w:pPr>
      <w:r>
        <w:rPr>
          <w:rFonts w:ascii="Courier New" w:cs="Courier New" w:eastAsia="Courier New" w:hAnsi="Courier New"/>
          <w:sz w:val="17"/>
          <w:szCs w:val="17"/>
        </w:rPr>
        <w:t xml:space="preserve">            "pode ser revertido por dicionário."</w:t>
      </w:r>
    </w:p>
    <w:p>
      <w:pPr>
        <w:shd w:fill="F4F3EF" w:color="auto" w:val="clear"/>
        <w:spacing w:after="0" w:before="0" w:line="220"/>
        <w:ind w:left="113" w:right="113"/>
      </w:pPr>
      <w:r>
        <w:rPr>
          <w:rFonts w:ascii="Courier New" w:cs="Courier New" w:eastAsia="Courier New" w:hAnsi="Courier New"/>
          <w:sz w:val="17"/>
          <w:szCs w:val="17"/>
        </w:rPr>
        <w:t xml:space="preserve">        )</w:t>
      </w:r>
    </w:p>
    <w:p>
      <w:pPr>
        <w:shd w:fill="F4F3EF" w:color="auto" w:val="clear"/>
        <w:spacing w:after="0" w:before="0" w:line="220"/>
        <w:ind w:left="113" w:right="113"/>
      </w:pPr>
      <w:r>
        <w:rPr>
          <w:rFonts w:ascii="Courier New" w:cs="Courier New" w:eastAsia="Courier New" w:hAnsi="Courier New"/>
          <w:sz w:val="17"/>
          <w:szCs w:val="17"/>
        </w:rPr>
        <w:t xml:space="preserve">    digest = hmac.new(segredo.encode("utf-8"), autor.strip().lower().encode("utf-8"), hashlib.sha256)</w:t>
      </w:r>
    </w:p>
    <w:p>
      <w:pPr>
        <w:shd w:fill="F4F3EF" w:color="auto" w:val="clear"/>
        <w:spacing w:after="200" w:before="0" w:line="220"/>
        <w:ind w:left="113" w:right="113"/>
      </w:pPr>
      <w:r>
        <w:rPr>
          <w:rFonts w:ascii="Courier New" w:cs="Courier New" w:eastAsia="Courier New" w:hAnsi="Courier New"/>
          <w:sz w:val="17"/>
          <w:szCs w:val="17"/>
        </w:rPr>
        <w:t xml:space="preserve">    return digest.hexdigest()[:16]</w:t>
      </w:r>
    </w:p>
    <w:p>
      <w:pPr>
        <w:pStyle w:val="Heading2"/>
        <w:keepNext/>
        <w:keepLines/>
        <w:spacing w:after="160" w:before="360" w:line="300"/>
      </w:pPr>
      <w:r>
        <w:rPr>
          <w:rFonts w:ascii="Times New Roman" w:cs="Times New Roman" w:eastAsia="Times New Roman" w:hAnsi="Times New Roman"/>
          <w:b/>
          <w:bCs/>
          <w:sz w:val="26"/>
          <w:szCs w:val="26"/>
        </w:rPr>
        <w:t xml:space="preserve">A.2 Classificação em lote com o BERTimbau</w:t>
      </w:r>
    </w:p>
    <w:p>
      <w:pPr>
        <w:spacing w:after="120" w:before="0" w:line="360"/>
        <w:ind w:firstLine="567"/>
        <w:jc w:val="both"/>
      </w:pPr>
      <w:r>
        <w:rPr>
          <w:rFonts w:ascii="Times New Roman" w:cs="Times New Roman" w:eastAsia="Times New Roman" w:hAnsi="Times New Roman"/>
          <w:sz w:val="24"/>
          <w:szCs w:val="24"/>
        </w:rPr>
        <w:t xml:space="preserve">Método de classificação da classe ClassificadorBERTimbau (módulo sistema/classificador.py).</w:t>
      </w:r>
    </w:p>
    <w:p>
      <w:pPr>
        <w:shd w:fill="F4F3EF" w:color="auto" w:val="clear"/>
        <w:spacing w:after="0" w:before="120" w:line="220"/>
        <w:ind w:left="113" w:right="113"/>
      </w:pPr>
      <w:r>
        <w:rPr>
          <w:rFonts w:ascii="Courier New" w:cs="Courier New" w:eastAsia="Courier New" w:hAnsi="Courier New"/>
          <w:sz w:val="17"/>
          <w:szCs w:val="17"/>
        </w:rPr>
        <w:t xml:space="preserve">    def classificar(self, textos: list[str]) -&gt; list[Resultado]:</w:t>
      </w:r>
    </w:p>
    <w:p>
      <w:pPr>
        <w:shd w:fill="F4F3EF" w:color="auto" w:val="clear"/>
        <w:spacing w:after="0" w:before="0" w:line="220"/>
        <w:ind w:left="113" w:right="113"/>
      </w:pPr>
      <w:r>
        <w:rPr>
          <w:rFonts w:ascii="Courier New" w:cs="Courier New" w:eastAsia="Courier New" w:hAnsi="Courier New"/>
          <w:sz w:val="17"/>
          <w:szCs w:val="17"/>
        </w:rPr>
        <w:t xml:space="preserve">        torch = self._torch</w:t>
      </w:r>
    </w:p>
    <w:p>
      <w:pPr>
        <w:shd w:fill="F4F3EF" w:color="auto" w:val="clear"/>
        <w:spacing w:after="0" w:before="0" w:line="220"/>
        <w:ind w:left="113" w:right="113"/>
      </w:pPr>
      <w:r>
        <w:rPr>
          <w:rFonts w:ascii="Courier New" w:cs="Courier New" w:eastAsia="Courier New" w:hAnsi="Courier New"/>
          <w:sz w:val="17"/>
          <w:szCs w:val="17"/>
        </w:rPr>
        <w:t xml:space="preserve">        resultados: list[Resultado] = []</w:t>
      </w:r>
    </w:p>
    <w:p>
      <w:pPr>
        <w:shd w:fill="F4F3EF" w:color="auto" w:val="clear"/>
        <w:spacing w:after="0" w:before="0" w:line="220"/>
        <w:ind w:left="113" w:right="113"/>
      </w:pPr>
      <w:r>
        <w:rPr>
          <w:rFonts w:ascii="Courier New" w:cs="Courier New" w:eastAsia="Courier New" w:hAnsi="Courier New"/>
          <w:sz w:val="17"/>
          <w:szCs w:val="17"/>
        </w:rPr>
        <w:t xml:space="preserve">        for i in range(0, len(textos), self.tamanho_lote):</w:t>
      </w:r>
    </w:p>
    <w:p>
      <w:pPr>
        <w:shd w:fill="F4F3EF" w:color="auto" w:val="clear"/>
        <w:spacing w:after="0" w:before="0" w:line="220"/>
        <w:ind w:left="113" w:right="113"/>
      </w:pPr>
      <w:r>
        <w:rPr>
          <w:rFonts w:ascii="Courier New" w:cs="Courier New" w:eastAsia="Courier New" w:hAnsi="Courier New"/>
          <w:sz w:val="17"/>
          <w:szCs w:val="17"/>
        </w:rPr>
        <w:t xml:space="preserve">            lote = textos[i : i + self.tamanho_lote]</w:t>
      </w:r>
    </w:p>
    <w:p>
      <w:pPr>
        <w:shd w:fill="F4F3EF" w:color="auto" w:val="clear"/>
        <w:spacing w:after="0" w:before="0" w:line="220"/>
        <w:ind w:left="113" w:right="113"/>
      </w:pPr>
      <w:r>
        <w:rPr>
          <w:rFonts w:ascii="Courier New" w:cs="Courier New" w:eastAsia="Courier New" w:hAnsi="Courier New"/>
          <w:sz w:val="17"/>
          <w:szCs w:val="17"/>
        </w:rPr>
        <w:t xml:space="preserve">            enc = self.tokenizer(lote, truncation=True, max_length=self.max_length, padding=True, return_tensors="pt")</w:t>
      </w:r>
    </w:p>
    <w:p>
      <w:pPr>
        <w:shd w:fill="F4F3EF" w:color="auto" w:val="clear"/>
        <w:spacing w:after="0" w:before="0" w:line="220"/>
        <w:ind w:left="113" w:right="113"/>
      </w:pPr>
      <w:r>
        <w:rPr>
          <w:rFonts w:ascii="Courier New" w:cs="Courier New" w:eastAsia="Courier New" w:hAnsi="Courier New"/>
          <w:sz w:val="17"/>
          <w:szCs w:val="17"/>
        </w:rPr>
        <w:t xml:space="preserve">            enc = {k: v.to(self.dispositivo) for k, v in enc.items()}</w:t>
      </w:r>
    </w:p>
    <w:p>
      <w:pPr>
        <w:shd w:fill="F4F3EF" w:color="auto" w:val="clear"/>
        <w:spacing w:after="0" w:before="0" w:line="220"/>
        <w:ind w:left="113" w:right="113"/>
      </w:pPr>
      <w:r>
        <w:rPr>
          <w:rFonts w:ascii="Courier New" w:cs="Courier New" w:eastAsia="Courier New" w:hAnsi="Courier New"/>
          <w:sz w:val="17"/>
          <w:szCs w:val="17"/>
        </w:rPr>
        <w:t xml:space="preserve">            with torch.no_grad():</w:t>
      </w:r>
    </w:p>
    <w:p>
      <w:pPr>
        <w:shd w:fill="F4F3EF" w:color="auto" w:val="clear"/>
        <w:spacing w:after="0" w:before="0" w:line="220"/>
        <w:ind w:left="113" w:right="113"/>
      </w:pPr>
      <w:r>
        <w:rPr>
          <w:rFonts w:ascii="Courier New" w:cs="Courier New" w:eastAsia="Courier New" w:hAnsi="Courier New"/>
          <w:sz w:val="17"/>
          <w:szCs w:val="17"/>
        </w:rPr>
        <w:t xml:space="preserve">                probs = torch.softmax(self.modelo(**enc).logits, dim=-1).cpu().tolist()</w:t>
      </w:r>
    </w:p>
    <w:p>
      <w:pPr>
        <w:shd w:fill="F4F3EF" w:color="auto" w:val="clear"/>
        <w:spacing w:after="0" w:before="0" w:line="220"/>
        <w:ind w:left="113" w:right="113"/>
      </w:pPr>
      <w:r>
        <w:rPr>
          <w:rFonts w:ascii="Courier New" w:cs="Courier New" w:eastAsia="Courier New" w:hAnsi="Courier New"/>
          <w:sz w:val="17"/>
          <w:szCs w:val="17"/>
        </w:rPr>
        <w:t xml:space="preserve">            resultados.extend(Resultado(dict(zip(self.rotulos, map(float, p)))) for p in probs)</w:t>
      </w:r>
    </w:p>
    <w:p>
      <w:pPr>
        <w:shd w:fill="F4F3EF" w:color="auto" w:val="clear"/>
        <w:spacing w:after="200" w:before="0" w:line="220"/>
        <w:ind w:left="113" w:right="113"/>
      </w:pPr>
      <w:r>
        <w:rPr>
          <w:rFonts w:ascii="Courier New" w:cs="Courier New" w:eastAsia="Courier New" w:hAnsi="Courier New"/>
          <w:sz w:val="17"/>
          <w:szCs w:val="17"/>
        </w:rPr>
        <w:t xml:space="preserve">        return resultados</w:t>
      </w:r>
    </w:p>
    <w:p>
      <w:pPr>
        <w:pStyle w:val="Heading2"/>
        <w:keepNext/>
        <w:keepLines/>
        <w:spacing w:after="160" w:before="360" w:line="300"/>
      </w:pPr>
      <w:r>
        <w:rPr>
          <w:rFonts w:ascii="Times New Roman" w:cs="Times New Roman" w:eastAsia="Times New Roman" w:hAnsi="Times New Roman"/>
          <w:b/>
          <w:bCs/>
          <w:sz w:val="26"/>
          <w:szCs w:val="26"/>
        </w:rPr>
        <w:t xml:space="preserve">A.3 Prioridade e classificação das publicações pendentes</w:t>
      </w:r>
    </w:p>
    <w:p>
      <w:pPr>
        <w:spacing w:after="120" w:before="0" w:line="360"/>
        <w:ind w:firstLine="567"/>
        <w:jc w:val="both"/>
      </w:pPr>
      <w:r>
        <w:rPr>
          <w:rFonts w:ascii="Times New Roman" w:cs="Times New Roman" w:eastAsia="Times New Roman" w:hAnsi="Times New Roman"/>
          <w:sz w:val="24"/>
          <w:szCs w:val="24"/>
        </w:rPr>
        <w:t xml:space="preserve">Cálculo da prioridade na fila e gravação das classificações (módulo sistema/servico.py).</w:t>
      </w:r>
    </w:p>
    <w:p>
      <w:pPr>
        <w:shd w:fill="F4F3EF" w:color="auto" w:val="clear"/>
        <w:spacing w:after="0" w:before="120" w:line="220"/>
        <w:ind w:left="113" w:right="113"/>
      </w:pPr>
      <w:r>
        <w:rPr>
          <w:rFonts w:ascii="Courier New" w:cs="Courier New" w:eastAsia="Courier New" w:hAnsi="Courier New"/>
          <w:sz w:val="17"/>
          <w:szCs w:val="17"/>
        </w:rPr>
        <w:t xml:space="preserve">def prioridade(res: Resultado) -&gt; float:</w:t>
      </w:r>
    </w:p>
    <w:p>
      <w:pPr>
        <w:shd w:fill="F4F3EF" w:color="auto" w:val="clear"/>
        <w:spacing w:after="0" w:before="0" w:line="220"/>
        <w:ind w:left="113" w:right="113"/>
      </w:pPr>
      <w:r>
        <w:rPr>
          <w:rFonts w:ascii="Courier New" w:cs="Courier New" w:eastAsia="Courier New" w:hAnsi="Courier New"/>
          <w:sz w:val="17"/>
          <w:szCs w:val="17"/>
        </w:rPr>
        <w:t xml:space="preserve">    """Prioridade na fila = probabilidade de NÃO ser Normal.</w:t>
      </w:r>
    </w:p>
    <w:p>
      <w:pPr>
        <w:shd w:fill="F4F3EF" w:color="auto" w:val="clear"/>
        <w:spacing w:after="0" w:before="0" w:line="220"/>
        <w:ind w:left="113" w:right="113"/>
      </w:pPr>
      <w:r>
        <w:rPr>
          <w:rFonts w:ascii="Courier New" w:cs="Courier New" w:eastAsia="Courier New" w:hAnsi="Courier New"/>
          <w:sz w:val="17"/>
          <w:szCs w:val="17"/>
        </w:rPr>
        <w:t xml:space="preserve"> </w:t>
      </w:r>
    </w:p>
    <w:p>
      <w:pPr>
        <w:shd w:fill="F4F3EF" w:color="auto" w:val="clear"/>
        <w:spacing w:after="0" w:before="0" w:line="220"/>
        <w:ind w:left="113" w:right="113"/>
      </w:pPr>
      <w:r>
        <w:rPr>
          <w:rFonts w:ascii="Courier New" w:cs="Courier New" w:eastAsia="Courier New" w:hAnsi="Courier New"/>
          <w:sz w:val="17"/>
          <w:szCs w:val="17"/>
        </w:rPr>
        <w:t xml:space="preserve">    Ordena pela suspeita global e não pela categoria prevista, para que um item</w:t>
      </w:r>
    </w:p>
    <w:p>
      <w:pPr>
        <w:shd w:fill="F4F3EF" w:color="auto" w:val="clear"/>
        <w:spacing w:after="0" w:before="0" w:line="220"/>
        <w:ind w:left="113" w:right="113"/>
      </w:pPr>
      <w:r>
        <w:rPr>
          <w:rFonts w:ascii="Courier New" w:cs="Courier New" w:eastAsia="Courier New" w:hAnsi="Courier New"/>
          <w:sz w:val="17"/>
          <w:szCs w:val="17"/>
        </w:rPr>
        <w:t xml:space="preserve">    com 45% Mobilizacao e 50% Normal (previsto Normal) também suba na fila.</w:t>
      </w:r>
    </w:p>
    <w:p>
      <w:pPr>
        <w:shd w:fill="F4F3EF" w:color="auto" w:val="clear"/>
        <w:spacing w:after="0" w:before="0" w:line="220"/>
        <w:ind w:left="113" w:right="113"/>
      </w:pPr>
      <w:r>
        <w:rPr>
          <w:rFonts w:ascii="Courier New" w:cs="Courier New" w:eastAsia="Courier New" w:hAnsi="Courier New"/>
          <w:sz w:val="17"/>
          <w:szCs w:val="17"/>
        </w:rPr>
        <w:t xml:space="preserve">    """</w:t>
      </w:r>
    </w:p>
    <w:p>
      <w:pPr>
        <w:shd w:fill="F4F3EF" w:color="auto" w:val="clear"/>
        <w:spacing w:after="0" w:before="0" w:line="220"/>
        <w:ind w:left="113" w:right="113"/>
      </w:pPr>
      <w:r>
        <w:rPr>
          <w:rFonts w:ascii="Courier New" w:cs="Courier New" w:eastAsia="Courier New" w:hAnsi="Courier New"/>
          <w:sz w:val="17"/>
          <w:szCs w:val="17"/>
        </w:rPr>
        <w:t xml:space="preserve">    return 1.0 - res.probabilidades.get("Normal", 0.0)</w:t>
      </w:r>
    </w:p>
    <w:p>
      <w:pPr>
        <w:shd w:fill="F4F3EF" w:color="auto" w:val="clear"/>
        <w:spacing w:after="0" w:before="0" w:line="220"/>
        <w:ind w:left="113" w:right="113"/>
      </w:pPr>
      <w:r>
        <w:rPr>
          <w:rFonts w:ascii="Courier New" w:cs="Courier New" w:eastAsia="Courier New" w:hAnsi="Courier New"/>
          <w:sz w:val="17"/>
          <w:szCs w:val="17"/>
        </w:rPr>
        <w:t xml:space="preserve"> </w:t>
      </w:r>
    </w:p>
    <w:p>
      <w:pPr>
        <w:shd w:fill="F4F3EF" w:color="auto" w:val="clear"/>
        <w:spacing w:after="0" w:before="0" w:line="220"/>
        <w:ind w:left="113" w:right="113"/>
      </w:pPr>
      <w:r>
        <w:rPr>
          <w:rFonts w:ascii="Courier New" w:cs="Courier New" w:eastAsia="Courier New" w:hAnsi="Courier New"/>
          <w:sz w:val="17"/>
          <w:szCs w:val="17"/>
        </w:rPr>
        <w:t xml:space="preserve"> </w:t>
      </w:r>
    </w:p>
    <w:p>
      <w:pPr>
        <w:shd w:fill="F4F3EF" w:color="auto" w:val="clear"/>
        <w:spacing w:after="0" w:before="0" w:line="220"/>
        <w:ind w:left="113" w:right="113"/>
      </w:pPr>
      <w:r>
        <w:rPr>
          <w:rFonts w:ascii="Courier New" w:cs="Courier New" w:eastAsia="Courier New" w:hAnsi="Courier New"/>
          <w:sz w:val="17"/>
          <w:szCs w:val="17"/>
        </w:rPr>
        <w:t xml:space="preserve">def classificar_pendentes(bd: BaseDados, clf: Classificador, limite: int = 1000) -&gt; dict:</w:t>
      </w:r>
    </w:p>
    <w:p>
      <w:pPr>
        <w:shd w:fill="F4F3EF" w:color="auto" w:val="clear"/>
        <w:spacing w:after="0" w:before="0" w:line="220"/>
        <w:ind w:left="113" w:right="113"/>
      </w:pPr>
      <w:r>
        <w:rPr>
          <w:rFonts w:ascii="Courier New" w:cs="Courier New" w:eastAsia="Courier New" w:hAnsi="Courier New"/>
          <w:sz w:val="17"/>
          <w:szCs w:val="17"/>
        </w:rPr>
        <w:t xml:space="preserve">    pend = bd.pendentes(limite)</w:t>
      </w:r>
    </w:p>
    <w:p>
      <w:pPr>
        <w:shd w:fill="F4F3EF" w:color="auto" w:val="clear"/>
        <w:spacing w:after="0" w:before="0" w:line="220"/>
        <w:ind w:left="113" w:right="113"/>
      </w:pPr>
      <w:r>
        <w:rPr>
          <w:rFonts w:ascii="Courier New" w:cs="Courier New" w:eastAsia="Courier New" w:hAnsi="Courier New"/>
          <w:sz w:val="17"/>
          <w:szCs w:val="17"/>
        </w:rPr>
        <w:t xml:space="preserve">    if not pend:</w:t>
      </w:r>
    </w:p>
    <w:p>
      <w:pPr>
        <w:shd w:fill="F4F3EF" w:color="auto" w:val="clear"/>
        <w:spacing w:after="0" w:before="0" w:line="220"/>
        <w:ind w:left="113" w:right="113"/>
      </w:pPr>
      <w:r>
        <w:rPr>
          <w:rFonts w:ascii="Courier New" w:cs="Courier New" w:eastAsia="Courier New" w:hAnsi="Courier New"/>
          <w:sz w:val="17"/>
          <w:szCs w:val="17"/>
        </w:rPr>
        <w:t xml:space="preserve">        return {"classificados": 0}</w:t>
      </w:r>
    </w:p>
    <w:p>
      <w:pPr>
        <w:shd w:fill="F4F3EF" w:color="auto" w:val="clear"/>
        <w:spacing w:after="0" w:before="0" w:line="220"/>
        <w:ind w:left="113" w:right="113"/>
      </w:pPr>
      <w:r>
        <w:rPr>
          <w:rFonts w:ascii="Courier New" w:cs="Courier New" w:eastAsia="Courier New" w:hAnsi="Courier New"/>
          <w:sz w:val="17"/>
          <w:szCs w:val="17"/>
        </w:rPr>
        <w:t xml:space="preserve">    t0 = time.perf_counter()</w:t>
      </w:r>
    </w:p>
    <w:p>
      <w:pPr>
        <w:shd w:fill="F4F3EF" w:color="auto" w:val="clear"/>
        <w:spacing w:after="0" w:before="0" w:line="220"/>
        <w:ind w:left="113" w:right="113"/>
      </w:pPr>
      <w:r>
        <w:rPr>
          <w:rFonts w:ascii="Courier New" w:cs="Courier New" w:eastAsia="Courier New" w:hAnsi="Courier New"/>
          <w:sz w:val="17"/>
          <w:szCs w:val="17"/>
        </w:rPr>
        <w:t xml:space="preserve">    resultados = clf.classificar([p["texto"] for p in pend])</w:t>
      </w:r>
    </w:p>
    <w:p>
      <w:pPr>
        <w:shd w:fill="F4F3EF" w:color="auto" w:val="clear"/>
        <w:spacing w:after="0" w:before="0" w:line="220"/>
        <w:ind w:left="113" w:right="113"/>
      </w:pPr>
      <w:r>
        <w:rPr>
          <w:rFonts w:ascii="Courier New" w:cs="Courier New" w:eastAsia="Courier New" w:hAnsi="Courier New"/>
          <w:sz w:val="17"/>
          <w:szCs w:val="17"/>
        </w:rPr>
        <w:t xml:space="preserve">    dur_ms = (time.perf_counter() - t0) * 1000 / len(pend)</w:t>
      </w:r>
    </w:p>
    <w:p>
      <w:pPr>
        <w:shd w:fill="F4F3EF" w:color="auto" w:val="clear"/>
        <w:spacing w:after="0" w:before="0" w:line="220"/>
        <w:ind w:left="113" w:right="113"/>
      </w:pPr>
      <w:r>
        <w:rPr>
          <w:rFonts w:ascii="Courier New" w:cs="Courier New" w:eastAsia="Courier New" w:hAnsi="Courier New"/>
          <w:sz w:val="17"/>
          <w:szCs w:val="17"/>
        </w:rPr>
        <w:t xml:space="preserve">    quando = agora()</w:t>
      </w:r>
    </w:p>
    <w:p>
      <w:pPr>
        <w:shd w:fill="F4F3EF" w:color="auto" w:val="clear"/>
        <w:spacing w:after="0" w:before="0" w:line="220"/>
        <w:ind w:left="113" w:right="113"/>
      </w:pPr>
      <w:r>
        <w:rPr>
          <w:rFonts w:ascii="Courier New" w:cs="Courier New" w:eastAsia="Courier New" w:hAnsi="Courier New"/>
          <w:sz w:val="17"/>
          <w:szCs w:val="17"/>
        </w:rPr>
        <w:t xml:space="preserve">    bd.gravar_classificacoes([</w:t>
      </w:r>
    </w:p>
    <w:p>
      <w:pPr>
        <w:shd w:fill="F4F3EF" w:color="auto" w:val="clear"/>
        <w:spacing w:after="0" w:before="0" w:line="220"/>
        <w:ind w:left="113" w:right="113"/>
      </w:pPr>
      <w:r>
        <w:rPr>
          <w:rFonts w:ascii="Courier New" w:cs="Courier New" w:eastAsia="Courier New" w:hAnsi="Courier New"/>
          <w:sz w:val="17"/>
          <w:szCs w:val="17"/>
        </w:rPr>
        <w:t xml:space="preserve">        {</w:t>
      </w:r>
    </w:p>
    <w:p>
      <w:pPr>
        <w:shd w:fill="F4F3EF" w:color="auto" w:val="clear"/>
        <w:spacing w:after="0" w:before="0" w:line="220"/>
        <w:ind w:left="113" w:right="113"/>
      </w:pPr>
      <w:r>
        <w:rPr>
          <w:rFonts w:ascii="Courier New" w:cs="Courier New" w:eastAsia="Courier New" w:hAnsi="Courier New"/>
          <w:sz w:val="17"/>
          <w:szCs w:val="17"/>
        </w:rPr>
        <w:t xml:space="preserve">            "id_pub": p["id_pub"], "modelo": clf.nome, "versao": clf.versao,</w:t>
      </w:r>
    </w:p>
    <w:p>
      <w:pPr>
        <w:shd w:fill="F4F3EF" w:color="auto" w:val="clear"/>
        <w:spacing w:after="0" w:before="0" w:line="220"/>
        <w:ind w:left="113" w:right="113"/>
      </w:pPr>
      <w:r>
        <w:rPr>
          <w:rFonts w:ascii="Courier New" w:cs="Courier New" w:eastAsia="Courier New" w:hAnsi="Courier New"/>
          <w:sz w:val="17"/>
          <w:szCs w:val="17"/>
        </w:rPr>
        <w:t xml:space="preserve">            "probabilidades": json.dumps(r.probabilidades), "categoria": r.categoria,</w:t>
      </w:r>
    </w:p>
    <w:p>
      <w:pPr>
        <w:shd w:fill="F4F3EF" w:color="auto" w:val="clear"/>
        <w:spacing w:after="0" w:before="0" w:line="220"/>
        <w:ind w:left="113" w:right="113"/>
      </w:pPr>
      <w:r>
        <w:rPr>
          <w:rFonts w:ascii="Courier New" w:cs="Courier New" w:eastAsia="Courier New" w:hAnsi="Courier New"/>
          <w:sz w:val="17"/>
          <w:szCs w:val="17"/>
        </w:rPr>
        <w:t xml:space="preserve">            "confianca": r.confianca, "prioridade": prioridade(r),</w:t>
      </w:r>
    </w:p>
    <w:p>
      <w:pPr>
        <w:shd w:fill="F4F3EF" w:color="auto" w:val="clear"/>
        <w:spacing w:after="0" w:before="0" w:line="220"/>
        <w:ind w:left="113" w:right="113"/>
      </w:pPr>
      <w:r>
        <w:rPr>
          <w:rFonts w:ascii="Courier New" w:cs="Courier New" w:eastAsia="Courier New" w:hAnsi="Courier New"/>
          <w:sz w:val="17"/>
          <w:szCs w:val="17"/>
        </w:rPr>
        <w:t xml:space="preserve">            "classificado_em": quando, "duracao_ms": dur_ms,</w:t>
      </w:r>
    </w:p>
    <w:p>
      <w:pPr>
        <w:shd w:fill="F4F3EF" w:color="auto" w:val="clear"/>
        <w:spacing w:after="0" w:before="0" w:line="220"/>
        <w:ind w:left="113" w:right="113"/>
      </w:pPr>
      <w:r>
        <w:rPr>
          <w:rFonts w:ascii="Courier New" w:cs="Courier New" w:eastAsia="Courier New" w:hAnsi="Courier New"/>
          <w:sz w:val="17"/>
          <w:szCs w:val="17"/>
        </w:rPr>
        <w:t xml:space="preserve">        }</w:t>
      </w:r>
    </w:p>
    <w:p>
      <w:pPr>
        <w:shd w:fill="F4F3EF" w:color="auto" w:val="clear"/>
        <w:spacing w:after="0" w:before="0" w:line="220"/>
        <w:ind w:left="113" w:right="113"/>
      </w:pPr>
      <w:r>
        <w:rPr>
          <w:rFonts w:ascii="Courier New" w:cs="Courier New" w:eastAsia="Courier New" w:hAnsi="Courier New"/>
          <w:sz w:val="17"/>
          <w:szCs w:val="17"/>
        </w:rPr>
        <w:t xml:space="preserve">        for p, r in zip(pend, resultados)</w:t>
      </w:r>
    </w:p>
    <w:p>
      <w:pPr>
        <w:shd w:fill="F4F3EF" w:color="auto" w:val="clear"/>
        <w:spacing w:after="0" w:before="0" w:line="220"/>
        <w:ind w:left="113" w:right="113"/>
      </w:pPr>
      <w:r>
        <w:rPr>
          <w:rFonts w:ascii="Courier New" w:cs="Courier New" w:eastAsia="Courier New" w:hAnsi="Courier New"/>
          <w:sz w:val="17"/>
          <w:szCs w:val="17"/>
        </w:rPr>
        <w:t xml:space="preserve">    ])</w:t>
      </w:r>
    </w:p>
    <w:p>
      <w:pPr>
        <w:shd w:fill="F4F3EF" w:color="auto" w:val="clear"/>
        <w:spacing w:after="0" w:before="0" w:line="220"/>
        <w:ind w:left="113" w:right="113"/>
      </w:pPr>
      <w:r>
        <w:rPr>
          <w:rFonts w:ascii="Courier New" w:cs="Courier New" w:eastAsia="Courier New" w:hAnsi="Courier New"/>
          <w:sz w:val="17"/>
          <w:szCs w:val="17"/>
        </w:rPr>
        <w:t xml:space="preserve">    bd.auditar("sistema", "classificacao", {"n": len(pend), "modelo": clf.nome, "versao": clf.versao})</w:t>
      </w:r>
    </w:p>
    <w:p>
      <w:pPr>
        <w:shd w:fill="F4F3EF" w:color="auto" w:val="clear"/>
        <w:spacing w:after="0" w:before="0" w:line="220"/>
        <w:ind w:left="113" w:right="113"/>
      </w:pPr>
      <w:r>
        <w:rPr>
          <w:rFonts w:ascii="Courier New" w:cs="Courier New" w:eastAsia="Courier New" w:hAnsi="Courier New"/>
          <w:sz w:val="17"/>
          <w:szCs w:val="17"/>
        </w:rPr>
        <w:t xml:space="preserve">    return {"classificados": len(pend), "ms_por_item": round(dur_ms, 2),</w:t>
      </w:r>
    </w:p>
    <w:p>
      <w:pPr>
        <w:shd w:fill="F4F3EF" w:color="auto" w:val="clear"/>
        <w:spacing w:after="200" w:before="0" w:line="220"/>
        <w:ind w:left="113" w:right="113"/>
      </w:pPr>
      <w:r>
        <w:rPr>
          <w:rFonts w:ascii="Courier New" w:cs="Courier New" w:eastAsia="Courier New" w:hAnsi="Courier New"/>
          <w:sz w:val="17"/>
          <w:szCs w:val="17"/>
        </w:rPr>
        <w:t xml:space="preserve">            "categorias": dict(Counter(r.categoria for r in resultados))}</w:t>
      </w:r>
    </w:p>
    <w:p>
      <w:pPr>
        <w:pStyle w:val="Heading2"/>
        <w:keepNext/>
        <w:keepLines/>
        <w:spacing w:after="160" w:before="360" w:line="300"/>
      </w:pPr>
      <w:r>
        <w:rPr>
          <w:rFonts w:ascii="Times New Roman" w:cs="Times New Roman" w:eastAsia="Times New Roman" w:hAnsi="Times New Roman"/>
          <w:b/>
          <w:bCs/>
          <w:sz w:val="26"/>
          <w:szCs w:val="26"/>
        </w:rPr>
        <w:t xml:space="preserve">A.4 Métricas operacionais</w:t>
      </w:r>
    </w:p>
    <w:p>
      <w:pPr>
        <w:spacing w:after="120" w:before="0" w:line="360"/>
        <w:ind w:firstLine="567"/>
        <w:jc w:val="both"/>
      </w:pPr>
      <w:r>
        <w:rPr>
          <w:rFonts w:ascii="Times New Roman" w:cs="Times New Roman" w:eastAsia="Times New Roman" w:hAnsi="Times New Roman"/>
          <w:sz w:val="24"/>
          <w:szCs w:val="24"/>
        </w:rPr>
        <w:t xml:space="preserve">Precisão nos primeiros K, concordância e Kappa entre analista e sistema, e latência (módulo sistema/servico.py).</w:t>
      </w:r>
    </w:p>
    <w:p>
      <w:pPr>
        <w:shd w:fill="F4F3EF" w:color="auto" w:val="clear"/>
        <w:spacing w:after="0" w:before="120" w:line="220"/>
        <w:ind w:left="113" w:right="113"/>
      </w:pPr>
      <w:r>
        <w:rPr>
          <w:rFonts w:ascii="Courier New" w:cs="Courier New" w:eastAsia="Courier New" w:hAnsi="Courier New"/>
          <w:sz w:val="17"/>
          <w:szCs w:val="17"/>
        </w:rPr>
        <w:t xml:space="preserve">def metricas(bd: BaseDados, ks: tuple[int, ...] = (10, 25, 50, 100)) -&gt; dict:</w:t>
      </w:r>
    </w:p>
    <w:p>
      <w:pPr>
        <w:shd w:fill="F4F3EF" w:color="auto" w:val="clear"/>
        <w:spacing w:after="0" w:before="0" w:line="220"/>
        <w:ind w:left="113" w:right="113"/>
      </w:pPr>
      <w:r>
        <w:rPr>
          <w:rFonts w:ascii="Courier New" w:cs="Courier New" w:eastAsia="Courier New" w:hAnsi="Courier New"/>
          <w:sz w:val="17"/>
          <w:szCs w:val="17"/>
        </w:rPr>
        <w:t xml:space="preserve">    """Métricas operacionais a partir das revisões humanas.</w:t>
      </w:r>
    </w:p>
    <w:p>
      <w:pPr>
        <w:shd w:fill="F4F3EF" w:color="auto" w:val="clear"/>
        <w:spacing w:after="0" w:before="0" w:line="220"/>
        <w:ind w:left="113" w:right="113"/>
      </w:pPr>
      <w:r>
        <w:rPr>
          <w:rFonts w:ascii="Courier New" w:cs="Courier New" w:eastAsia="Courier New" w:hAnsi="Courier New"/>
          <w:sz w:val="17"/>
          <w:szCs w:val="17"/>
        </w:rPr>
        <w:t xml:space="preserve"> </w:t>
      </w:r>
    </w:p>
    <w:p>
      <w:pPr>
        <w:shd w:fill="F4F3EF" w:color="auto" w:val="clear"/>
        <w:spacing w:after="0" w:before="0" w:line="220"/>
        <w:ind w:left="113" w:right="113"/>
      </w:pPr>
      <w:r>
        <w:rPr>
          <w:rFonts w:ascii="Courier New" w:cs="Courier New" w:eastAsia="Courier New" w:hAnsi="Courier New"/>
          <w:sz w:val="17"/>
          <w:szCs w:val="17"/>
        </w:rPr>
        <w:t xml:space="preserve">    - precisão@K: entre os K itens de maior prioridade já revistos, fracção que o</w:t>
      </w:r>
    </w:p>
    <w:p>
      <w:pPr>
        <w:shd w:fill="F4F3EF" w:color="auto" w:val="clear"/>
        <w:spacing w:after="0" w:before="0" w:line="220"/>
        <w:ind w:left="113" w:right="113"/>
      </w:pPr>
      <w:r>
        <w:rPr>
          <w:rFonts w:ascii="Courier New" w:cs="Courier New" w:eastAsia="Courier New" w:hAnsi="Courier New"/>
          <w:sz w:val="17"/>
          <w:szCs w:val="17"/>
        </w:rPr>
        <w:t xml:space="preserve">      analista confirmou como ameaça (qualquer categoria diferente de Normal);</w:t>
      </w:r>
    </w:p>
    <w:p>
      <w:pPr>
        <w:shd w:fill="F4F3EF" w:color="auto" w:val="clear"/>
        <w:spacing w:after="0" w:before="0" w:line="220"/>
        <w:ind w:left="113" w:right="113"/>
      </w:pPr>
      <w:r>
        <w:rPr>
          <w:rFonts w:ascii="Courier New" w:cs="Courier New" w:eastAsia="Courier New" w:hAnsi="Courier New"/>
          <w:sz w:val="17"/>
          <w:szCs w:val="17"/>
        </w:rPr>
        <w:t xml:space="preserve">    - concordância e Kappa analista–sistema;</w:t>
      </w:r>
    </w:p>
    <w:p>
      <w:pPr>
        <w:shd w:fill="F4F3EF" w:color="auto" w:val="clear"/>
        <w:spacing w:after="0" w:before="0" w:line="220"/>
        <w:ind w:left="113" w:right="113"/>
      </w:pPr>
      <w:r>
        <w:rPr>
          <w:rFonts w:ascii="Courier New" w:cs="Courier New" w:eastAsia="Courier New" w:hAnsi="Courier New"/>
          <w:sz w:val="17"/>
          <w:szCs w:val="17"/>
        </w:rPr>
        <w:t xml:space="preserve">    - latência recolha→classificação (mediana e P95), para a H2.</w:t>
      </w:r>
    </w:p>
    <w:p>
      <w:pPr>
        <w:shd w:fill="F4F3EF" w:color="auto" w:val="clear"/>
        <w:spacing w:after="0" w:before="0" w:line="220"/>
        <w:ind w:left="113" w:right="113"/>
      </w:pPr>
      <w:r>
        <w:rPr>
          <w:rFonts w:ascii="Courier New" w:cs="Courier New" w:eastAsia="Courier New" w:hAnsi="Courier New"/>
          <w:sz w:val="17"/>
          <w:szCs w:val="17"/>
        </w:rPr>
        <w:t xml:space="preserve">    """</w:t>
      </w:r>
    </w:p>
    <w:p>
      <w:pPr>
        <w:shd w:fill="F4F3EF" w:color="auto" w:val="clear"/>
        <w:spacing w:after="0" w:before="0" w:line="220"/>
        <w:ind w:left="113" w:right="113"/>
      </w:pPr>
      <w:r>
        <w:rPr>
          <w:rFonts w:ascii="Courier New" w:cs="Courier New" w:eastAsia="Courier New" w:hAnsi="Courier New"/>
          <w:sz w:val="17"/>
          <w:szCs w:val="17"/>
        </w:rPr>
        <w:t xml:space="preserve">    rev = bd.consultar(</w:t>
      </w:r>
    </w:p>
    <w:p>
      <w:pPr>
        <w:shd w:fill="F4F3EF" w:color="auto" w:val="clear"/>
        <w:spacing w:after="0" w:before="0" w:line="220"/>
        <w:ind w:left="113" w:right="113"/>
      </w:pPr>
      <w:r>
        <w:rPr>
          <w:rFonts w:ascii="Courier New" w:cs="Courier New" w:eastAsia="Courier New" w:hAnsi="Courier New"/>
          <w:sz w:val="17"/>
          <w:szCs w:val="17"/>
        </w:rPr>
        <w:t xml:space="preserve">        """SELECT k.categoria AS sistema, r.categoria AS analista, k.prioridade</w:t>
      </w:r>
    </w:p>
    <w:p>
      <w:pPr>
        <w:shd w:fill="F4F3EF" w:color="auto" w:val="clear"/>
        <w:spacing w:after="0" w:before="0" w:line="220"/>
        <w:ind w:left="113" w:right="113"/>
      </w:pPr>
      <w:r>
        <w:rPr>
          <w:rFonts w:ascii="Courier New" w:cs="Courier New" w:eastAsia="Courier New" w:hAnsi="Courier New"/>
          <w:sz w:val="17"/>
          <w:szCs w:val="17"/>
        </w:rPr>
        <w:t xml:space="preserve">           FROM revisoes r JOIN classificacoes k ON k.id_pub = r.id_pub ORDER BY k.prioridade DESC"""</w:t>
      </w:r>
    </w:p>
    <w:p>
      <w:pPr>
        <w:shd w:fill="F4F3EF" w:color="auto" w:val="clear"/>
        <w:spacing w:after="0" w:before="0" w:line="220"/>
        <w:ind w:left="113" w:right="113"/>
      </w:pPr>
      <w:r>
        <w:rPr>
          <w:rFonts w:ascii="Courier New" w:cs="Courier New" w:eastAsia="Courier New" w:hAnsi="Courier New"/>
          <w:sz w:val="17"/>
          <w:szCs w:val="17"/>
        </w:rPr>
        <w:t xml:space="preserve">    )</w:t>
      </w:r>
    </w:p>
    <w:p>
      <w:pPr>
        <w:shd w:fill="F4F3EF" w:color="auto" w:val="clear"/>
        <w:spacing w:after="0" w:before="0" w:line="220"/>
        <w:ind w:left="113" w:right="113"/>
      </w:pPr>
      <w:r>
        <w:rPr>
          <w:rFonts w:ascii="Courier New" w:cs="Courier New" w:eastAsia="Courier New" w:hAnsi="Courier New"/>
          <w:sz w:val="17"/>
          <w:szCs w:val="17"/>
        </w:rPr>
        <w:t xml:space="preserve">    out: dict = {"n_revistas": len(rev)}</w:t>
      </w:r>
    </w:p>
    <w:p>
      <w:pPr>
        <w:shd w:fill="F4F3EF" w:color="auto" w:val="clear"/>
        <w:spacing w:after="0" w:before="0" w:line="220"/>
        <w:ind w:left="113" w:right="113"/>
      </w:pPr>
      <w:r>
        <w:rPr>
          <w:rFonts w:ascii="Courier New" w:cs="Courier New" w:eastAsia="Courier New" w:hAnsi="Courier New"/>
          <w:sz w:val="17"/>
          <w:szCs w:val="17"/>
        </w:rPr>
        <w:t xml:space="preserve">    if rev:</w:t>
      </w:r>
    </w:p>
    <w:p>
      <w:pPr>
        <w:shd w:fill="F4F3EF" w:color="auto" w:val="clear"/>
        <w:spacing w:after="0" w:before="0" w:line="220"/>
        <w:ind w:left="113" w:right="113"/>
      </w:pPr>
      <w:r>
        <w:rPr>
          <w:rFonts w:ascii="Courier New" w:cs="Courier New" w:eastAsia="Courier New" w:hAnsi="Courier New"/>
          <w:sz w:val="17"/>
          <w:szCs w:val="17"/>
        </w:rPr>
        <w:t xml:space="preserve">        ameaca = [x["analista"] != "Normal" for x in rev]</w:t>
      </w:r>
    </w:p>
    <w:p>
      <w:pPr>
        <w:shd w:fill="F4F3EF" w:color="auto" w:val="clear"/>
        <w:spacing w:after="0" w:before="0" w:line="220"/>
        <w:ind w:left="113" w:right="113"/>
      </w:pPr>
      <w:r>
        <w:rPr>
          <w:rFonts w:ascii="Courier New" w:cs="Courier New" w:eastAsia="Courier New" w:hAnsi="Courier New"/>
          <w:sz w:val="17"/>
          <w:szCs w:val="17"/>
        </w:rPr>
        <w:t xml:space="preserve">        out["precisao_at_k"] = {k: round(sum(ameaca[:k]) / min(k, len(ameaca)), 3) for k in ks if len(ameaca) &gt;= k}</w:t>
      </w:r>
    </w:p>
    <w:p>
      <w:pPr>
        <w:shd w:fill="F4F3EF" w:color="auto" w:val="clear"/>
        <w:spacing w:after="0" w:before="0" w:line="220"/>
        <w:ind w:left="113" w:right="113"/>
      </w:pPr>
      <w:r>
        <w:rPr>
          <w:rFonts w:ascii="Courier New" w:cs="Courier New" w:eastAsia="Courier New" w:hAnsi="Courier New"/>
          <w:sz w:val="17"/>
          <w:szCs w:val="17"/>
        </w:rPr>
        <w:t xml:space="preserve">        s, a = [x["sistema"] for x in rev], [x["analista"] for x in rev]</w:t>
      </w:r>
    </w:p>
    <w:p>
      <w:pPr>
        <w:shd w:fill="F4F3EF" w:color="auto" w:val="clear"/>
        <w:spacing w:after="0" w:before="0" w:line="220"/>
        <w:ind w:left="113" w:right="113"/>
      </w:pPr>
      <w:r>
        <w:rPr>
          <w:rFonts w:ascii="Courier New" w:cs="Courier New" w:eastAsia="Courier New" w:hAnsi="Courier New"/>
          <w:sz w:val="17"/>
          <w:szCs w:val="17"/>
        </w:rPr>
        <w:t xml:space="preserve">        out["concordancia"] = round(sum(x == y for x, y in zip(s, a)) / len(rev), 3)</w:t>
      </w:r>
    </w:p>
    <w:p>
      <w:pPr>
        <w:shd w:fill="F4F3EF" w:color="auto" w:val="clear"/>
        <w:spacing w:after="0" w:before="0" w:line="220"/>
        <w:ind w:left="113" w:right="113"/>
      </w:pPr>
      <w:r>
        <w:rPr>
          <w:rFonts w:ascii="Courier New" w:cs="Courier New" w:eastAsia="Courier New" w:hAnsi="Courier New"/>
          <w:sz w:val="17"/>
          <w:szCs w:val="17"/>
        </w:rPr>
        <w:t xml:space="preserve">        k = _kappa(s, a)</w:t>
      </w:r>
    </w:p>
    <w:p>
      <w:pPr>
        <w:shd w:fill="F4F3EF" w:color="auto" w:val="clear"/>
        <w:spacing w:after="0" w:before="0" w:line="220"/>
        <w:ind w:left="113" w:right="113"/>
      </w:pPr>
      <w:r>
        <w:rPr>
          <w:rFonts w:ascii="Courier New" w:cs="Courier New" w:eastAsia="Courier New" w:hAnsi="Courier New"/>
          <w:sz w:val="17"/>
          <w:szCs w:val="17"/>
        </w:rPr>
        <w:t xml:space="preserve">        out["kappa_analista_sistema"] = None if k is None else round(k, 3)</w:t>
      </w:r>
    </w:p>
    <w:p>
      <w:pPr>
        <w:shd w:fill="F4F3EF" w:color="auto" w:val="clear"/>
        <w:spacing w:after="0" w:before="0" w:line="220"/>
        <w:ind w:left="113" w:right="113"/>
      </w:pPr>
      <w:r>
        <w:rPr>
          <w:rFonts w:ascii="Courier New" w:cs="Courier New" w:eastAsia="Courier New" w:hAnsi="Courier New"/>
          <w:sz w:val="17"/>
          <w:szCs w:val="17"/>
        </w:rPr>
        <w:t xml:space="preserve">        out["por_categoria"] = {</w:t>
      </w:r>
    </w:p>
    <w:p>
      <w:pPr>
        <w:shd w:fill="F4F3EF" w:color="auto" w:val="clear"/>
        <w:spacing w:after="0" w:before="0" w:line="220"/>
        <w:ind w:left="113" w:right="113"/>
      </w:pPr>
      <w:r>
        <w:rPr>
          <w:rFonts w:ascii="Courier New" w:cs="Courier New" w:eastAsia="Courier New" w:hAnsi="Courier New"/>
          <w:sz w:val="17"/>
          <w:szCs w:val="17"/>
        </w:rPr>
        <w:t xml:space="preserve">            c: {"previstas": s.count(c), "confirmadas": sum(1 for x, y in zip(s, a) if x == c and y == c)}</w:t>
      </w:r>
    </w:p>
    <w:p>
      <w:pPr>
        <w:shd w:fill="F4F3EF" w:color="auto" w:val="clear"/>
        <w:spacing w:after="0" w:before="0" w:line="220"/>
        <w:ind w:left="113" w:right="113"/>
      </w:pPr>
      <w:r>
        <w:rPr>
          <w:rFonts w:ascii="Courier New" w:cs="Courier New" w:eastAsia="Courier New" w:hAnsi="Courier New"/>
          <w:sz w:val="17"/>
          <w:szCs w:val="17"/>
        </w:rPr>
        <w:t xml:space="preserve">            for c in ROTULOS</w:t>
      </w:r>
    </w:p>
    <w:p>
      <w:pPr>
        <w:shd w:fill="F4F3EF" w:color="auto" w:val="clear"/>
        <w:spacing w:after="0" w:before="0" w:line="220"/>
        <w:ind w:left="113" w:right="113"/>
      </w:pPr>
      <w:r>
        <w:rPr>
          <w:rFonts w:ascii="Courier New" w:cs="Courier New" w:eastAsia="Courier New" w:hAnsi="Courier New"/>
          <w:sz w:val="17"/>
          <w:szCs w:val="17"/>
        </w:rPr>
        <w:t xml:space="preserve">        }</w:t>
      </w:r>
    </w:p>
    <w:p>
      <w:pPr>
        <w:shd w:fill="F4F3EF" w:color="auto" w:val="clear"/>
        <w:spacing w:after="0" w:before="0" w:line="220"/>
        <w:ind w:left="113" w:right="113"/>
      </w:pPr>
      <w:r>
        <w:rPr>
          <w:rFonts w:ascii="Courier New" w:cs="Courier New" w:eastAsia="Courier New" w:hAnsi="Courier New"/>
          <w:sz w:val="17"/>
          <w:szCs w:val="17"/>
        </w:rPr>
        <w:t xml:space="preserve">    lat = bd.consultar(</w:t>
      </w:r>
    </w:p>
    <w:p>
      <w:pPr>
        <w:shd w:fill="F4F3EF" w:color="auto" w:val="clear"/>
        <w:spacing w:after="0" w:before="0" w:line="220"/>
        <w:ind w:left="113" w:right="113"/>
      </w:pPr>
      <w:r>
        <w:rPr>
          <w:rFonts w:ascii="Courier New" w:cs="Courier New" w:eastAsia="Courier New" w:hAnsi="Courier New"/>
          <w:sz w:val="17"/>
          <w:szCs w:val="17"/>
        </w:rPr>
        <w:t xml:space="preserve">        """SELECT p.recolhido_em, k.classificado_em FROM classificacoes k JOIN publicacoes p ON p.id_pub = k.id_pub"""</w:t>
      </w:r>
    </w:p>
    <w:p>
      <w:pPr>
        <w:shd w:fill="F4F3EF" w:color="auto" w:val="clear"/>
        <w:spacing w:after="0" w:before="0" w:line="220"/>
        <w:ind w:left="113" w:right="113"/>
      </w:pPr>
      <w:r>
        <w:rPr>
          <w:rFonts w:ascii="Courier New" w:cs="Courier New" w:eastAsia="Courier New" w:hAnsi="Courier New"/>
          <w:sz w:val="17"/>
          <w:szCs w:val="17"/>
        </w:rPr>
        <w:t xml:space="preserve">    )</w:t>
      </w:r>
    </w:p>
    <w:p>
      <w:pPr>
        <w:shd w:fill="F4F3EF" w:color="auto" w:val="clear"/>
        <w:spacing w:after="0" w:before="0" w:line="220"/>
        <w:ind w:left="113" w:right="113"/>
      </w:pPr>
      <w:r>
        <w:rPr>
          <w:rFonts w:ascii="Courier New" w:cs="Courier New" w:eastAsia="Courier New" w:hAnsi="Courier New"/>
          <w:sz w:val="17"/>
          <w:szCs w:val="17"/>
        </w:rPr>
        <w:t xml:space="preserve">    seg = [</w:t>
      </w:r>
    </w:p>
    <w:p>
      <w:pPr>
        <w:shd w:fill="F4F3EF" w:color="auto" w:val="clear"/>
        <w:spacing w:after="0" w:before="0" w:line="220"/>
        <w:ind w:left="113" w:right="113"/>
      </w:pPr>
      <w:r>
        <w:rPr>
          <w:rFonts w:ascii="Courier New" w:cs="Courier New" w:eastAsia="Courier New" w:hAnsi="Courier New"/>
          <w:sz w:val="17"/>
          <w:szCs w:val="17"/>
        </w:rPr>
        <w:t xml:space="preserve">        (datetime.fromisoformat(x["classificado_em"]) - datetime.fromisoformat(x["recolhido_em"])).total_seconds()</w:t>
      </w:r>
    </w:p>
    <w:p>
      <w:pPr>
        <w:shd w:fill="F4F3EF" w:color="auto" w:val="clear"/>
        <w:spacing w:after="0" w:before="0" w:line="220"/>
        <w:ind w:left="113" w:right="113"/>
      </w:pPr>
      <w:r>
        <w:rPr>
          <w:rFonts w:ascii="Courier New" w:cs="Courier New" w:eastAsia="Courier New" w:hAnsi="Courier New"/>
          <w:sz w:val="17"/>
          <w:szCs w:val="17"/>
        </w:rPr>
        <w:t xml:space="preserve">        for x in lat</w:t>
      </w:r>
    </w:p>
    <w:p>
      <w:pPr>
        <w:shd w:fill="F4F3EF" w:color="auto" w:val="clear"/>
        <w:spacing w:after="0" w:before="0" w:line="220"/>
        <w:ind w:left="113" w:right="113"/>
      </w:pPr>
      <w:r>
        <w:rPr>
          <w:rFonts w:ascii="Courier New" w:cs="Courier New" w:eastAsia="Courier New" w:hAnsi="Courier New"/>
          <w:sz w:val="17"/>
          <w:szCs w:val="17"/>
        </w:rPr>
        <w:t xml:space="preserve">    ]</w:t>
      </w:r>
    </w:p>
    <w:p>
      <w:pPr>
        <w:shd w:fill="F4F3EF" w:color="auto" w:val="clear"/>
        <w:spacing w:after="0" w:before="0" w:line="220"/>
        <w:ind w:left="113" w:right="113"/>
      </w:pPr>
      <w:r>
        <w:rPr>
          <w:rFonts w:ascii="Courier New" w:cs="Courier New" w:eastAsia="Courier New" w:hAnsi="Courier New"/>
          <w:sz w:val="17"/>
          <w:szCs w:val="17"/>
        </w:rPr>
        <w:t xml:space="preserve">    if seg:</w:t>
      </w:r>
    </w:p>
    <w:p>
      <w:pPr>
        <w:shd w:fill="F4F3EF" w:color="auto" w:val="clear"/>
        <w:spacing w:after="0" w:before="0" w:line="220"/>
        <w:ind w:left="113" w:right="113"/>
      </w:pPr>
      <w:r>
        <w:rPr>
          <w:rFonts w:ascii="Courier New" w:cs="Courier New" w:eastAsia="Courier New" w:hAnsi="Courier New"/>
          <w:sz w:val="17"/>
          <w:szCs w:val="17"/>
        </w:rPr>
        <w:t xml:space="preserve">        seg.sort()</w:t>
      </w:r>
    </w:p>
    <w:p>
      <w:pPr>
        <w:shd w:fill="F4F3EF" w:color="auto" w:val="clear"/>
        <w:spacing w:after="0" w:before="0" w:line="220"/>
        <w:ind w:left="113" w:right="113"/>
      </w:pPr>
      <w:r>
        <w:rPr>
          <w:rFonts w:ascii="Courier New" w:cs="Courier New" w:eastAsia="Courier New" w:hAnsi="Courier New"/>
          <w:sz w:val="17"/>
          <w:szCs w:val="17"/>
        </w:rPr>
        <w:t xml:space="preserve">        out["latencia_s"] = {</w:t>
      </w:r>
    </w:p>
    <w:p>
      <w:pPr>
        <w:shd w:fill="F4F3EF" w:color="auto" w:val="clear"/>
        <w:spacing w:after="0" w:before="0" w:line="220"/>
        <w:ind w:left="113" w:right="113"/>
      </w:pPr>
      <w:r>
        <w:rPr>
          <w:rFonts w:ascii="Courier New" w:cs="Courier New" w:eastAsia="Courier New" w:hAnsi="Courier New"/>
          <w:sz w:val="17"/>
          <w:szCs w:val="17"/>
        </w:rPr>
        <w:t xml:space="preserve">            "n": len(seg), "mediana": round(statistics.median(seg), 3),</w:t>
      </w:r>
    </w:p>
    <w:p>
      <w:pPr>
        <w:shd w:fill="F4F3EF" w:color="auto" w:val="clear"/>
        <w:spacing w:after="0" w:before="0" w:line="220"/>
        <w:ind w:left="113" w:right="113"/>
      </w:pPr>
      <w:r>
        <w:rPr>
          <w:rFonts w:ascii="Courier New" w:cs="Courier New" w:eastAsia="Courier New" w:hAnsi="Courier New"/>
          <w:sz w:val="17"/>
          <w:szCs w:val="17"/>
        </w:rPr>
        <w:t xml:space="preserve">            "p95": round(seg[min(len(seg) - 1, int(0.95 * len(seg)))], 3), "max": round(seg[-1], 3),</w:t>
      </w:r>
    </w:p>
    <w:p>
      <w:pPr>
        <w:shd w:fill="F4F3EF" w:color="auto" w:val="clear"/>
        <w:spacing w:after="0" w:before="0" w:line="220"/>
        <w:ind w:left="113" w:right="113"/>
      </w:pPr>
      <w:r>
        <w:rPr>
          <w:rFonts w:ascii="Courier New" w:cs="Courier New" w:eastAsia="Courier New" w:hAnsi="Courier New"/>
          <w:sz w:val="17"/>
          <w:szCs w:val="17"/>
        </w:rPr>
        <w:t xml:space="preserve">        }</w:t>
      </w:r>
    </w:p>
    <w:p>
      <w:pPr>
        <w:shd w:fill="F4F3EF" w:color="auto" w:val="clear"/>
        <w:spacing w:after="0" w:before="0" w:line="220"/>
        <w:ind w:left="113" w:right="113"/>
      </w:pPr>
      <w:r>
        <w:rPr>
          <w:rFonts w:ascii="Courier New" w:cs="Courier New" w:eastAsia="Courier New" w:hAnsi="Courier New"/>
          <w:sz w:val="17"/>
          <w:szCs w:val="17"/>
        </w:rPr>
        <w:t xml:space="preserve">    inf = bd.consultar("SELECT AVG(duracao_ms) AS m FROM classificacoes")</w:t>
      </w:r>
    </w:p>
    <w:p>
      <w:pPr>
        <w:shd w:fill="F4F3EF" w:color="auto" w:val="clear"/>
        <w:spacing w:after="0" w:before="0" w:line="220"/>
        <w:ind w:left="113" w:right="113"/>
      </w:pPr>
      <w:r>
        <w:rPr>
          <w:rFonts w:ascii="Courier New" w:cs="Courier New" w:eastAsia="Courier New" w:hAnsi="Courier New"/>
          <w:sz w:val="17"/>
          <w:szCs w:val="17"/>
        </w:rPr>
        <w:t xml:space="preserve">    if inf and inf[0]["m"] is not None:</w:t>
      </w:r>
    </w:p>
    <w:p>
      <w:pPr>
        <w:shd w:fill="F4F3EF" w:color="auto" w:val="clear"/>
        <w:spacing w:after="0" w:before="0" w:line="220"/>
        <w:ind w:left="113" w:right="113"/>
      </w:pPr>
      <w:r>
        <w:rPr>
          <w:rFonts w:ascii="Courier New" w:cs="Courier New" w:eastAsia="Courier New" w:hAnsi="Courier New"/>
          <w:sz w:val="17"/>
          <w:szCs w:val="17"/>
        </w:rPr>
        <w:t xml:space="preserve">        out["inferencia_ms_por_item"] = round(inf[0]["m"], 2)</w:t>
      </w:r>
    </w:p>
    <w:p>
      <w:pPr>
        <w:shd w:fill="F4F3EF" w:color="auto" w:val="clear"/>
        <w:spacing w:after="200" w:before="0" w:line="220"/>
        <w:ind w:left="113" w:right="113"/>
      </w:pPr>
      <w:r>
        <w:rPr>
          <w:rFonts w:ascii="Courier New" w:cs="Courier New" w:eastAsia="Courier New" w:hAnsi="Courier New"/>
          <w:sz w:val="17"/>
          <w:szCs w:val="17"/>
        </w:rPr>
        <w:t xml:space="preserve">    return out</w:t>
      </w:r>
    </w:p>
    <w:p>
      <w:pPr>
        <w:sectPr>
          <w:headerReference w:type="default" r:id="rId27"/>
          <w:footerReference w:type="default" r:id="rId28"/>
          <w:type w:val="nextPage"/>
          <w:pgSz w:w="11906" w:h="16838" w:orient="portrait"/>
          <w:pgMar w:top="1701" w:right="1701" w:bottom="1417" w:left="1984" w:header="850" w:footer="567" w:gutter="0"/>
          <w:pgNumType w:start="1" w:fmt="decimal"/>
          <w:docGrid w:linePitch="360"/>
        </w:sectPr>
      </w:pPr>
    </w:p>
    <w:p>
      <w:pPr>
        <w:pStyle w:val="Heading1"/>
        <w:spacing w:after="480" w:before="567"/>
        <w:jc w:val="left"/>
      </w:pPr>
      <w:r>
        <w:rPr>
          <w:rFonts w:ascii="Times New Roman" w:cs="Times New Roman" w:eastAsia="Times New Roman" w:hAnsi="Times New Roman"/>
          <w:b/>
          <w:bCs/>
          <w:sz w:val="28"/>
          <w:szCs w:val="28"/>
        </w:rPr>
        <w:t xml:space="preserve">APÊNDICE B – GUIA DE ANOTAÇÃO PADRONIZADO</w:t>
      </w:r>
    </w:p>
    <w:p>
      <w:pPr>
        <w:spacing w:after="120" w:before="0" w:line="360"/>
        <w:ind w:firstLine="567"/>
        <w:jc w:val="both"/>
      </w:pPr>
      <w:r>
        <w:rPr>
          <w:rFonts w:ascii="Times New Roman" w:cs="Times New Roman" w:eastAsia="Times New Roman" w:hAnsi="Times New Roman"/>
          <w:sz w:val="24"/>
          <w:szCs w:val="24"/>
        </w:rPr>
        <w:t xml:space="preserve">Este guia orientou os três anotadores na classificação dos comentários do corpus angolano. Todos o receberam antes de começar e comprometeram-se a segui-lo de forma independente, sem comunicar entre si durante a anotação.</w:t>
      </w:r>
    </w:p>
    <w:p>
      <w:pPr>
        <w:pStyle w:val="Heading2"/>
        <w:keepNext/>
        <w:keepLines/>
        <w:spacing w:after="160" w:before="360" w:line="300"/>
      </w:pPr>
      <w:r>
        <w:rPr>
          <w:rFonts w:ascii="Times New Roman" w:cs="Times New Roman" w:eastAsia="Times New Roman" w:hAnsi="Times New Roman"/>
          <w:b/>
          <w:bCs/>
          <w:sz w:val="26"/>
          <w:szCs w:val="26"/>
        </w:rPr>
        <w:t xml:space="preserve">B.1 Identificação do projecto</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5620"/>
      </w:tblGrid>
      <w:tr>
        <w:trPr>
          <w:cantSplit/>
          <w:tblHeader/>
        </w:trPr>
        <w:tc>
          <w:tcPr>
            <w:tcW w:type="dxa" w:w="26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Campo</w:t>
            </w:r>
          </w:p>
        </w:tc>
        <w:tc>
          <w:tcPr>
            <w:tcW w:type="dxa" w:w="56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Informação</w:t>
            </w:r>
          </w:p>
        </w:tc>
      </w:tr>
      <w:tr>
        <w:trPr>
          <w:cantSplit/>
          <w:tblHeader w:val="false"/>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Título da investigação</w:t>
            </w:r>
          </w:p>
        </w:tc>
        <w:tc>
          <w:tcPr>
            <w:tcW w:type="dxa" w:w="56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Monitoramento inteligente de ameaças em redes sociais em Angola para o apoio à defesa e segurança nacional</w:t>
            </w:r>
          </w:p>
        </w:tc>
      </w:tr>
      <w:tr>
        <w:trPr>
          <w:cantSplit/>
          <w:tblHeader w:val="false"/>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Investigador principal</w:t>
            </w:r>
          </w:p>
        </w:tc>
        <w:tc>
          <w:tcPr>
            <w:tcW w:type="dxa" w:w="56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Manuel Gonga Muinga</w:t>
            </w:r>
          </w:p>
        </w:tc>
      </w:tr>
      <w:tr>
        <w:trPr>
          <w:cantSplit/>
          <w:tblHeader w:val="false"/>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Instituição</w:t>
            </w:r>
          </w:p>
        </w:tc>
        <w:tc>
          <w:tcPr>
            <w:tcW w:type="dxa" w:w="56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Universidade Agostinho Neto, Faculdade de Engenharia</w:t>
            </w:r>
          </w:p>
        </w:tc>
      </w:tr>
      <w:tr>
        <w:trPr>
          <w:cantSplit/>
          <w:tblHeader w:val="false"/>
        </w:trPr>
        <w:tc>
          <w:tcPr>
            <w:tcW w:type="dxa" w:w="26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Período de anotação</w:t>
            </w:r>
          </w:p>
        </w:tc>
        <w:tc>
          <w:tcPr>
            <w:tcW w:type="dxa" w:w="56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Junho a Outubro de 2026</w:t>
            </w:r>
          </w:p>
        </w:tc>
      </w:tr>
    </w:tbl>
    <w:p>
      <w:pPr>
        <w:spacing w:after="240" w:before="60" w:line="240"/>
        <w:jc w:val="both"/>
      </w:pPr>
    </w:p>
    <w:p>
      <w:pPr>
        <w:pStyle w:val="Heading2"/>
        <w:keepNext/>
        <w:keepLines/>
        <w:spacing w:after="160" w:before="360" w:line="300"/>
      </w:pPr>
      <w:r>
        <w:rPr>
          <w:rFonts w:ascii="Times New Roman" w:cs="Times New Roman" w:eastAsia="Times New Roman" w:hAnsi="Times New Roman"/>
          <w:b/>
          <w:bCs/>
          <w:sz w:val="26"/>
          <w:szCs w:val="26"/>
        </w:rPr>
        <w:t xml:space="preserve">B.2 Objectivo da anotação</w:t>
      </w:r>
    </w:p>
    <w:p>
      <w:pPr>
        <w:spacing w:after="120" w:before="0" w:line="360"/>
        <w:ind w:firstLine="567"/>
        <w:jc w:val="both"/>
      </w:pPr>
      <w:r>
        <w:rPr>
          <w:rFonts w:ascii="Times New Roman" w:cs="Times New Roman" w:eastAsia="Times New Roman" w:hAnsi="Times New Roman"/>
          <w:sz w:val="24"/>
          <w:szCs w:val="24"/>
        </w:rPr>
        <w:t xml:space="preserve">Atribuir a cada comentário uma, e só uma, das quatro categorias definidas abaixo. As anotações constituem a referência para treinar e avaliar os modelos, pelo que a sua consistência determina a validade dos resultados.</w:t>
      </w:r>
    </w:p>
    <w:p>
      <w:pPr>
        <w:pStyle w:val="Heading2"/>
        <w:keepNext/>
        <w:keepLines/>
        <w:spacing w:after="160" w:before="360" w:line="300"/>
      </w:pPr>
      <w:r>
        <w:rPr>
          <w:rFonts w:ascii="Times New Roman" w:cs="Times New Roman" w:eastAsia="Times New Roman" w:hAnsi="Times New Roman"/>
          <w:b/>
          <w:bCs/>
          <w:sz w:val="26"/>
          <w:szCs w:val="26"/>
        </w:rPr>
        <w:t xml:space="preserve">B.3 Categorias</w:t>
      </w:r>
    </w:p>
    <w:p>
      <w:pPr>
        <w:pStyle w:val="Heading3"/>
        <w:keepNext/>
        <w:spacing w:after="120" w:before="240"/>
      </w:pPr>
      <w:r>
        <w:rPr>
          <w:rFonts w:ascii="Times New Roman" w:cs="Times New Roman" w:eastAsia="Times New Roman" w:hAnsi="Times New Roman"/>
          <w:b/>
          <w:bCs/>
          <w:sz w:val="24"/>
          <w:szCs w:val="24"/>
        </w:rPr>
        <w:t xml:space="preserve">B.3.1 Normal (rótulo Normal)</w:t>
      </w:r>
    </w:p>
    <w:p>
      <w:pPr>
        <w:spacing w:after="120" w:before="0" w:line="360"/>
        <w:ind w:firstLine="567"/>
        <w:jc w:val="both"/>
      </w:pPr>
      <w:r>
        <w:rPr>
          <w:rFonts w:ascii="Times New Roman" w:cs="Times New Roman" w:eastAsia="Times New Roman" w:hAnsi="Times New Roman"/>
          <w:sz w:val="24"/>
          <w:szCs w:val="24"/>
        </w:rPr>
        <w:t xml:space="preserve">Comentários que não representam ameaça à segurança, à ordem pública ou aos direitos fundamentais. Inclui notícias factuais, entretenimento, crítica política legítima, humor e conversa quotidiana. Exemplos: «O Governo anunciou hoje a inauguração da nova estrada em Benguela»; «As políticas económicas precisam de ser revistas urgentemente» (crítica sem incitação).</w:t>
      </w:r>
    </w:p>
    <w:p>
      <w:pPr>
        <w:pStyle w:val="Heading3"/>
        <w:keepNext/>
        <w:spacing w:after="120" w:before="240"/>
      </w:pPr>
      <w:r>
        <w:rPr>
          <w:rFonts w:ascii="Times New Roman" w:cs="Times New Roman" w:eastAsia="Times New Roman" w:hAnsi="Times New Roman"/>
          <w:b/>
          <w:bCs/>
          <w:sz w:val="24"/>
          <w:szCs w:val="24"/>
        </w:rPr>
        <w:t xml:space="preserve">B.3.2 Desinformação (rótulo Desinformacao)</w:t>
      </w:r>
    </w:p>
    <w:p>
      <w:pPr>
        <w:spacing w:after="120" w:before="0" w:line="360"/>
        <w:ind w:firstLine="567"/>
        <w:jc w:val="both"/>
      </w:pPr>
      <w:r>
        <w:rPr>
          <w:rFonts w:ascii="Times New Roman" w:cs="Times New Roman" w:eastAsia="Times New Roman" w:hAnsi="Times New Roman"/>
          <w:sz w:val="24"/>
          <w:szCs w:val="24"/>
        </w:rPr>
        <w:t xml:space="preserve">Informação falsa, enganosa ou deliberadamente distorcida, com potencial para causar dano público, manipular a opinião ou criar pânico. Inclui notícias fabricadas, vídeos fora de contexto ou manipulados e declarações falsamente atribuídas a figuras públicas. Exemplos: «URGENTE: vídeo mostra um governante a confessar desvio de fundos. PARTILHA!» (vídeo manipulado); «Surto de doença mortal em Luanda, as autoridades estão a esconder a verdade» (sem fonte). Se a publicação apresentar factos reais com contexto distorcido para enganar, classifique como Desinformação.</w:t>
      </w:r>
    </w:p>
    <w:p>
      <w:pPr>
        <w:pStyle w:val="Heading3"/>
        <w:keepNext/>
        <w:spacing w:after="120" w:before="240"/>
      </w:pPr>
      <w:r>
        <w:rPr>
          <w:rFonts w:ascii="Times New Roman" w:cs="Times New Roman" w:eastAsia="Times New Roman" w:hAnsi="Times New Roman"/>
          <w:b/>
          <w:bCs/>
          <w:sz w:val="24"/>
          <w:szCs w:val="24"/>
        </w:rPr>
        <w:t xml:space="preserve">B.3.3 Discurso de ódio (rótulo Odio)</w:t>
      </w:r>
    </w:p>
    <w:p>
      <w:pPr>
        <w:spacing w:after="120" w:before="0" w:line="360"/>
        <w:ind w:firstLine="567"/>
        <w:jc w:val="both"/>
      </w:pPr>
      <w:r>
        <w:rPr>
          <w:rFonts w:ascii="Times New Roman" w:cs="Times New Roman" w:eastAsia="Times New Roman" w:hAnsi="Times New Roman"/>
          <w:sz w:val="24"/>
          <w:szCs w:val="24"/>
        </w:rPr>
        <w:t xml:space="preserve">Conteúdo que promove, incita ou justifica discriminação, hostilidade ou violência com base em etnia, religião, origem regional, género ou orientação sexual, de forma explícita ou implícita (estereótipos, desumanização, linguagem codificada). O calão com conteúdo discriminatório entra nesta categoria. A crítica a governos, partidos ou figuras públicas não é discurso de ódio; o critério é a desumanização ou a discriminação por identidade.</w:t>
      </w:r>
    </w:p>
    <w:p>
      <w:pPr>
        <w:pStyle w:val="Heading3"/>
        <w:keepNext/>
        <w:spacing w:after="120" w:before="240"/>
      </w:pPr>
      <w:r>
        <w:rPr>
          <w:rFonts w:ascii="Times New Roman" w:cs="Times New Roman" w:eastAsia="Times New Roman" w:hAnsi="Times New Roman"/>
          <w:b/>
          <w:bCs/>
          <w:sz w:val="24"/>
          <w:szCs w:val="24"/>
        </w:rPr>
        <w:t xml:space="preserve">B.3.4 Mobilização hostil (rótulo Mobilizacao)</w:t>
      </w:r>
    </w:p>
    <w:p>
      <w:pPr>
        <w:spacing w:after="120" w:before="0" w:line="360"/>
        <w:ind w:firstLine="567"/>
        <w:jc w:val="both"/>
      </w:pPr>
      <w:r>
        <w:rPr>
          <w:rFonts w:ascii="Times New Roman" w:cs="Times New Roman" w:eastAsia="Times New Roman" w:hAnsi="Times New Roman"/>
          <w:sz w:val="24"/>
          <w:szCs w:val="24"/>
        </w:rPr>
        <w:t xml:space="preserve">Comentários que organizam, coordenam ou incitam à participação em acções ilegais ou violentas, ou que ameacem a ordem pública. Exemplos: «Amanhã Luanda pára. Quem não aparecer é traidor. Tragam o que foi combinado.» Uma convocatória para manifestação pacífica e legal </w:t>
      </w:r>
      <w:r>
        <w:rPr>
          <w:rFonts w:ascii="Times New Roman" w:cs="Times New Roman" w:eastAsia="Times New Roman" w:hAnsi="Times New Roman"/>
          <w:b/>
          <w:bCs/>
          <w:sz w:val="24"/>
          <w:szCs w:val="24"/>
        </w:rPr>
        <w:t xml:space="preserve">não</w:t>
      </w:r>
      <w:r>
        <w:rPr>
          <w:rFonts w:ascii="Times New Roman" w:cs="Times New Roman" w:eastAsia="Times New Roman" w:hAnsi="Times New Roman"/>
          <w:sz w:val="24"/>
          <w:szCs w:val="24"/>
        </w:rPr>
        <w:t xml:space="preserve"> é Mobilização Hostil e deve ser classificada como Normal.</w:t>
      </w:r>
    </w:p>
    <w:p>
      <w:pPr>
        <w:pStyle w:val="Heading2"/>
        <w:keepNext/>
        <w:keepLines/>
        <w:spacing w:after="160" w:before="360" w:line="300"/>
      </w:pPr>
      <w:r>
        <w:rPr>
          <w:rFonts w:ascii="Times New Roman" w:cs="Times New Roman" w:eastAsia="Times New Roman" w:hAnsi="Times New Roman"/>
          <w:b/>
          <w:bCs/>
          <w:sz w:val="26"/>
          <w:szCs w:val="26"/>
        </w:rPr>
        <w:t xml:space="preserve">B.4 Casos limítrofes</w:t>
      </w:r>
    </w:p>
    <w:p>
      <w:pPr>
        <w:spacing w:after="120" w:before="0" w:line="360"/>
        <w:ind w:firstLine="567"/>
        <w:jc w:val="both"/>
      </w:pPr>
      <w:r>
        <w:rPr>
          <w:rFonts w:ascii="Times New Roman" w:cs="Times New Roman" w:eastAsia="Times New Roman" w:hAnsi="Times New Roman"/>
          <w:b/>
          <w:bCs/>
          <w:sz w:val="24"/>
          <w:szCs w:val="24"/>
        </w:rPr>
        <w:t xml:space="preserve">Crítica política ou desinformação.</w:t>
      </w:r>
      <w:r>
        <w:rPr>
          <w:rFonts w:ascii="Times New Roman" w:cs="Times New Roman" w:eastAsia="Times New Roman" w:hAnsi="Times New Roman"/>
          <w:sz w:val="24"/>
          <w:szCs w:val="24"/>
        </w:rPr>
        <w:t xml:space="preserve"> Dados incorrectos numa crítica são Normal se o erro parecer involuntário e verificável; são Desinformação se forem apresentados como verdade sem fonte, com marcadores de manipulação (por exemplo, «partilha antes que apaguem»).</w:t>
      </w:r>
    </w:p>
    <w:p>
      <w:pPr>
        <w:spacing w:after="120" w:before="0" w:line="360"/>
        <w:ind w:firstLine="567"/>
        <w:jc w:val="both"/>
      </w:pPr>
      <w:r>
        <w:rPr>
          <w:rFonts w:ascii="Times New Roman" w:cs="Times New Roman" w:eastAsia="Times New Roman" w:hAnsi="Times New Roman"/>
          <w:b/>
          <w:bCs/>
          <w:sz w:val="24"/>
          <w:szCs w:val="24"/>
        </w:rPr>
        <w:t xml:space="preserve">Convocatória pacífica ou mobilização hostil.</w:t>
      </w:r>
      <w:r>
        <w:rPr>
          <w:rFonts w:ascii="Times New Roman" w:cs="Times New Roman" w:eastAsia="Times New Roman" w:hAnsi="Times New Roman"/>
          <w:sz w:val="24"/>
          <w:szCs w:val="24"/>
        </w:rPr>
        <w:t xml:space="preserve"> É Normal quando explicita o carácter pacífico e legal da acção; é Mobilização Hostil quando combina coordenação, linguagem coerciva ou de violência e ausência de referência ao carácter legal.</w:t>
      </w:r>
    </w:p>
    <w:p>
      <w:pPr>
        <w:spacing w:after="120" w:before="0" w:line="360"/>
        <w:ind w:firstLine="567"/>
        <w:jc w:val="both"/>
      </w:pPr>
      <w:r>
        <w:rPr>
          <w:rFonts w:ascii="Times New Roman" w:cs="Times New Roman" w:eastAsia="Times New Roman" w:hAnsi="Times New Roman"/>
          <w:b/>
          <w:bCs/>
          <w:sz w:val="24"/>
          <w:szCs w:val="24"/>
        </w:rPr>
        <w:t xml:space="preserve">Ódio implícito ou observação.</w:t>
      </w:r>
      <w:r>
        <w:rPr>
          <w:rFonts w:ascii="Times New Roman" w:cs="Times New Roman" w:eastAsia="Times New Roman" w:hAnsi="Times New Roman"/>
          <w:sz w:val="24"/>
          <w:szCs w:val="24"/>
        </w:rPr>
        <w:t xml:space="preserve"> É Discurso de Ódio quando atribui características negativas a um grupo pela sua identidade e usa linguagem de exclusão, mesmo que formulada como «facto».</w:t>
      </w:r>
    </w:p>
    <w:p>
      <w:pPr>
        <w:pStyle w:val="Heading2"/>
        <w:keepNext/>
        <w:keepLines/>
        <w:spacing w:after="160" w:before="360" w:line="300"/>
      </w:pPr>
      <w:r>
        <w:rPr>
          <w:rFonts w:ascii="Times New Roman" w:cs="Times New Roman" w:eastAsia="Times New Roman" w:hAnsi="Times New Roman"/>
          <w:b/>
          <w:bCs/>
          <w:sz w:val="26"/>
          <w:szCs w:val="26"/>
        </w:rPr>
        <w:t xml:space="preserve">B.5 Regras de desempate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Se a publicação tiver elementos de mais de uma categoria, escolha a mais grave: Mobilização Hostil &gt; Discurso de Ódio &gt; Desinformação &gt; Normal.</w:t>
      </w:r>
    </w:p>
    <w:p>
      <w:pPr>
        <w:pStyle w:val="ListParagraph"/>
        <w:numPr>
          <w:ilvl w:val="0"/>
          <w:numId w:val="2"/>
        </w:numPr>
        <w:spacing w:after="60" w:line="360"/>
        <w:jc w:val="both"/>
      </w:pPr>
      <w:r>
        <w:rPr>
          <w:rFonts w:ascii="Times New Roman" w:cs="Times New Roman" w:eastAsia="Times New Roman" w:hAnsi="Times New Roman"/>
          <w:sz w:val="24"/>
          <w:szCs w:val="24"/>
        </w:rPr>
        <w:t xml:space="preserve">Em comentários com calão ou expressões de línguas nacionais, aplique os mesmos critérios; em caso de dúvida sobre o significado, registe-a na coluna de observações.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Ironia e sátira sem intenção de dano são Normal; ironia que mascara conteúdo nocivo segue a categoria correspondente.</w:t>
      </w:r>
    </w:p>
    <w:p>
      <w:pPr>
        <w:pStyle w:val="Heading2"/>
        <w:keepNext/>
        <w:keepLines/>
        <w:spacing w:after="160" w:before="360" w:line="300"/>
      </w:pPr>
      <w:r>
        <w:rPr>
          <w:rFonts w:ascii="Times New Roman" w:cs="Times New Roman" w:eastAsia="Times New Roman" w:hAnsi="Times New Roman"/>
          <w:b/>
          <w:bCs/>
          <w:sz w:val="26"/>
          <w:szCs w:val="26"/>
        </w:rPr>
        <w:t xml:space="preserve">B.6 Instruções de preenchimento</w:t>
      </w:r>
    </w:p>
    <w:p>
      <w:pPr>
        <w:pStyle w:val="ListParagraph"/>
        <w:numPr>
          <w:ilvl w:val="0"/>
          <w:numId w:val="2"/>
        </w:numPr>
        <w:spacing w:after="60" w:line="360"/>
        <w:jc w:val="both"/>
      </w:pPr>
      <w:r>
        <w:rPr>
          <w:rFonts w:ascii="Times New Roman" w:cs="Times New Roman" w:eastAsia="Times New Roman" w:hAnsi="Times New Roman"/>
          <w:sz w:val="24"/>
          <w:szCs w:val="24"/>
        </w:rPr>
        <w:t xml:space="preserve">Ler cada comentário na íntegra antes de classificar.</w:t>
      </w:r>
    </w:p>
    <w:p>
      <w:pPr>
        <w:pStyle w:val="ListParagraph"/>
        <w:numPr>
          <w:ilvl w:val="0"/>
          <w:numId w:val="2"/>
        </w:numPr>
        <w:spacing w:after="60" w:line="360"/>
        <w:jc w:val="both"/>
      </w:pPr>
      <w:r>
        <w:rPr>
          <w:rFonts w:ascii="Times New Roman" w:cs="Times New Roman" w:eastAsia="Times New Roman" w:hAnsi="Times New Roman"/>
          <w:sz w:val="24"/>
          <w:szCs w:val="24"/>
        </w:rPr>
        <w:t xml:space="preserve">Registar a categoria e, nos casos difíceis, uma observação.</w:t>
      </w:r>
    </w:p>
    <w:p>
      <w:pPr>
        <w:pStyle w:val="ListParagraph"/>
        <w:numPr>
          <w:ilvl w:val="0"/>
          <w:numId w:val="2"/>
        </w:numPr>
        <w:spacing w:after="60" w:line="360"/>
        <w:jc w:val="both"/>
      </w:pPr>
      <w:r>
        <w:rPr>
          <w:rFonts w:ascii="Times New Roman" w:cs="Times New Roman" w:eastAsia="Times New Roman" w:hAnsi="Times New Roman"/>
          <w:sz w:val="24"/>
          <w:szCs w:val="24"/>
        </w:rPr>
        <w:t xml:space="preserve">Não consultar os outros anotadores durante a fase individual.</w:t>
      </w:r>
    </w:p>
    <w:p>
      <w:pPr>
        <w:pStyle w:val="ListParagraph"/>
        <w:numPr>
          <w:ilvl w:val="0"/>
          <w:numId w:val="2"/>
        </w:numPr>
        <w:spacing w:after="60" w:line="360"/>
        <w:jc w:val="both"/>
      </w:pPr>
      <w:r>
        <w:rPr>
          <w:rFonts w:ascii="Times New Roman" w:cs="Times New Roman" w:eastAsia="Times New Roman" w:hAnsi="Times New Roman"/>
          <w:sz w:val="24"/>
          <w:szCs w:val="24"/>
        </w:rPr>
        <w:t xml:space="preserve">Em caso de dúvida persistente, registar e continuar, sem bloquear o processo.</w:t>
      </w:r>
    </w:p>
    <w:p>
      <w:pPr>
        <w:sectPr>
          <w:headerReference w:type="default" r:id="rId29"/>
          <w:footerReference w:type="default" r:id="rId30"/>
          <w:type w:val="nextPage"/>
          <w:pgSz w:w="11906" w:h="16838" w:orient="portrait"/>
          <w:pgMar w:top="1701" w:right="1701" w:bottom="1417" w:left="1984" w:header="850" w:footer="567" w:gutter="0"/>
          <w:pgNumType w:start="1" w:fmt="decimal"/>
          <w:docGrid w:linePitch="360"/>
        </w:sectPr>
      </w:pPr>
    </w:p>
    <w:p>
      <w:pPr>
        <w:pStyle w:val="Heading1"/>
        <w:spacing w:after="480" w:before="567"/>
        <w:jc w:val="left"/>
      </w:pPr>
      <w:r>
        <w:rPr>
          <w:rFonts w:ascii="Times New Roman" w:cs="Times New Roman" w:eastAsia="Times New Roman" w:hAnsi="Times New Roman"/>
          <w:b/>
          <w:bCs/>
          <w:sz w:val="28"/>
          <w:szCs w:val="28"/>
        </w:rPr>
        <w:t xml:space="preserve">APÊNDICE C – ACORDO ENTRE ANOTADORES</w:t>
      </w:r>
    </w:p>
    <w:p>
      <w:pPr>
        <w:spacing w:after="120" w:before="0" w:line="360"/>
        <w:ind w:firstLine="567"/>
        <w:jc w:val="both"/>
      </w:pPr>
      <w:r>
        <w:rPr>
          <w:rFonts w:ascii="Times New Roman" w:cs="Times New Roman" w:eastAsia="Times New Roman" w:hAnsi="Times New Roman"/>
          <w:sz w:val="24"/>
          <w:szCs w:val="24"/>
        </w:rPr>
        <w:t xml:space="preserve">Este apêndice documenta o cálculo do acordo entre os três anotadores do corpus angolano.</w:t>
      </w:r>
    </w:p>
    <w:p>
      <w:pPr>
        <w:pStyle w:val="Heading2"/>
        <w:keepNext/>
        <w:keepLines/>
        <w:spacing w:after="160" w:before="360" w:line="300"/>
      </w:pPr>
      <w:r>
        <w:rPr>
          <w:rFonts w:ascii="Times New Roman" w:cs="Times New Roman" w:eastAsia="Times New Roman" w:hAnsi="Times New Roman"/>
          <w:b/>
          <w:bCs/>
          <w:sz w:val="26"/>
          <w:szCs w:val="26"/>
        </w:rPr>
        <w:t xml:space="preserve">C.1 Escala de interpretação</w:t>
      </w:r>
    </w:p>
    <w:p>
      <w:pPr>
        <w:pStyle w:val="LegendaTabela"/>
        <w:keepNext/>
        <w:spacing w:after="80" w:before="240" w:line="240"/>
        <w:jc w:val="center"/>
      </w:pPr>
      <w:r>
        <w:rPr>
          <w:rFonts w:ascii="Times New Roman" w:cs="Times New Roman" w:eastAsia="Times New Roman" w:hAnsi="Times New Roman"/>
          <w:b/>
          <w:bCs/>
          <w:sz w:val="20"/>
          <w:szCs w:val="20"/>
        </w:rPr>
        <w:t xml:space="preserve">Tabela C.1 – Escala de interpretação do Kappa (Landis &amp; Koch, 1977)</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5220"/>
      </w:tblGrid>
      <w:tr>
        <w:trPr>
          <w:cantSplit/>
          <w:tblHeader/>
        </w:trPr>
        <w:tc>
          <w:tcPr>
            <w:tcW w:type="dxa" w:w="30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Valor de κ</w:t>
            </w:r>
          </w:p>
        </w:tc>
        <w:tc>
          <w:tcPr>
            <w:tcW w:type="dxa" w:w="52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Grau de acordo</w:t>
            </w:r>
          </w:p>
        </w:tc>
      </w:tr>
      <w:tr>
        <w:trPr>
          <w:cantSplit/>
          <w:tblHeader w:val="false"/>
        </w:trPr>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&lt; 0,00</w:t>
            </w:r>
          </w:p>
        </w:tc>
        <w:tc>
          <w:tcPr>
            <w:tcW w:type="dxa" w:w="52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Pobre</w:t>
            </w:r>
          </w:p>
        </w:tc>
      </w:tr>
      <w:tr>
        <w:trPr>
          <w:cantSplit/>
          <w:tblHeader w:val="false"/>
        </w:trPr>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0,00–0,20</w:t>
            </w:r>
          </w:p>
        </w:tc>
        <w:tc>
          <w:tcPr>
            <w:tcW w:type="dxa" w:w="52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Ligeiro</w:t>
            </w:r>
          </w:p>
        </w:tc>
      </w:tr>
      <w:tr>
        <w:trPr>
          <w:cantSplit/>
          <w:tblHeader w:val="false"/>
        </w:trPr>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0,21–0,40</w:t>
            </w:r>
          </w:p>
        </w:tc>
        <w:tc>
          <w:tcPr>
            <w:tcW w:type="dxa" w:w="52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Razoável</w:t>
            </w:r>
          </w:p>
        </w:tc>
      </w:tr>
      <w:tr>
        <w:trPr>
          <w:cantSplit/>
          <w:tblHeader w:val="false"/>
        </w:trPr>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0,41–0,60</w:t>
            </w:r>
          </w:p>
        </w:tc>
        <w:tc>
          <w:tcPr>
            <w:tcW w:type="dxa" w:w="52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Moderado</w:t>
            </w:r>
          </w:p>
        </w:tc>
      </w:tr>
      <w:tr>
        <w:trPr>
          <w:cantSplit/>
          <w:tblHeader w:val="false"/>
        </w:trPr>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0,61–0,80</w:t>
            </w:r>
          </w:p>
        </w:tc>
        <w:tc>
          <w:tcPr>
            <w:tcW w:type="dxa" w:w="52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Substancial</w:t>
            </w:r>
          </w:p>
        </w:tc>
      </w:tr>
      <w:tr>
        <w:trPr>
          <w:cantSplit/>
          <w:tblHeader w:val="false"/>
        </w:trPr>
        <w:tc>
          <w:tcPr>
            <w:tcW w:type="dxa" w:w="30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0,81–1,00</w:t>
            </w:r>
          </w:p>
        </w:tc>
        <w:tc>
          <w:tcPr>
            <w:tcW w:type="dxa" w:w="52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Quase perfeito</w:t>
            </w:r>
          </w:p>
        </w:tc>
      </w:tr>
    </w:tbl>
    <w:p>
      <w:pPr>
        <w:spacing w:after="240" w:before="60" w:line="240"/>
        <w:jc w:val="both"/>
      </w:pPr>
    </w:p>
    <w:p>
      <w:pPr>
        <w:pStyle w:val="Heading2"/>
        <w:keepNext/>
        <w:keepLines/>
        <w:spacing w:after="160" w:before="360" w:line="300"/>
      </w:pPr>
      <w:r>
        <w:rPr>
          <w:rFonts w:ascii="Times New Roman" w:cs="Times New Roman" w:eastAsia="Times New Roman" w:hAnsi="Times New Roman"/>
          <w:b/>
          <w:bCs/>
          <w:sz w:val="26"/>
          <w:szCs w:val="26"/>
        </w:rPr>
        <w:t xml:space="preserve">C.2 Fórmulas</w:t>
      </w:r>
    </w:p>
    <w:p>
      <w:pPr>
        <w:spacing w:after="120" w:before="0" w:line="360"/>
        <w:ind w:firstLine="567"/>
        <w:jc w:val="both"/>
      </w:pPr>
      <w:r>
        <w:rPr>
          <w:rFonts w:ascii="Times New Roman" w:cs="Times New Roman" w:eastAsia="Times New Roman" w:hAnsi="Times New Roman"/>
          <w:sz w:val="24"/>
          <w:szCs w:val="24"/>
        </w:rPr>
        <w:t xml:space="preserve">O Kappa de Cohen, para um par de anotadores, é κ = (Po − Pe) / (1 − Pe), onde Po é a proporção de acordo observado e Pe a proporção de acordo esperada ao acaso, calculada a partir das distribuições marginais de cada anotador (Cohen, 1960). O Kappa de Fleiss generaliza esta medida para três ou mais anotadores, calculando Po como a média, por item, da proporção de pares de anotadores em acordo e Pe a partir da distribuição global das categorias (Fleiss, 1971).</w:t>
      </w:r>
    </w:p>
    <w:p>
      <w:pPr>
        <w:pStyle w:val="Heading2"/>
        <w:keepNext/>
        <w:keepLines/>
        <w:spacing w:after="160" w:before="360" w:line="300"/>
      </w:pPr>
      <w:r>
        <w:rPr>
          <w:rFonts w:ascii="Times New Roman" w:cs="Times New Roman" w:eastAsia="Times New Roman" w:hAnsi="Times New Roman"/>
          <w:b/>
          <w:bCs/>
          <w:sz w:val="26"/>
          <w:szCs w:val="26"/>
        </w:rPr>
        <w:t xml:space="preserve">C.3 Resultados</w:t>
      </w:r>
    </w:p>
    <w:p>
      <w:pPr>
        <w:pStyle w:val="LegendaTabela"/>
        <w:keepNext/>
        <w:spacing w:after="80" w:before="240" w:line="240"/>
        <w:jc w:val="center"/>
      </w:pPr>
      <w:r>
        <w:rPr>
          <w:rFonts w:ascii="Times New Roman" w:cs="Times New Roman" w:eastAsia="Times New Roman" w:hAnsi="Times New Roman"/>
          <w:b/>
          <w:bCs/>
          <w:sz w:val="20"/>
          <w:szCs w:val="20"/>
        </w:rPr>
        <w:t xml:space="preserve">Tabela C.2 – Acordo entre os três anotadores</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3300"/>
        <w:gridCol w:w="2900"/>
        <w:gridCol w:w="2020"/>
      </w:tblGrid>
      <w:tr>
        <w:trPr>
          <w:cantSplit/>
          <w:tblHeader/>
        </w:trPr>
        <w:tc>
          <w:tcPr>
            <w:tcW w:type="dxa" w:w="33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Subconjunto</w:t>
            </w:r>
          </w:p>
        </w:tc>
        <w:tc>
          <w:tcPr>
            <w:tcW w:type="dxa" w:w="29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Medida</w:t>
            </w:r>
          </w:p>
        </w:tc>
        <w:tc>
          <w:tcPr>
            <w:tcW w:type="dxa" w:w="20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Valor</w:t>
            </w:r>
          </w:p>
        </w:tc>
      </w:tr>
      <w:tr>
        <w:trPr>
          <w:cantSplit/>
          <w:tblHeader w:val="false"/>
        </w:trPr>
        <w:tc>
          <w:tcPr>
            <w:tcW w:type="dxa" w:w="3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Amostras aleatórias do piloto</w:t>
            </w:r>
          </w:p>
        </w:tc>
        <w:tc>
          <w:tcPr>
            <w:tcW w:type="dxa" w:w="2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κ de Fleiss [IC 95%]</w:t>
            </w:r>
          </w:p>
        </w:tc>
        <w:tc>
          <w:tcPr>
            <w:tcW w:type="dxa" w:w="20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0,718 [0,695; 0,741]</w:t>
            </w:r>
          </w:p>
        </w:tc>
      </w:tr>
      <w:tr>
        <w:trPr>
          <w:cantSplit/>
          <w:tblHeader w:val="false"/>
        </w:trPr>
        <w:tc>
          <w:tcPr>
            <w:tcW w:type="dxa" w:w="3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Amostras aleatórias do piloto</w:t>
            </w:r>
          </w:p>
        </w:tc>
        <w:tc>
          <w:tcPr>
            <w:tcW w:type="dxa" w:w="2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κ de Cohen médio (3 pares)</w:t>
            </w:r>
          </w:p>
        </w:tc>
        <w:tc>
          <w:tcPr>
            <w:tcW w:type="dxa" w:w="20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0,719</w:t>
            </w:r>
          </w:p>
        </w:tc>
      </w:tr>
      <w:tr>
        <w:trPr>
          <w:cantSplit/>
          <w:tblHeader w:val="false"/>
        </w:trPr>
        <w:tc>
          <w:tcPr>
            <w:tcW w:type="dxa" w:w="3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Amostras aleatórias do piloto</w:t>
            </w:r>
          </w:p>
        </w:tc>
        <w:tc>
          <w:tcPr>
            <w:tcW w:type="dxa" w:w="2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Concordância observada</w:t>
            </w:r>
          </w:p>
        </w:tc>
        <w:tc>
          <w:tcPr>
            <w:tcW w:type="dxa" w:w="20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81,3%</w:t>
            </w:r>
          </w:p>
        </w:tc>
      </w:tr>
      <w:tr>
        <w:trPr>
          <w:cantSplit/>
          <w:tblHeader w:val="false"/>
        </w:trPr>
        <w:tc>
          <w:tcPr>
            <w:tcW w:type="dxa" w:w="33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Lote temático de vídeos (284 itens)</w:t>
            </w:r>
          </w:p>
        </w:tc>
        <w:tc>
          <w:tcPr>
            <w:tcW w:type="dxa" w:w="29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κ de Fleiss [IC 95%]</w:t>
            </w:r>
          </w:p>
        </w:tc>
        <w:tc>
          <w:tcPr>
            <w:tcW w:type="dxa" w:w="20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0,818 [0,763; 0,869]</w:t>
            </w:r>
          </w:p>
        </w:tc>
      </w:tr>
    </w:tbl>
    <w:p>
      <w:pPr>
        <w:spacing w:after="240" w:before="60" w:line="240"/>
        <w:jc w:val="both"/>
      </w:pPr>
      <w:r>
        <w:rPr>
          <w:rFonts w:ascii="Times New Roman" w:cs="Times New Roman" w:eastAsia="Times New Roman" w:hAnsi="Times New Roman"/>
          <w:i/>
          <w:iCs/>
          <w:sz w:val="18"/>
          <w:szCs w:val="18"/>
        </w:rPr>
        <w:t xml:space="preserve">Nota.</w:t>
      </w:r>
      <w:r>
        <w:rPr>
          <w:rFonts w:ascii="Times New Roman" w:cs="Times New Roman" w:eastAsia="Times New Roman" w:hAnsi="Times New Roman"/>
          <w:sz w:val="18"/>
          <w:szCs w:val="18"/>
        </w:rPr>
        <w:t xml:space="preserve"> O κ do lote temático não é comparável com o das amostras aleatórias, por resultar de uma selecção não aleatória com distribuição de categorias diferente.</w:t>
      </w:r>
    </w:p>
    <w:p>
      <w:pPr>
        <w:spacing w:after="120" w:before="0" w:line="360"/>
        <w:ind w:firstLine="567"/>
        <w:jc w:val="both"/>
      </w:pPr>
      <w:r>
        <w:rPr>
          <w:rFonts w:ascii="Times New Roman" w:cs="Times New Roman" w:eastAsia="Times New Roman" w:hAnsi="Times New Roman"/>
          <w:sz w:val="24"/>
          <w:szCs w:val="24"/>
        </w:rPr>
        <w:t xml:space="preserve">A Tabela C.3 detalha o acordo nas amostras aleatórias do piloto (2.443 itens com etiqueta dos três anotadores), por par de anotadores e por categoria. Os anotadores são identificados por letras. O par menos concordante fica em 0,684 e o mais concordante em 0,772, todos no intervalo substancial. Por categoria, a Desinformação é a que reúne menos acordo (0,625), o que é coerente com a dificuldade de a distinguir da crítica política sem verificar os factos alegados.</w:t>
      </w:r>
    </w:p>
    <w:p>
      <w:pPr>
        <w:pStyle w:val="LegendaTabela"/>
        <w:keepNext/>
        <w:spacing w:after="80" w:before="240" w:line="240"/>
        <w:jc w:val="center"/>
      </w:pPr>
      <w:r>
        <w:rPr>
          <w:rFonts w:ascii="Times New Roman" w:cs="Times New Roman" w:eastAsia="Times New Roman" w:hAnsi="Times New Roman"/>
          <w:b/>
          <w:bCs/>
          <w:sz w:val="20"/>
          <w:szCs w:val="20"/>
        </w:rPr>
        <w:t xml:space="preserve">Tabela C.3 – Acordo por par de anotadores e por categoria (amostras aleatórias, n = 2.443)</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3600"/>
        <w:gridCol w:w="2300"/>
        <w:gridCol w:w="2320"/>
      </w:tblGrid>
      <w:tr>
        <w:trPr>
          <w:cantSplit/>
          <w:tblHeader/>
        </w:trPr>
        <w:tc>
          <w:tcPr>
            <w:tcW w:type="dxa" w:w="36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Desagregação</w:t>
            </w:r>
          </w:p>
        </w:tc>
        <w:tc>
          <w:tcPr>
            <w:tcW w:type="dxa" w:w="23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Medida</w:t>
            </w:r>
          </w:p>
        </w:tc>
        <w:tc>
          <w:tcPr>
            <w:tcW w:type="dxa" w:w="23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Valor</w:t>
            </w:r>
          </w:p>
        </w:tc>
      </w:tr>
      <w:tr>
        <w:trPr>
          <w:cantSplit/>
          <w:tblHeader w:val="false"/>
        </w:trPr>
        <w:tc>
          <w:tcPr>
            <w:tcW w:type="dxa" w:w="3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Par A–B</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κ de Cohen</w:t>
            </w:r>
          </w:p>
        </w:tc>
        <w:tc>
          <w:tcPr>
            <w:tcW w:type="dxa" w:w="23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0,700</w:t>
            </w:r>
          </w:p>
        </w:tc>
      </w:tr>
      <w:tr>
        <w:trPr>
          <w:cantSplit/>
          <w:tblHeader w:val="false"/>
        </w:trPr>
        <w:tc>
          <w:tcPr>
            <w:tcW w:type="dxa" w:w="3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Par A–C</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κ de Cohen</w:t>
            </w:r>
          </w:p>
        </w:tc>
        <w:tc>
          <w:tcPr>
            <w:tcW w:type="dxa" w:w="23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0,684</w:t>
            </w:r>
          </w:p>
        </w:tc>
      </w:tr>
      <w:tr>
        <w:trPr>
          <w:cantSplit/>
          <w:tblHeader w:val="false"/>
        </w:trPr>
        <w:tc>
          <w:tcPr>
            <w:tcW w:type="dxa" w:w="3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Par B–C</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κ de Cohen</w:t>
            </w:r>
          </w:p>
        </w:tc>
        <w:tc>
          <w:tcPr>
            <w:tcW w:type="dxa" w:w="23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0,772</w:t>
            </w:r>
          </w:p>
        </w:tc>
      </w:tr>
      <w:tr>
        <w:trPr>
          <w:cantSplit/>
          <w:tblHeader w:val="false"/>
        </w:trPr>
        <w:tc>
          <w:tcPr>
            <w:tcW w:type="dxa" w:w="3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Média dos pares [IC 95%]</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κ de Cohen</w:t>
            </w:r>
          </w:p>
        </w:tc>
        <w:tc>
          <w:tcPr>
            <w:tcW w:type="dxa" w:w="23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0,719 [0,696; 0,741]</w:t>
            </w:r>
          </w:p>
        </w:tc>
      </w:tr>
      <w:tr>
        <w:trPr>
          <w:cantSplit/>
          <w:tblHeader w:val="false"/>
        </w:trPr>
        <w:tc>
          <w:tcPr>
            <w:tcW w:type="dxa" w:w="3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Normal</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κ de Fleiss</w:t>
            </w:r>
          </w:p>
        </w:tc>
        <w:tc>
          <w:tcPr>
            <w:tcW w:type="dxa" w:w="23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0,738</w:t>
            </w:r>
          </w:p>
        </w:tc>
      </w:tr>
      <w:tr>
        <w:trPr>
          <w:cantSplit/>
          <w:tblHeader w:val="false"/>
        </w:trPr>
        <w:tc>
          <w:tcPr>
            <w:tcW w:type="dxa" w:w="3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Desinformação</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κ de Fleiss</w:t>
            </w:r>
          </w:p>
        </w:tc>
        <w:tc>
          <w:tcPr>
            <w:tcW w:type="dxa" w:w="23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0,625</w:t>
            </w:r>
          </w:p>
        </w:tc>
      </w:tr>
      <w:tr>
        <w:trPr>
          <w:cantSplit/>
          <w:tblHeader w:val="false"/>
        </w:trPr>
        <w:tc>
          <w:tcPr>
            <w:tcW w:type="dxa" w:w="3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Discurso de Ódio</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κ de Fleiss</w:t>
            </w:r>
          </w:p>
        </w:tc>
        <w:tc>
          <w:tcPr>
            <w:tcW w:type="dxa" w:w="23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0,753</w:t>
            </w:r>
          </w:p>
        </w:tc>
      </w:tr>
      <w:tr>
        <w:trPr>
          <w:cantSplit/>
          <w:tblHeader w:val="false"/>
        </w:trPr>
        <w:tc>
          <w:tcPr>
            <w:tcW w:type="dxa" w:w="3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Mobilização Hostil</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κ de Fleiss</w:t>
            </w:r>
          </w:p>
        </w:tc>
        <w:tc>
          <w:tcPr>
            <w:tcW w:type="dxa" w:w="23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0,731</w:t>
            </w:r>
          </w:p>
        </w:tc>
      </w:tr>
      <w:tr>
        <w:trPr>
          <w:cantSplit/>
          <w:tblHeader w:val="false"/>
        </w:trPr>
        <w:tc>
          <w:tcPr>
            <w:tcW w:type="dxa" w:w="3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Amostras aleatórias, sem lotes enriquecidos (n = 2.352)</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κ de Fleiss</w:t>
            </w:r>
          </w:p>
        </w:tc>
        <w:tc>
          <w:tcPr>
            <w:tcW w:type="dxa" w:w="23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0,717</w:t>
            </w:r>
          </w:p>
        </w:tc>
      </w:tr>
      <w:tr>
        <w:trPr>
          <w:cantSplit/>
          <w:tblHeader w:val="false"/>
        </w:trPr>
        <w:tc>
          <w:tcPr>
            <w:tcW w:type="dxa" w:w="36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Lote enriquecido por léxico (n = 91)</w:t>
            </w:r>
          </w:p>
        </w:tc>
        <w:tc>
          <w:tcPr>
            <w:tcW w:type="dxa" w:w="23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κ de Fleiss</w:t>
            </w:r>
          </w:p>
        </w:tc>
        <w:tc>
          <w:tcPr>
            <w:tcW w:type="dxa" w:w="23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0,697</w:t>
            </w:r>
          </w:p>
        </w:tc>
      </w:tr>
    </w:tbl>
    <w:p>
      <w:pPr>
        <w:spacing w:after="240" w:before="60" w:line="240"/>
        <w:jc w:val="both"/>
      </w:pPr>
      <w:r>
        <w:rPr>
          <w:rFonts w:ascii="Times New Roman" w:cs="Times New Roman" w:eastAsia="Times New Roman" w:hAnsi="Times New Roman"/>
          <w:i/>
          <w:iCs/>
          <w:sz w:val="18"/>
          <w:szCs w:val="18"/>
        </w:rPr>
        <w:t xml:space="preserve">Nota.</w:t>
      </w:r>
      <w:r>
        <w:rPr>
          <w:rFonts w:ascii="Times New Roman" w:cs="Times New Roman" w:eastAsia="Times New Roman" w:hAnsi="Times New Roman"/>
          <w:sz w:val="18"/>
          <w:szCs w:val="18"/>
        </w:rPr>
        <w:t xml:space="preserve"> O κ de Fleiss por categoria trata cada categoria contra as restantes. Valores calculados pelo script compute_pilot_kappa.py (ficheiro kappa_piloto.json).</w:t>
      </w:r>
    </w:p>
    <w:p>
      <w:pPr>
        <w:pStyle w:val="Heading2"/>
        <w:keepNext/>
        <w:keepLines/>
        <w:spacing w:after="160" w:before="360" w:line="300"/>
      </w:pPr>
      <w:r>
        <w:rPr>
          <w:rFonts w:ascii="Times New Roman" w:cs="Times New Roman" w:eastAsia="Times New Roman" w:hAnsi="Times New Roman"/>
          <w:b/>
          <w:bCs/>
          <w:sz w:val="26"/>
          <w:szCs w:val="26"/>
        </w:rPr>
        <w:t xml:space="preserve">C.4 Distribuição das etiquetas finais</w:t>
      </w:r>
    </w:p>
    <w:p>
      <w:pPr>
        <w:pStyle w:val="LegendaTabela"/>
        <w:keepNext/>
        <w:spacing w:after="80" w:before="240" w:line="240"/>
        <w:jc w:val="center"/>
      </w:pPr>
      <w:r>
        <w:rPr>
          <w:rFonts w:ascii="Times New Roman" w:cs="Times New Roman" w:eastAsia="Times New Roman" w:hAnsi="Times New Roman"/>
          <w:b/>
          <w:bCs/>
          <w:sz w:val="20"/>
          <w:szCs w:val="20"/>
        </w:rPr>
        <w:t xml:space="preserve">Tabela C.4 – Distribuição das etiquetas finais do corpus angolano</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2500"/>
        <w:gridCol w:w="2520"/>
      </w:tblGrid>
      <w:tr>
        <w:trPr>
          <w:cantSplit/>
          <w:tblHeader/>
        </w:trPr>
        <w:tc>
          <w:tcPr>
            <w:tcW w:type="dxa" w:w="32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Categoria</w:t>
            </w:r>
          </w:p>
        </w:tc>
        <w:tc>
          <w:tcPr>
            <w:tcW w:type="dxa" w:w="25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Comentários</w:t>
            </w:r>
          </w:p>
        </w:tc>
        <w:tc>
          <w:tcPr>
            <w:tcW w:type="dxa" w:w="25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Percentagem</w:t>
            </w:r>
          </w:p>
        </w:tc>
      </w:tr>
      <w:tr>
        <w:trPr>
          <w:cantSplit/>
          <w:tblHeader w:val="false"/>
        </w:trPr>
        <w:tc>
          <w:tcPr>
            <w:tcW w:type="dxa" w:w="3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Normal</w:t>
            </w:r>
          </w:p>
        </w:tc>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1.664</w:t>
            </w:r>
          </w:p>
        </w:tc>
        <w:tc>
          <w:tcPr>
            <w:tcW w:type="dxa" w:w="2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63,1%</w:t>
            </w:r>
          </w:p>
        </w:tc>
      </w:tr>
      <w:tr>
        <w:trPr>
          <w:cantSplit/>
          <w:tblHeader w:val="false"/>
        </w:trPr>
        <w:tc>
          <w:tcPr>
            <w:tcW w:type="dxa" w:w="3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Mobilização Hostil</w:t>
            </w:r>
          </w:p>
        </w:tc>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364</w:t>
            </w:r>
          </w:p>
        </w:tc>
        <w:tc>
          <w:tcPr>
            <w:tcW w:type="dxa" w:w="2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13,8%</w:t>
            </w:r>
          </w:p>
        </w:tc>
      </w:tr>
      <w:tr>
        <w:trPr>
          <w:cantSplit/>
          <w:tblHeader w:val="false"/>
        </w:trPr>
        <w:tc>
          <w:tcPr>
            <w:tcW w:type="dxa" w:w="3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Desinformação</w:t>
            </w:r>
          </w:p>
        </w:tc>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326</w:t>
            </w:r>
          </w:p>
        </w:tc>
        <w:tc>
          <w:tcPr>
            <w:tcW w:type="dxa" w:w="2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12,4%</w:t>
            </w:r>
          </w:p>
        </w:tc>
      </w:tr>
      <w:tr>
        <w:trPr>
          <w:cantSplit/>
          <w:tblHeader w:val="false"/>
        </w:trPr>
        <w:tc>
          <w:tcPr>
            <w:tcW w:type="dxa" w:w="3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Discurso de Ódio</w:t>
            </w:r>
          </w:p>
        </w:tc>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283</w:t>
            </w:r>
          </w:p>
        </w:tc>
        <w:tc>
          <w:tcPr>
            <w:tcW w:type="dxa" w:w="2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10,7%</w:t>
            </w:r>
          </w:p>
        </w:tc>
      </w:tr>
      <w:tr>
        <w:trPr>
          <w:cantSplit/>
          <w:tblHeader w:val="false"/>
        </w:trPr>
        <w:tc>
          <w:tcPr>
            <w:tcW w:type="dxa" w:w="32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Total</w:t>
            </w:r>
          </w:p>
        </w:tc>
        <w:tc>
          <w:tcPr>
            <w:tcW w:type="dxa" w:w="25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2.637</w:t>
            </w:r>
          </w:p>
        </w:tc>
        <w:tc>
          <w:tcPr>
            <w:tcW w:type="dxa" w:w="25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100%</w:t>
            </w:r>
          </w:p>
        </w:tc>
      </w:tr>
    </w:tbl>
    <w:p>
      <w:pPr>
        <w:spacing w:after="240" w:before="60" w:line="240"/>
        <w:jc w:val="both"/>
      </w:pPr>
      <w:r>
        <w:rPr>
          <w:rFonts w:ascii="Times New Roman" w:cs="Times New Roman" w:eastAsia="Times New Roman" w:hAnsi="Times New Roman"/>
          <w:i/>
          <w:iCs/>
          <w:sz w:val="18"/>
          <w:szCs w:val="18"/>
        </w:rPr>
        <w:t xml:space="preserve">Nota.</w:t>
      </w:r>
      <w:r>
        <w:rPr>
          <w:rFonts w:ascii="Times New Roman" w:cs="Times New Roman" w:eastAsia="Times New Roman" w:hAnsi="Times New Roman"/>
          <w:sz w:val="18"/>
          <w:szCs w:val="18"/>
        </w:rPr>
        <w:t xml:space="preserve"> Inclui as amostras aleatórias e os dois lotes enriquecidos, antes da deduplicação feita na harmonização do corpus.</w:t>
      </w:r>
    </w:p>
    <w:p>
      <w:pPr>
        <w:sectPr>
          <w:headerReference w:type="default" r:id="rId31"/>
          <w:footerReference w:type="default" r:id="rId32"/>
          <w:type w:val="nextPage"/>
          <w:pgSz w:w="11906" w:h="16838" w:orient="portrait"/>
          <w:pgMar w:top="1701" w:right="1701" w:bottom="1417" w:left="1984" w:header="850" w:footer="567" w:gutter="0"/>
          <w:pgNumType w:start="1" w:fmt="decimal"/>
          <w:docGrid w:linePitch="360"/>
        </w:sectPr>
      </w:pPr>
    </w:p>
    <w:p>
      <w:pPr>
        <w:pStyle w:val="Heading1"/>
        <w:spacing w:after="480" w:before="567"/>
        <w:jc w:val="left"/>
      </w:pPr>
      <w:r>
        <w:rPr>
          <w:rFonts w:ascii="Times New Roman" w:cs="Times New Roman" w:eastAsia="Times New Roman" w:hAnsi="Times New Roman"/>
          <w:b/>
          <w:bCs/>
          <w:sz w:val="28"/>
          <w:szCs w:val="28"/>
        </w:rPr>
        <w:t xml:space="preserve">APÊNDICE D – DECLARAÇÃO DE CONSENTIMENTO E CONFIDENCIALIDADE DOS ANOTADORES</w:t>
      </w:r>
    </w:p>
    <w:p>
      <w:pPr>
        <w:spacing w:after="120" w:before="0" w:line="360"/>
        <w:ind w:firstLine="567"/>
        <w:jc w:val="both"/>
      </w:pPr>
      <w:r>
        <w:rPr>
          <w:rFonts w:ascii="Times New Roman" w:cs="Times New Roman" w:eastAsia="Times New Roman" w:hAnsi="Times New Roman"/>
          <w:sz w:val="24"/>
          <w:szCs w:val="24"/>
        </w:rPr>
        <w:t xml:space="preserve">Esta declaração foi assinada por cada anotador antes do início da anotação.</w:t>
      </w:r>
    </w:p>
    <w:p>
      <w:pPr>
        <w:spacing w:after="120" w:before="0" w:line="360"/>
        <w:jc w:val="both"/>
      </w:pPr>
      <w:r>
        <w:rPr>
          <w:rFonts w:ascii="Times New Roman" w:cs="Times New Roman" w:eastAsia="Times New Roman" w:hAnsi="Times New Roman"/>
          <w:sz w:val="24"/>
          <w:szCs w:val="24"/>
        </w:rPr>
        <w:t xml:space="preserve">Eu, abaixo assinado(a), declaro que: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Fui informado(a) sobre os objectivos, a metodologia e a finalidade da investigação «Monitoramento inteligente de ameaças em redes sociais em Angola para o apoio à defesa e segurança nacional», conduzida por Manuel Gonga Muinga na Universidade Agostinho Neto.</w:t>
      </w:r>
    </w:p>
    <w:p>
      <w:pPr>
        <w:pStyle w:val="ListParagraph"/>
        <w:numPr>
          <w:ilvl w:val="0"/>
          <w:numId w:val="2"/>
        </w:numPr>
        <w:spacing w:after="60" w:line="360"/>
        <w:jc w:val="both"/>
      </w:pPr>
      <w:r>
        <w:rPr>
          <w:rFonts w:ascii="Times New Roman" w:cs="Times New Roman" w:eastAsia="Times New Roman" w:hAnsi="Times New Roman"/>
          <w:sz w:val="24"/>
          <w:szCs w:val="24"/>
        </w:rPr>
        <w:t xml:space="preserve">Participo voluntariamente como anotador(a), sem remuneração, e posso retirar o meu consentimento a qualquer momento sem penalização.</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 minha função consiste em classificar comentários de redes sociais em quatro categorias, seguindo o Guia de Anotação (Apêndice B), de forma independente.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Comprometo-me a manter a confidencialidade do conteúdo analisado e a não o usar para outro fim.</w:t>
      </w:r>
    </w:p>
    <w:p>
      <w:pPr>
        <w:pStyle w:val="ListParagraph"/>
        <w:numPr>
          <w:ilvl w:val="0"/>
          <w:numId w:val="2"/>
        </w:numPr>
        <w:spacing w:after="60" w:line="360"/>
        <w:jc w:val="both"/>
      </w:pPr>
      <w:r>
        <w:rPr>
          <w:rFonts w:ascii="Times New Roman" w:cs="Times New Roman" w:eastAsia="Times New Roman" w:hAnsi="Times New Roman"/>
          <w:sz w:val="24"/>
          <w:szCs w:val="24"/>
        </w:rPr>
        <w:t xml:space="preserve">Não tenho conflitos de interesses com o investigador nem com os temas analisados.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Autorizo o uso das minhas anotações para fins exclusivamente académicos e científicos, sem identificação nominal nos resultados publicados.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Fui informado(a) de que os meus dados pessoais (nome e assinatura) serão tratados de forma confidencial, nos termos da Lei n.º 22/11, de 17 de Junho.</w:t>
      </w:r>
    </w:p>
    <w:p>
      <w:r>
        <w:rPr>
          <w:rFonts w:ascii="Times New Roman" w:cs="Times New Roman" w:eastAsia="Times New Roman" w:hAnsi="Times New Roman"/>
        </w:rPr>
        <w:t xml:space="preserve"/>
      </w:r>
    </w:p>
    <w:p>
      <w:pPr>
        <w:spacing w:after="120" w:before="0" w:line="360"/>
        <w:jc w:val="both"/>
      </w:pPr>
      <w:r>
        <w:rPr>
          <w:rFonts w:ascii="Times New Roman" w:cs="Times New Roman" w:eastAsia="Times New Roman" w:hAnsi="Times New Roman"/>
          <w:sz w:val="24"/>
          <w:szCs w:val="24"/>
        </w:rPr>
        <w:t xml:space="preserve">Luanda, ____ de ________________ de 2026</w:t>
      </w:r>
    </w:p>
    <w:p>
      <w:r>
        <w:rPr>
          <w:rFonts w:ascii="Times New Roman" w:cs="Times New Roman" w:eastAsia="Times New Roman" w:hAnsi="Times New Roman"/>
        </w:rPr>
        <w:t xml:space="preserve"/>
      </w:r>
    </w:p>
    <w:p>
      <w:pPr>
        <w:spacing w:after="120" w:before="0" w:line="360"/>
        <w:jc w:val="both"/>
      </w:pPr>
      <w:r>
        <w:rPr>
          <w:rFonts w:ascii="Times New Roman" w:cs="Times New Roman" w:eastAsia="Times New Roman" w:hAnsi="Times New Roman"/>
          <w:sz w:val="24"/>
          <w:szCs w:val="24"/>
        </w:rPr>
        <w:t xml:space="preserve">Nome do(a) anotador(a): ____________________________________________</w:t>
      </w:r>
    </w:p>
    <w:p>
      <w:pPr>
        <w:spacing w:after="120" w:before="0" w:line="360"/>
        <w:jc w:val="both"/>
      </w:pPr>
      <w:r>
        <w:rPr>
          <w:rFonts w:ascii="Times New Roman" w:cs="Times New Roman" w:eastAsia="Times New Roman" w:hAnsi="Times New Roman"/>
          <w:sz w:val="24"/>
          <w:szCs w:val="24"/>
        </w:rPr>
        <w:t xml:space="preserve">Assinatura: ______________________________________________________</w:t>
      </w:r>
    </w:p>
    <w:p>
      <w:pPr>
        <w:spacing w:after="120" w:before="0" w:line="360"/>
        <w:jc w:val="both"/>
      </w:pPr>
      <w:r>
        <w:rPr>
          <w:rFonts w:ascii="Times New Roman" w:cs="Times New Roman" w:eastAsia="Times New Roman" w:hAnsi="Times New Roman"/>
          <w:sz w:val="24"/>
          <w:szCs w:val="24"/>
        </w:rPr>
        <w:t xml:space="preserve">Investigador principal: Manuel Gonga Muinga  ________________________</w:t>
      </w:r>
    </w:p>
    <w:p>
      <w:pPr>
        <w:sectPr>
          <w:headerReference w:type="default" r:id="rId33"/>
          <w:footerReference w:type="default" r:id="rId34"/>
          <w:type w:val="nextPage"/>
          <w:pgSz w:w="11906" w:h="16838" w:orient="portrait"/>
          <w:pgMar w:top="1701" w:right="1701" w:bottom="1417" w:left="1984" w:header="850" w:footer="567" w:gutter="0"/>
          <w:pgNumType w:start="1" w:fmt="decimal"/>
          <w:docGrid w:linePitch="360"/>
        </w:sectPr>
      </w:pPr>
    </w:p>
    <w:p>
      <w:pPr>
        <w:pStyle w:val="Heading1"/>
        <w:spacing w:after="480" w:before="567"/>
        <w:jc w:val="left"/>
      </w:pPr>
      <w:r>
        <w:rPr>
          <w:rFonts w:ascii="Times New Roman" w:cs="Times New Roman" w:eastAsia="Times New Roman" w:hAnsi="Times New Roman"/>
          <w:b/>
          <w:bCs/>
          <w:sz w:val="28"/>
          <w:szCs w:val="28"/>
        </w:rPr>
        <w:t xml:space="preserve">APÊNDICE E – AMOSTRA ANOTADA DO CORPUS</w:t>
      </w:r>
    </w:p>
    <w:p>
      <w:pPr>
        <w:spacing w:after="120" w:before="0" w:line="360"/>
        <w:ind w:firstLine="567"/>
        <w:jc w:val="both"/>
      </w:pPr>
      <w:r>
        <w:rPr>
          <w:rFonts w:ascii="Times New Roman" w:cs="Times New Roman" w:eastAsia="Times New Roman" w:hAnsi="Times New Roman"/>
          <w:sz w:val="24"/>
          <w:szCs w:val="24"/>
        </w:rPr>
        <w:t xml:space="preserve">Este apêndice apresenta 20 comentários reais do corpus angolano, com as anotações individuais e a etiqueta final. A amostra foi extraída do ficheiro corpus_ground_truth_com_texto_v13.csv por sorteio com semente fixa (42), cinco comentários por categoria, entre os comentários de YouTube das amostras aleatórias cuja etiqueta final coincide com a maioria dos anotadores. Ficaram de fora as publicações de imprensa e de organizações e os lotes enriquecidos. Os textos mantêm a grafia original. Os nomes de pessoas foram substituídos por descritores entre parênteses rectos, e os comentários longos foram reduzidos ao trecho relevante, assinalado com (…).</w:t>
      </w:r>
    </w:p>
    <w:p>
      <w:pPr>
        <w:pStyle w:val="LegendaTabela"/>
        <w:keepNext/>
        <w:spacing w:after="80" w:before="240" w:line="240"/>
        <w:jc w:val="center"/>
      </w:pPr>
      <w:r>
        <w:rPr>
          <w:rFonts w:ascii="Times New Roman" w:cs="Times New Roman" w:eastAsia="Times New Roman" w:hAnsi="Times New Roman"/>
          <w:b/>
          <w:bCs/>
          <w:sz w:val="20"/>
          <w:szCs w:val="20"/>
        </w:rPr>
        <w:t xml:space="preserve">Tabela E.1 – Amostra de comentários anotados</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500"/>
        <w:gridCol w:w="4120"/>
        <w:gridCol w:w="520"/>
        <w:gridCol w:w="520"/>
        <w:gridCol w:w="520"/>
        <w:gridCol w:w="900"/>
        <w:gridCol w:w="1140"/>
      </w:tblGrid>
      <w:tr>
        <w:trPr>
          <w:cantSplit/>
          <w:tblHeader/>
        </w:trPr>
        <w:tc>
          <w:tcPr>
            <w:tcW w:type="dxa" w:w="5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N.º</w:t>
            </w:r>
          </w:p>
        </w:tc>
        <w:tc>
          <w:tcPr>
            <w:tcW w:type="dxa" w:w="41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Excerto (anonimizado)</w:t>
            </w:r>
          </w:p>
        </w:tc>
        <w:tc>
          <w:tcPr>
            <w:tcW w:type="dxa" w:w="5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A</w:t>
            </w:r>
          </w:p>
        </w:tc>
        <w:tc>
          <w:tcPr>
            <w:tcW w:type="dxa" w:w="5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B</w:t>
            </w:r>
          </w:p>
        </w:tc>
        <w:tc>
          <w:tcPr>
            <w:tcW w:type="dxa" w:w="5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C</w:t>
            </w:r>
          </w:p>
        </w:tc>
        <w:tc>
          <w:tcPr>
            <w:tcW w:type="dxa" w:w="9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Final</w:t>
            </w:r>
          </w:p>
        </w:tc>
        <w:tc>
          <w:tcPr>
            <w:tcW w:type="dxa" w:w="114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Unânime</w:t>
            </w:r>
          </w:p>
        </w:tc>
      </w:tr>
      <w:tr>
        <w:trPr>
          <w:cantSplit/>
          <w:tblHeader w:val="false"/>
        </w:trPr>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Mesmo no Brasil 🇧🇷 creio que são piores</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w:t>
            </w:r>
          </w:p>
        </w:tc>
        <w:tc>
          <w:tcPr>
            <w:tcW w:type="dxa" w:w="114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Sim</w:t>
            </w:r>
          </w:p>
        </w:tc>
      </w:tr>
      <w:tr>
        <w:trPr>
          <w:cantSplit/>
          <w:tblHeader w:val="false"/>
        </w:trPr>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2</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Minha Angola 😔😔</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w:t>
            </w:r>
          </w:p>
        </w:tc>
        <w:tc>
          <w:tcPr>
            <w:tcW w:type="dxa" w:w="114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Sim</w:t>
            </w:r>
          </w:p>
        </w:tc>
      </w:tr>
      <w:tr>
        <w:trPr>
          <w:cantSplit/>
          <w:tblHeader w:val="false"/>
        </w:trPr>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3</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Meu Deus do céu como pode uma pessoa se aproveitar da pobreza dos outros</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w:t>
            </w:r>
          </w:p>
        </w:tc>
        <w:tc>
          <w:tcPr>
            <w:tcW w:type="dxa" w:w="114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Sim</w:t>
            </w:r>
          </w:p>
        </w:tc>
      </w:tr>
      <w:tr>
        <w:trPr>
          <w:cantSplit/>
          <w:tblHeader w:val="false"/>
        </w:trPr>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4</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Máximo respeito Gangster.</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w:t>
            </w:r>
          </w:p>
        </w:tc>
        <w:tc>
          <w:tcPr>
            <w:tcW w:type="dxa" w:w="114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Sim</w:t>
            </w:r>
          </w:p>
        </w:tc>
      </w:tr>
      <w:tr>
        <w:trPr>
          <w:cantSplit/>
          <w:tblHeader w:val="false"/>
        </w:trPr>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5</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Axo muito bem força mano deus esta com nosco, nao tenha medo</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w:t>
            </w:r>
          </w:p>
        </w:tc>
        <w:tc>
          <w:tcPr>
            <w:tcW w:type="dxa" w:w="114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Sim</w:t>
            </w:r>
          </w:p>
        </w:tc>
      </w:tr>
      <w:tr>
        <w:trPr>
          <w:cantSplit/>
          <w:tblHeader w:val="false"/>
        </w:trPr>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6</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E [pessoa referida]? Laranjas e chocolates, e uma mansão de 6 milhões comprada em plena pandemia.</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D</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D</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D</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D</w:t>
            </w:r>
          </w:p>
        </w:tc>
        <w:tc>
          <w:tcPr>
            <w:tcW w:type="dxa" w:w="114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Sim</w:t>
            </w:r>
          </w:p>
        </w:tc>
      </w:tr>
      <w:tr>
        <w:trPr>
          <w:cantSplit/>
          <w:tblHeader w:val="false"/>
        </w:trPr>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7</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Só Deus para nós livrar das garras desses senhores que se intitulam donos de Angola e de todos os recursos que existe neste País. Verdade bem dita.</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D</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D</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D</w:t>
            </w:r>
          </w:p>
        </w:tc>
        <w:tc>
          <w:tcPr>
            <w:tcW w:type="dxa" w:w="114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Não</w:t>
            </w:r>
          </w:p>
        </w:tc>
      </w:tr>
      <w:tr>
        <w:trPr>
          <w:cantSplit/>
          <w:tblHeader w:val="false"/>
        </w:trPr>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8</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 isso cá no meu país é proibido passar em órgãos públicos! Eu garanto que o Mplá é a máfia mais perigosa do mundo (…)</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D</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D</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D</w:t>
            </w:r>
          </w:p>
        </w:tc>
        <w:tc>
          <w:tcPr>
            <w:tcW w:type="dxa" w:w="114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Não</w:t>
            </w:r>
          </w:p>
        </w:tc>
      </w:tr>
      <w:tr>
        <w:trPr>
          <w:cantSplit/>
          <w:tblHeader w:val="false"/>
        </w:trPr>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9</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[político brasileiro] deu palestra e ganhou meio milhão. Seu sobrinho faturou legal tb.</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D</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D</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D</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D</w:t>
            </w:r>
          </w:p>
        </w:tc>
        <w:tc>
          <w:tcPr>
            <w:tcW w:type="dxa" w:w="114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Sim</w:t>
            </w:r>
          </w:p>
        </w:tc>
      </w:tr>
      <w:tr>
        <w:trPr>
          <w:cantSplit/>
          <w:tblHeader w:val="false"/>
        </w:trPr>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10</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Essa reportagem é encomendada por [líder religioso] e a Universal. A Universal está nesse momento sendo expulsa de Angola, por conta de crimes cometidos e por conta (…)</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D</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D</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D</w:t>
            </w:r>
          </w:p>
        </w:tc>
        <w:tc>
          <w:tcPr>
            <w:tcW w:type="dxa" w:w="114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Não</w:t>
            </w:r>
          </w:p>
        </w:tc>
      </w:tr>
      <w:tr>
        <w:trPr>
          <w:cantSplit/>
          <w:tblHeader w:val="false"/>
        </w:trPr>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11</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GOVERNO DE ESQUERDA É MARAVILHOSO QUE O DIGA O DIGA O POVO VENEZUELANO E NORTE COREANO!!!!!🤣🤣🤣🤣🤣🤣🤣🤣🤣🤣🤣🤣</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O</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O</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O</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O</w:t>
            </w:r>
          </w:p>
        </w:tc>
        <w:tc>
          <w:tcPr>
            <w:tcW w:type="dxa" w:w="114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Sim</w:t>
            </w:r>
          </w:p>
        </w:tc>
      </w:tr>
      <w:tr>
        <w:trPr>
          <w:cantSplit/>
          <w:tblHeader w:val="false"/>
        </w:trPr>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12</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O</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O</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O</w:t>
            </w:r>
          </w:p>
        </w:tc>
        <w:tc>
          <w:tcPr>
            <w:tcW w:type="dxa" w:w="114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Não</w:t>
            </w:r>
          </w:p>
        </w:tc>
      </w:tr>
      <w:tr>
        <w:trPr>
          <w:cantSplit/>
          <w:tblHeader w:val="false"/>
        </w:trPr>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13</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 o povo angolano anda muito atrasado pois mesmo se apercebendo duq tem acontecido ñ faz nada contra a causa' apenas obcerva a sua própria destruição por parte dos dirigentes pa p#t@ do país. (…)</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O</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O</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O</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O</w:t>
            </w:r>
          </w:p>
        </w:tc>
        <w:tc>
          <w:tcPr>
            <w:tcW w:type="dxa" w:w="114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Sim</w:t>
            </w:r>
          </w:p>
        </w:tc>
      </w:tr>
      <w:tr>
        <w:trPr>
          <w:cantSplit/>
          <w:tblHeader w:val="false"/>
        </w:trPr>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14</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Nada justifica o que??? É medo que você tem de apoiar o povo. Tem sim uma justificativa 💔 deixa disso homem do MPLA</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O</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O</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O</w:t>
            </w:r>
          </w:p>
        </w:tc>
        <w:tc>
          <w:tcPr>
            <w:tcW w:type="dxa" w:w="114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Não</w:t>
            </w:r>
          </w:p>
        </w:tc>
      </w:tr>
      <w:tr>
        <w:trPr>
          <w:cantSplit/>
          <w:tblHeader w:val="false"/>
        </w:trPr>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15</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Mano essa currupcao será difícil acaba cm MPLA n poder</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O</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O</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D</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O</w:t>
            </w:r>
          </w:p>
        </w:tc>
        <w:tc>
          <w:tcPr>
            <w:tcW w:type="dxa" w:w="114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Não</w:t>
            </w:r>
          </w:p>
        </w:tc>
      </w:tr>
      <w:tr>
        <w:trPr>
          <w:cantSplit/>
          <w:tblHeader w:val="false"/>
        </w:trPr>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16</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Força vamos libertar o país</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M</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M</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M</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M</w:t>
            </w:r>
          </w:p>
        </w:tc>
        <w:tc>
          <w:tcPr>
            <w:tcW w:type="dxa" w:w="114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Sim</w:t>
            </w:r>
          </w:p>
        </w:tc>
      </w:tr>
      <w:tr>
        <w:trPr>
          <w:cantSplit/>
          <w:tblHeader w:val="false"/>
        </w:trPr>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17</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O povo no puder. Viva povo de Angola. 😂😂😂</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M</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M</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M</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M</w:t>
            </w:r>
          </w:p>
        </w:tc>
        <w:tc>
          <w:tcPr>
            <w:tcW w:type="dxa" w:w="114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Sim</w:t>
            </w:r>
          </w:p>
        </w:tc>
      </w:tr>
      <w:tr>
        <w:trPr>
          <w:cantSplit/>
          <w:tblHeader w:val="false"/>
        </w:trPr>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18</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Os fins justificam os meios... Estou orgulhoso de vocês 👌🏾</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M</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M</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D</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M</w:t>
            </w:r>
          </w:p>
        </w:tc>
        <w:tc>
          <w:tcPr>
            <w:tcW w:type="dxa" w:w="114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Não</w:t>
            </w:r>
          </w:p>
        </w:tc>
      </w:tr>
      <w:tr>
        <w:trPr>
          <w:cantSplit/>
          <w:tblHeader w:val="false"/>
        </w:trPr>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19</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Está faltar chegarmos até aos condomínios 👌 eles moram lá 👆🤔😏🙄</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M</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M</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M</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M</w:t>
            </w:r>
          </w:p>
        </w:tc>
        <w:tc>
          <w:tcPr>
            <w:tcW w:type="dxa" w:w="114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Sim</w:t>
            </w:r>
          </w:p>
        </w:tc>
      </w:tr>
      <w:tr>
        <w:trPr>
          <w:cantSplit/>
          <w:tblHeader w:val="false"/>
        </w:trPr>
        <w:tc>
          <w:tcPr>
            <w:tcW w:type="dxa" w:w="5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20</w:t>
            </w:r>
          </w:p>
        </w:tc>
        <w:tc>
          <w:tcPr>
            <w:tcW w:type="dxa" w:w="41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O POVO É QUE SE UNEM E VÃO NO PALÁCIO..E NÃO CULPO ESTE POVO SOFREDOR E ABANDONADO 😢</w:t>
            </w:r>
          </w:p>
        </w:tc>
        <w:tc>
          <w:tcPr>
            <w:tcW w:type="dxa" w:w="5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M</w:t>
            </w:r>
          </w:p>
        </w:tc>
        <w:tc>
          <w:tcPr>
            <w:tcW w:type="dxa" w:w="5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M</w:t>
            </w:r>
          </w:p>
        </w:tc>
        <w:tc>
          <w:tcPr>
            <w:tcW w:type="dxa" w:w="5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M</w:t>
            </w:r>
          </w:p>
        </w:tc>
        <w:tc>
          <w:tcPr>
            <w:tcW w:type="dxa" w:w="9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M</w:t>
            </w:r>
          </w:p>
        </w:tc>
        <w:tc>
          <w:tcPr>
            <w:tcW w:type="dxa" w:w="114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Sim</w:t>
            </w:r>
          </w:p>
        </w:tc>
      </w:tr>
    </w:tbl>
    <w:p>
      <w:pPr>
        <w:spacing w:after="240" w:before="60" w:line="240"/>
        <w:jc w:val="both"/>
      </w:pPr>
      <w:r>
        <w:rPr>
          <w:rFonts w:ascii="Times New Roman" w:cs="Times New Roman" w:eastAsia="Times New Roman" w:hAnsi="Times New Roman"/>
          <w:i/>
          <w:iCs/>
          <w:sz w:val="18"/>
          <w:szCs w:val="18"/>
        </w:rPr>
        <w:t xml:space="preserve">Nota.</w:t>
      </w:r>
      <w:r>
        <w:rPr>
          <w:rFonts w:ascii="Times New Roman" w:cs="Times New Roman" w:eastAsia="Times New Roman" w:hAnsi="Times New Roman"/>
          <w:sz w:val="18"/>
          <w:szCs w:val="18"/>
        </w:rPr>
        <w:t xml:space="preserve"> N = Normal; D = Desinformação; O = Discurso de Ódio; M = Mobilização Hostil. A amostra não foi escolhida para ilustrar casos claros, e mostra também o ruído da anotação: o comentário 12, composto apenas por emojis, recebeu a etiqueta Discurso de Ódio de dois anotadores, e o 11 é sarcasmo político, de fronteira discutível com a categoria Normal. Casos como estes ajudam a explicar o κ substancial, mas não quase perfeito, do Apêndice C.</w:t>
      </w:r>
    </w:p>
    <w:p>
      <w:pPr>
        <w:sectPr>
          <w:headerReference w:type="default" r:id="rId35"/>
          <w:footerReference w:type="default" r:id="rId36"/>
          <w:type w:val="nextPage"/>
          <w:pgSz w:w="11906" w:h="16838" w:orient="portrait"/>
          <w:pgMar w:top="1701" w:right="1701" w:bottom="1417" w:left="1984" w:header="850" w:footer="567" w:gutter="0"/>
          <w:pgNumType w:start="1" w:fmt="decimal"/>
          <w:docGrid w:linePitch="360"/>
        </w:sectPr>
      </w:pPr>
    </w:p>
    <w:p>
      <w:pPr>
        <w:pStyle w:val="Heading1"/>
        <w:spacing w:after="480" w:before="567"/>
        <w:jc w:val="left"/>
      </w:pPr>
      <w:r>
        <w:rPr>
          <w:rFonts w:ascii="Times New Roman" w:cs="Times New Roman" w:eastAsia="Times New Roman" w:hAnsi="Times New Roman"/>
          <w:b/>
          <w:bCs/>
          <w:sz w:val="28"/>
          <w:szCs w:val="28"/>
        </w:rPr>
        <w:t xml:space="preserve">APÊNDICE F – MANUAL DE INSTALAÇÃO E UTILIZAÇÃO DO SISTEMA</w:t>
      </w:r>
    </w:p>
    <w:p>
      <w:pPr>
        <w:spacing w:after="120" w:before="0" w:line="360"/>
        <w:ind w:firstLine="567"/>
        <w:jc w:val="both"/>
      </w:pPr>
      <w:r>
        <w:rPr>
          <w:rFonts w:ascii="Times New Roman" w:cs="Times New Roman" w:eastAsia="Times New Roman" w:hAnsi="Times New Roman"/>
          <w:sz w:val="24"/>
          <w:szCs w:val="24"/>
        </w:rPr>
        <w:t xml:space="preserve">O sistema está na pasta sistema_uan do repositório do projecto. Os comandos seguintes destinam-se à linha de comandos do Windows (cmd), executados nessa pasta.</w:t>
      </w:r>
    </w:p>
    <w:p>
      <w:pPr>
        <w:pStyle w:val="Heading2"/>
        <w:keepNext/>
        <w:keepLines/>
        <w:spacing w:after="160" w:before="360" w:line="300"/>
      </w:pPr>
      <w:r>
        <w:rPr>
          <w:rFonts w:ascii="Times New Roman" w:cs="Times New Roman" w:eastAsia="Times New Roman" w:hAnsi="Times New Roman"/>
          <w:b/>
          <w:bCs/>
          <w:sz w:val="26"/>
          <w:szCs w:val="26"/>
        </w:rPr>
        <w:t xml:space="preserve">F.1 Instalação</w:t>
      </w:r>
    </w:p>
    <w:p>
      <w:pPr>
        <w:shd w:fill="F4F3EF" w:color="auto" w:val="clear"/>
        <w:spacing w:after="0" w:before="120" w:line="220"/>
        <w:ind w:left="113" w:right="113"/>
      </w:pPr>
      <w:r>
        <w:rPr>
          <w:rFonts w:ascii="Courier New" w:cs="Courier New" w:eastAsia="Courier New" w:hAnsi="Courier New"/>
          <w:sz w:val="17"/>
          <w:szCs w:val="17"/>
        </w:rPr>
        <w:t xml:space="preserve">python -m pip install -r requirements.txt</w:t>
      </w:r>
    </w:p>
    <w:p>
      <w:pPr>
        <w:shd w:fill="F4F3EF" w:color="auto" w:val="clear"/>
        <w:spacing w:after="200" w:before="0" w:line="220"/>
        <w:ind w:left="113" w:right="113"/>
      </w:pPr>
      <w:r>
        <w:rPr>
          <w:rFonts w:ascii="Courier New" w:cs="Courier New" w:eastAsia="Courier New" w:hAnsi="Courier New"/>
          <w:sz w:val="17"/>
          <w:szCs w:val="17"/>
        </w:rPr>
        <w:t xml:space="preserve">python -m pytest -q</w:t>
      </w:r>
    </w:p>
    <w:p>
      <w:pPr>
        <w:pStyle w:val="Heading2"/>
        <w:keepNext/>
        <w:keepLines/>
        <w:spacing w:after="160" w:before="360" w:line="300"/>
      </w:pPr>
      <w:r>
        <w:rPr>
          <w:rFonts w:ascii="Times New Roman" w:cs="Times New Roman" w:eastAsia="Times New Roman" w:hAnsi="Times New Roman"/>
          <w:b/>
          <w:bCs/>
          <w:sz w:val="26"/>
          <w:szCs w:val="26"/>
        </w:rPr>
        <w:t xml:space="preserve">F.2 Configuração</w:t>
      </w:r>
    </w:p>
    <w:p>
      <w:pPr>
        <w:spacing w:after="120" w:before="0" w:line="360"/>
        <w:ind w:firstLine="567"/>
        <w:jc w:val="both"/>
      </w:pPr>
      <w:r>
        <w:rPr>
          <w:rFonts w:ascii="Times New Roman" w:cs="Times New Roman" w:eastAsia="Times New Roman" w:hAnsi="Times New Roman"/>
          <w:sz w:val="24"/>
          <w:szCs w:val="24"/>
        </w:rPr>
        <w:t xml:space="preserve">O sistema lê a configuração do ficheiro uan.env, na pasta do sistema, que se cria a partir de uan.env.exemplo e nunca é guardado no repositório. As duas variáveis essenciais são a pasta do modelo e o segredo dos pseudónimos:</w:t>
      </w:r>
    </w:p>
    <w:p>
      <w:pPr>
        <w:shd w:fill="F4F3EF" w:color="auto" w:val="clear"/>
        <w:spacing w:after="0" w:before="120" w:line="220"/>
        <w:ind w:left="113" w:right="113"/>
      </w:pPr>
      <w:r>
        <w:rPr>
          <w:rFonts w:ascii="Courier New" w:cs="Courier New" w:eastAsia="Courier New" w:hAnsi="Courier New"/>
          <w:sz w:val="17"/>
          <w:szCs w:val="17"/>
        </w:rPr>
        <w:t xml:space="preserve">UAN_MODELO=C:\modelos\bertimbau_uan_v13_s42</w:t>
      </w:r>
    </w:p>
    <w:p>
      <w:pPr>
        <w:shd w:fill="F4F3EF" w:color="auto" w:val="clear"/>
        <w:spacing w:after="200" w:before="0" w:line="220"/>
        <w:ind w:left="113" w:right="113"/>
      </w:pPr>
      <w:r>
        <w:rPr>
          <w:rFonts w:ascii="Courier New" w:cs="Courier New" w:eastAsia="Courier New" w:hAnsi="Courier New"/>
          <w:sz w:val="17"/>
          <w:szCs w:val="17"/>
        </w:rPr>
        <w:t xml:space="preserve">UAN_SEGREDO_HASH=frase-secreta-longa</w:t>
      </w:r>
    </w:p>
    <w:p>
      <w:pPr>
        <w:pStyle w:val="LegendaTabela"/>
        <w:keepNext/>
        <w:spacing w:after="80" w:before="240" w:line="240"/>
        <w:jc w:val="center"/>
      </w:pPr>
      <w:r>
        <w:rPr>
          <w:rFonts w:ascii="Times New Roman" w:cs="Times New Roman" w:eastAsia="Times New Roman" w:hAnsi="Times New Roman"/>
          <w:b/>
          <w:bCs/>
          <w:sz w:val="20"/>
          <w:szCs w:val="20"/>
        </w:rPr>
        <w:t xml:space="preserve">Tabela F.1 – Variáveis de configuração</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3920"/>
      </w:tblGrid>
      <w:tr>
        <w:trPr>
          <w:cantSplit/>
          <w:tblHeader/>
        </w:trPr>
        <w:tc>
          <w:tcPr>
            <w:tcW w:type="dxa" w:w="24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Variável</w:t>
            </w:r>
          </w:p>
        </w:tc>
        <w:tc>
          <w:tcPr>
            <w:tcW w:type="dxa" w:w="19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Valor por omissão</w:t>
            </w:r>
          </w:p>
        </w:tc>
        <w:tc>
          <w:tcPr>
            <w:tcW w:type="dxa" w:w="39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Significado</w:t>
            </w:r>
          </w:p>
        </w:tc>
      </w:tr>
      <w:tr>
        <w:trPr>
          <w:cantSplit/>
          <w:tblHeader w:val="false"/>
        </w:trPr>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UAN_MODELO</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(vazio)</w:t>
            </w:r>
          </w:p>
        </w:tc>
        <w:tc>
          <w:tcPr>
            <w:tcW w:type="dxa" w:w="39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Pasta do modelo; vazio activa o classificador de demonstração</w:t>
            </w:r>
          </w:p>
        </w:tc>
      </w:tr>
      <w:tr>
        <w:trPr>
          <w:cantSplit/>
          <w:tblHeader w:val="false"/>
        </w:trPr>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UAN_SEGREDO_HASH</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(vazio)</w:t>
            </w:r>
          </w:p>
        </w:tc>
        <w:tc>
          <w:tcPr>
            <w:tcW w:type="dxa" w:w="39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Segredo do pseudónimo dos autores; obrigatório para importar</w:t>
            </w:r>
          </w:p>
        </w:tc>
      </w:tr>
      <w:tr>
        <w:trPr>
          <w:cantSplit/>
          <w:tblHeader w:val="false"/>
        </w:trPr>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UAN_CHAVE_API</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(vazio)</w:t>
            </w:r>
          </w:p>
        </w:tc>
        <w:tc>
          <w:tcPr>
            <w:tcW w:type="dxa" w:w="39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Chave da interface de programação em /api; vazio desactiva-a</w:t>
            </w:r>
          </w:p>
        </w:tc>
      </w:tr>
      <w:tr>
        <w:trPr>
          <w:cantSplit/>
          <w:tblHeader w:val="false"/>
        </w:trPr>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UAN_BD</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dados\sistema.db</w:t>
            </w:r>
          </w:p>
        </w:tc>
        <w:tc>
          <w:tcPr>
            <w:tcW w:type="dxa" w:w="39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Ficheiro da base de dados</w:t>
            </w:r>
          </w:p>
        </w:tc>
      </w:tr>
      <w:tr>
        <w:trPr>
          <w:cantSplit/>
          <w:tblHeader w:val="false"/>
        </w:trPr>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UAN_MAX_LENGTH</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256</w:t>
            </w:r>
          </w:p>
        </w:tc>
        <w:tc>
          <w:tcPr>
            <w:tcW w:type="dxa" w:w="39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Comprimento máximo em subpalavras (igual ao do treino)</w:t>
            </w:r>
          </w:p>
        </w:tc>
      </w:tr>
      <w:tr>
        <w:trPr>
          <w:cantSplit/>
          <w:tblHeader w:val="false"/>
        </w:trPr>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UAN_LOTE</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32</w:t>
            </w:r>
          </w:p>
        </w:tc>
        <w:tc>
          <w:tcPr>
            <w:tcW w:type="dxa" w:w="39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Lote de inferência e sublote de gravação</w:t>
            </w:r>
          </w:p>
        </w:tc>
      </w:tr>
      <w:tr>
        <w:trPr>
          <w:cantSplit/>
          <w:tblHeader w:val="false"/>
        </w:trPr>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UAN_DISPOSITIVO</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auto</w:t>
            </w:r>
          </w:p>
        </w:tc>
        <w:tc>
          <w:tcPr>
            <w:tcW w:type="dxa" w:w="39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cpu, cuda ou auto</w:t>
            </w:r>
          </w:p>
        </w:tc>
      </w:tr>
      <w:tr>
        <w:trPr>
          <w:cantSplit/>
          <w:tblHeader w:val="false"/>
        </w:trPr>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UAN_DIAS_CONSERVACAO</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180</w:t>
            </w:r>
          </w:p>
        </w:tc>
        <w:tc>
          <w:tcPr>
            <w:tcW w:type="dxa" w:w="39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Prazo de conservação das publicações não revistas</w:t>
            </w:r>
          </w:p>
        </w:tc>
      </w:tr>
      <w:tr>
        <w:trPr>
          <w:cantSplit/>
          <w:tblHeader w:val="false"/>
        </w:trPr>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UAN_HORAS_SESSAO</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8</w:t>
            </w:r>
          </w:p>
        </w:tc>
        <w:tc>
          <w:tcPr>
            <w:tcW w:type="dxa" w:w="39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Duração da sessão na aplicação web</w:t>
            </w:r>
          </w:p>
        </w:tc>
      </w:tr>
      <w:tr>
        <w:trPr>
          <w:cantSplit/>
          <w:tblHeader w:val="false"/>
        </w:trPr>
        <w:tc>
          <w:tcPr>
            <w:tcW w:type="dxa" w:w="24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UAN_COOKIE_SEGURO</w:t>
            </w:r>
          </w:p>
        </w:tc>
        <w:tc>
          <w:tcPr>
            <w:tcW w:type="dxa" w:w="19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0</w:t>
            </w:r>
          </w:p>
        </w:tc>
        <w:tc>
          <w:tcPr>
            <w:tcW w:type="dxa" w:w="39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1 quando o sistema for servido por HTTPS</w:t>
            </w:r>
          </w:p>
        </w:tc>
      </w:tr>
    </w:tbl>
    <w:p>
      <w:pPr>
        <w:spacing w:after="240" w:before="60" w:line="240"/>
        <w:jc w:val="both"/>
      </w:pPr>
    </w:p>
    <w:p>
      <w:pPr>
        <w:pStyle w:val="Heading2"/>
        <w:keepNext/>
        <w:keepLines/>
        <w:spacing w:after="160" w:before="360" w:line="300"/>
      </w:pPr>
      <w:r>
        <w:rPr>
          <w:rFonts w:ascii="Times New Roman" w:cs="Times New Roman" w:eastAsia="Times New Roman" w:hAnsi="Times New Roman"/>
          <w:b/>
          <w:bCs/>
          <w:sz w:val="26"/>
          <w:szCs w:val="26"/>
        </w:rPr>
        <w:t xml:space="preserve">F.3 Arranque e primeira utilização</w:t>
      </w:r>
    </w:p>
    <w:p>
      <w:pPr>
        <w:shd w:fill="F4F3EF" w:color="auto" w:val="clear"/>
        <w:spacing w:after="200" w:before="120" w:line="220"/>
        <w:ind w:left="113" w:right="113"/>
      </w:pPr>
      <w:r>
        <w:rPr>
          <w:rFonts w:ascii="Courier New" w:cs="Courier New" w:eastAsia="Courier New" w:hAnsi="Courier New"/>
          <w:sz w:val="17"/>
          <w:szCs w:val="17"/>
        </w:rPr>
        <w:t xml:space="preserve">python uan.py servir</w:t>
      </w:r>
    </w:p>
    <w:p>
      <w:pPr>
        <w:spacing w:after="120" w:before="0" w:line="360"/>
        <w:ind w:firstLine="567"/>
        <w:jc w:val="both"/>
      </w:pPr>
      <w:r>
        <w:rPr>
          <w:rFonts w:ascii="Times New Roman" w:cs="Times New Roman" w:eastAsia="Times New Roman" w:hAnsi="Times New Roman"/>
          <w:sz w:val="24"/>
          <w:szCs w:val="24"/>
        </w:rPr>
        <w:t xml:space="preserve">Depois de arrancar, abre-se o endereço http://127.0.0.1:8000 no navegador. Na primeira utilização, a aplicação pede a criação da conta do supervisor, que depois cria as contas dos analistas na página Utilizadores. Por omissão, o servidor só aceita ligações do próprio computador; para o abrir à rede interna usa-se a opção --anfitriao 0.0.0.0, com a porta protegida pela firewall e, fora de ensaios, atrás de HTTPS.</w:t>
      </w:r>
    </w:p>
    <w:p>
      <w:pPr>
        <w:pStyle w:val="LegendaTabela"/>
        <w:keepNext/>
        <w:spacing w:after="80" w:before="240" w:line="240"/>
        <w:jc w:val="center"/>
      </w:pPr>
      <w:r>
        <w:rPr>
          <w:rFonts w:ascii="Times New Roman" w:cs="Times New Roman" w:eastAsia="Times New Roman" w:hAnsi="Times New Roman"/>
          <w:b/>
          <w:bCs/>
          <w:sz w:val="20"/>
          <w:szCs w:val="20"/>
        </w:rPr>
        <w:t xml:space="preserve">Tabela F.2 – Páginas da aplicação web</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2100"/>
        <w:gridCol w:w="4120"/>
      </w:tblGrid>
      <w:tr>
        <w:trPr>
          <w:cantSplit/>
          <w:tblHeader/>
        </w:trPr>
        <w:tc>
          <w:tcPr>
            <w:tcW w:type="dxa" w:w="20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Página</w:t>
            </w:r>
          </w:p>
        </w:tc>
        <w:tc>
          <w:tcPr>
            <w:tcW w:type="dxa" w:w="21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Acesso</w:t>
            </w:r>
          </w:p>
        </w:tc>
        <w:tc>
          <w:tcPr>
            <w:tcW w:type="dxa" w:w="41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Função</w:t>
            </w:r>
          </w:p>
        </w:tc>
      </w:tr>
      <w:tr>
        <w:trPr>
          <w:cantSplit/>
          <w:tblHeader w:val="false"/>
        </w:trPr>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Panorama</w:t>
            </w:r>
          </w:p>
        </w:tc>
        <w:tc>
          <w:tcPr>
            <w:tcW w:type="dxa" w:w="2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Todos</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Contagens por categoria, dia, plataforma e lote, sem vistas por autor</w:t>
            </w:r>
          </w:p>
        </w:tc>
      </w:tr>
      <w:tr>
        <w:trPr>
          <w:cantSplit/>
          <w:tblHeader w:val="false"/>
        </w:trPr>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Fila de revisão</w:t>
            </w:r>
          </w:p>
        </w:tc>
        <w:tc>
          <w:tcPr>
            <w:tcW w:type="dxa" w:w="2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Todos</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Itens sinalizados por prioridade; decisão com botões ou teclas 1 a 4</w:t>
            </w:r>
          </w:p>
        </w:tc>
      </w:tr>
      <w:tr>
        <w:trPr>
          <w:cantSplit/>
          <w:tblHeader w:val="false"/>
        </w:trPr>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Amostra de controlo</w:t>
            </w:r>
          </w:p>
        </w:tc>
        <w:tc>
          <w:tcPr>
            <w:tcW w:type="dxa" w:w="2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Todos</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Itens classificados como Normal, sorteados, sempre sem sugestão</w:t>
            </w:r>
          </w:p>
        </w:tc>
      </w:tr>
      <w:tr>
        <w:trPr>
          <w:cantSplit/>
          <w:tblHeader w:val="false"/>
        </w:trPr>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Lotes</w:t>
            </w:r>
          </w:p>
        </w:tc>
        <w:tc>
          <w:tcPr>
            <w:tcW w:type="dxa" w:w="2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Todos (importar: supervisor)</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Importação, proveniência e classificação de pendentes</w:t>
            </w:r>
          </w:p>
        </w:tc>
      </w:tr>
      <w:tr>
        <w:trPr>
          <w:cantSplit/>
          <w:tblHeader w:val="false"/>
        </w:trPr>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Métricas</w:t>
            </w:r>
          </w:p>
        </w:tc>
        <w:tc>
          <w:tcPr>
            <w:tcW w:type="dxa" w:w="2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Supervisor</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Precisão@K, κ analista–sistema e entre analistas, sensibilidade, latência; exportações</w:t>
            </w:r>
          </w:p>
        </w:tc>
      </w:tr>
      <w:tr>
        <w:trPr>
          <w:cantSplit/>
          <w:tblHeader w:val="false"/>
        </w:trPr>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Utilizadores</w:t>
            </w:r>
          </w:p>
        </w:tc>
        <w:tc>
          <w:tcPr>
            <w:tcW w:type="dxa" w:w="2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Supervisor</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Criação, desactivação e redefinição de palavra-passe</w:t>
            </w:r>
          </w:p>
        </w:tc>
      </w:tr>
      <w:tr>
        <w:trPr>
          <w:cantSplit/>
          <w:tblHeader w:val="false"/>
        </w:trPr>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Auditoria</w:t>
            </w:r>
          </w:p>
        </w:tc>
        <w:tc>
          <w:tcPr>
            <w:tcW w:type="dxa" w:w="2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Supervisor</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Registo de todas as acções relevantes</w:t>
            </w:r>
          </w:p>
        </w:tc>
      </w:tr>
      <w:tr>
        <w:trPr>
          <w:cantSplit/>
          <w:tblHeader w:val="false"/>
        </w:trPr>
        <w:tc>
          <w:tcPr>
            <w:tcW w:type="dxa" w:w="20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Definições</w:t>
            </w:r>
          </w:p>
        </w:tc>
        <w:tc>
          <w:tcPr>
            <w:tcW w:type="dxa" w:w="21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Supervisor</w:t>
            </w:r>
          </w:p>
        </w:tc>
        <w:tc>
          <w:tcPr>
            <w:tcW w:type="dxa" w:w="41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Revisão cega, limpeza de conservação e cópias de segurança</w:t>
            </w:r>
          </w:p>
        </w:tc>
      </w:tr>
    </w:tbl>
    <w:p>
      <w:pPr>
        <w:spacing w:after="240" w:before="60" w:line="240"/>
        <w:jc w:val="both"/>
      </w:pPr>
    </w:p>
    <w:p>
      <w:pPr>
        <w:pStyle w:val="Heading2"/>
        <w:keepNext/>
        <w:keepLines/>
        <w:spacing w:after="160" w:before="360" w:line="300"/>
      </w:pPr>
      <w:r>
        <w:rPr>
          <w:rFonts w:ascii="Times New Roman" w:cs="Times New Roman" w:eastAsia="Times New Roman" w:hAnsi="Times New Roman"/>
          <w:b/>
          <w:bCs/>
          <w:sz w:val="26"/>
          <w:szCs w:val="26"/>
        </w:rPr>
        <w:t xml:space="preserve">F.4 Linha de comandos</w:t>
      </w:r>
    </w:p>
    <w:p>
      <w:pPr>
        <w:pStyle w:val="LegendaTabela"/>
        <w:keepNext/>
        <w:spacing w:after="80" w:before="240" w:line="240"/>
        <w:jc w:val="center"/>
      </w:pPr>
      <w:r>
        <w:rPr>
          <w:rFonts w:ascii="Times New Roman" w:cs="Times New Roman" w:eastAsia="Times New Roman" w:hAnsi="Times New Roman"/>
          <w:b/>
          <w:bCs/>
          <w:sz w:val="20"/>
          <w:szCs w:val="20"/>
        </w:rPr>
        <w:t xml:space="preserve">Tabela F.3 – Comandos do sistema</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4600"/>
        <w:gridCol w:w="3620"/>
      </w:tblGrid>
      <w:tr>
        <w:trPr>
          <w:cantSplit/>
          <w:tblHeader/>
        </w:trPr>
        <w:tc>
          <w:tcPr>
            <w:tcW w:type="dxa" w:w="46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7"/>
                <w:szCs w:val="17"/>
              </w:rPr>
              <w:t xml:space="preserve">Comando</w:t>
            </w:r>
          </w:p>
        </w:tc>
        <w:tc>
          <w:tcPr>
            <w:tcW w:type="dxa" w:w="36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7"/>
                <w:szCs w:val="17"/>
              </w:rPr>
              <w:t xml:space="preserve">Função</w:t>
            </w:r>
          </w:p>
        </w:tc>
      </w:tr>
      <w:tr>
        <w:trPr>
          <w:cantSplit/>
          <w:tblHeader w:val="false"/>
        </w:trPr>
        <w:tc>
          <w:tcPr>
            <w:tcW w:type="dxa" w:w="4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7"/>
                <w:szCs w:val="17"/>
              </w:rPr>
              <w:t xml:space="preserve">python uan.py servir</w:t>
            </w:r>
          </w:p>
        </w:tc>
        <w:tc>
          <w:tcPr>
            <w:tcW w:type="dxa" w:w="36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7"/>
                <w:szCs w:val="17"/>
              </w:rPr>
              <w:t xml:space="preserve">Arranca a aplicação web</w:t>
            </w:r>
          </w:p>
        </w:tc>
      </w:tr>
      <w:tr>
        <w:trPr>
          <w:cantSplit/>
          <w:tblHeader w:val="false"/>
        </w:trPr>
        <w:tc>
          <w:tcPr>
            <w:tcW w:type="dxa" w:w="4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7"/>
                <w:szCs w:val="17"/>
              </w:rPr>
              <w:t xml:space="preserve">python uan.py criar-utilizador ana --nome "Ana" --papel analista</w:t>
            </w:r>
          </w:p>
        </w:tc>
        <w:tc>
          <w:tcPr>
            <w:tcW w:type="dxa" w:w="36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7"/>
                <w:szCs w:val="17"/>
              </w:rPr>
              <w:t xml:space="preserve">Cria uma conta (pede a palavra-passe)</w:t>
            </w:r>
          </w:p>
        </w:tc>
      </w:tr>
      <w:tr>
        <w:trPr>
          <w:cantSplit/>
          <w:tblHeader w:val="false"/>
        </w:trPr>
        <w:tc>
          <w:tcPr>
            <w:tcW w:type="dxa" w:w="4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7"/>
                <w:szCs w:val="17"/>
              </w:rPr>
              <w:t xml:space="preserve">python uan.py importar ficheiro.csv --plataforma YouTube --via api_oficial</w:t>
            </w:r>
          </w:p>
        </w:tc>
        <w:tc>
          <w:tcPr>
            <w:tcW w:type="dxa" w:w="36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7"/>
                <w:szCs w:val="17"/>
              </w:rPr>
              <w:t xml:space="preserve">Importa e anonimiza um lote, registando a proveniência</w:t>
            </w:r>
          </w:p>
        </w:tc>
      </w:tr>
      <w:tr>
        <w:trPr>
          <w:cantSplit/>
          <w:tblHeader w:val="false"/>
        </w:trPr>
        <w:tc>
          <w:tcPr>
            <w:tcW w:type="dxa" w:w="4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7"/>
                <w:szCs w:val="17"/>
              </w:rPr>
              <w:t xml:space="preserve">python uan.py classificar</w:t>
            </w:r>
          </w:p>
        </w:tc>
        <w:tc>
          <w:tcPr>
            <w:tcW w:type="dxa" w:w="36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7"/>
                <w:szCs w:val="17"/>
              </w:rPr>
              <w:t xml:space="preserve">Classifica as publicações pendentes</w:t>
            </w:r>
          </w:p>
        </w:tc>
      </w:tr>
      <w:tr>
        <w:trPr>
          <w:cantSplit/>
          <w:tblHeader w:val="false"/>
        </w:trPr>
        <w:tc>
          <w:tcPr>
            <w:tcW w:type="dxa" w:w="4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7"/>
                <w:szCs w:val="17"/>
              </w:rPr>
              <w:t xml:space="preserve">python uan.py metricas</w:t>
            </w:r>
          </w:p>
        </w:tc>
        <w:tc>
          <w:tcPr>
            <w:tcW w:type="dxa" w:w="36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7"/>
                <w:szCs w:val="17"/>
              </w:rPr>
              <w:t xml:space="preserve">Calcula as métricas operacionais</w:t>
            </w:r>
          </w:p>
        </w:tc>
      </w:tr>
      <w:tr>
        <w:trPr>
          <w:cantSplit/>
          <w:tblHeader w:val="false"/>
        </w:trPr>
        <w:tc>
          <w:tcPr>
            <w:tcW w:type="dxa" w:w="4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7"/>
                <w:szCs w:val="17"/>
              </w:rPr>
              <w:t xml:space="preserve">python uan.py exportar revisoes.csv</w:t>
            </w:r>
          </w:p>
        </w:tc>
        <w:tc>
          <w:tcPr>
            <w:tcW w:type="dxa" w:w="36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7"/>
                <w:szCs w:val="17"/>
              </w:rPr>
              <w:t xml:space="preserve">Exporta as revisões para novo treino</w:t>
            </w:r>
          </w:p>
        </w:tc>
      </w:tr>
      <w:tr>
        <w:trPr>
          <w:cantSplit/>
          <w:tblHeader w:val="false"/>
        </w:trPr>
        <w:tc>
          <w:tcPr>
            <w:tcW w:type="dxa" w:w="4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7"/>
                <w:szCs w:val="17"/>
              </w:rPr>
              <w:t xml:space="preserve">python uan.py limpar --dias 180</w:t>
            </w:r>
          </w:p>
        </w:tc>
        <w:tc>
          <w:tcPr>
            <w:tcW w:type="dxa" w:w="36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7"/>
                <w:szCs w:val="17"/>
              </w:rPr>
              <w:t xml:space="preserve">Aplica o prazo de conservação</w:t>
            </w:r>
          </w:p>
        </w:tc>
      </w:tr>
      <w:tr>
        <w:trPr>
          <w:cantSplit/>
          <w:tblHeader w:val="false"/>
        </w:trPr>
        <w:tc>
          <w:tcPr>
            <w:tcW w:type="dxa" w:w="4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7"/>
                <w:szCs w:val="17"/>
              </w:rPr>
              <w:t xml:space="preserve">python uan.py copia</w:t>
            </w:r>
          </w:p>
        </w:tc>
        <w:tc>
          <w:tcPr>
            <w:tcW w:type="dxa" w:w="36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7"/>
                <w:szCs w:val="17"/>
              </w:rPr>
              <w:t xml:space="preserve">Cria uma cópia de segurança da base de dados</w:t>
            </w:r>
          </w:p>
        </w:tc>
      </w:tr>
      <w:tr>
        <w:trPr>
          <w:cantSplit/>
          <w:tblHeader w:val="false"/>
        </w:trPr>
        <w:tc>
          <w:tcPr>
            <w:tcW w:type="dxa" w:w="46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7"/>
                <w:szCs w:val="17"/>
              </w:rPr>
              <w:t xml:space="preserve">python uan.py medir-latencia ficheiro.csv</w:t>
            </w:r>
          </w:p>
        </w:tc>
        <w:tc>
          <w:tcPr>
            <w:tcW w:type="dxa" w:w="36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7"/>
                <w:szCs w:val="17"/>
              </w:rPr>
              <w:t xml:space="preserve">Mede o tempo de processamento (H2)</w:t>
            </w:r>
          </w:p>
        </w:tc>
      </w:tr>
    </w:tbl>
    <w:p>
      <w:pPr>
        <w:spacing w:after="240" w:before="60" w:line="240"/>
        <w:jc w:val="both"/>
      </w:pPr>
    </w:p>
    <w:p>
      <w:pPr>
        <w:pStyle w:val="Heading2"/>
        <w:keepNext/>
        <w:keepLines/>
        <w:spacing w:after="160" w:before="360" w:line="300"/>
      </w:pPr>
      <w:r>
        <w:rPr>
          <w:rFonts w:ascii="Times New Roman" w:cs="Times New Roman" w:eastAsia="Times New Roman" w:hAnsi="Times New Roman"/>
          <w:b/>
          <w:bCs/>
          <w:sz w:val="26"/>
          <w:szCs w:val="26"/>
        </w:rPr>
        <w:t xml:space="preserve">F.5 Guardar o modelo depois do treino</w:t>
      </w:r>
    </w:p>
    <w:p>
      <w:pPr>
        <w:spacing w:after="120" w:before="0" w:line="360"/>
        <w:ind w:firstLine="567"/>
        <w:jc w:val="both"/>
      </w:pPr>
      <w:r>
        <w:rPr>
          <w:rFonts w:ascii="Times New Roman" w:cs="Times New Roman" w:eastAsia="Times New Roman" w:hAnsi="Times New Roman"/>
          <w:sz w:val="24"/>
          <w:szCs w:val="24"/>
        </w:rPr>
        <w:t xml:space="preserve">No fim da sessão de treino no Google Colab, o modelo deve ser gravado no formato da biblioteca Transformers (config.json, pesos e ficheiros do tokenizador) numa pasta do Google Drive, com a célula fornecida no ficheiro colab_guardar_modelo.py. Essa pasta é depois copiada para o computador e indicada em UAN_MODELO.</w:t>
      </w:r>
    </w:p>
    <w:sectPr>
      <w:headerReference w:type="default" r:id="rId37"/>
      <w:footerReference w:type="default" r:id="rId38"/>
      <w:type w:val="nextPage"/>
      <w:pgSz w:w="11906" w:h="16838" w:orient="portrait"/>
      <w:pgMar w:top="1701" w:right="1701" w:bottom="1417" w:left="1984" w:header="850" w:footer="567"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A</w:t>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B</w:t>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C</w:t>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D</w:t>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E</w:t>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F</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jc w:val="right"/>
    </w:pPr>
    <w:r>
      <w:rPr>
        <w:rFonts w:ascii="Times New Roman" w:cs="Times New Roman" w:eastAsia="Times New Roman" w:hAnsi="Times New Roman"/>
        <w:i/>
        <w:iCs/>
        <w:sz w:val="18"/>
        <w:szCs w:val="18"/>
      </w:rPr>
      <w:t xml:space="preserve">Capítulo 1 – Introdução</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jc w:val="right"/>
    </w:pPr>
    <w:r>
      <w:rPr>
        <w:rFonts w:ascii="Times New Roman" w:cs="Times New Roman" w:eastAsia="Times New Roman" w:hAnsi="Times New Roman"/>
        <w:i/>
        <w:iCs/>
        <w:sz w:val="18"/>
        <w:szCs w:val="18"/>
      </w:rPr>
      <w:t xml:space="preserve">Capítulo 2 – Revisão da literatura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jc w:val="right"/>
    </w:pPr>
    <w:r>
      <w:rPr>
        <w:rFonts w:ascii="Times New Roman" w:cs="Times New Roman" w:eastAsia="Times New Roman" w:hAnsi="Times New Roman"/>
        <w:i/>
        <w:iCs/>
        <w:sz w:val="18"/>
        <w:szCs w:val="18"/>
      </w:rPr>
      <w:t xml:space="preserve">Capítulo 3 – Metodologia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jc w:val="right"/>
    </w:pPr>
    <w:r>
      <w:rPr>
        <w:rFonts w:ascii="Times New Roman" w:cs="Times New Roman" w:eastAsia="Times New Roman" w:hAnsi="Times New Roman"/>
        <w:i/>
        <w:iCs/>
        <w:sz w:val="18"/>
        <w:szCs w:val="18"/>
      </w:rPr>
      <w:t xml:space="preserve">Capítulo 4 – Resultados e discussão</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jc w:val="right"/>
    </w:pPr>
    <w:r>
      <w:rPr>
        <w:rFonts w:ascii="Times New Roman" w:cs="Times New Roman" w:eastAsia="Times New Roman" w:hAnsi="Times New Roman"/>
        <w:i/>
        <w:iCs/>
        <w:sz w:val="18"/>
        <w:szCs w:val="18"/>
      </w:rPr>
      <w:t xml:space="preserve">Capítulo 5 – Conclusões e recomendações</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jc w:val="right"/>
    </w:pPr>
    <w:r>
      <w:rPr>
        <w:rFonts w:ascii="Times New Roman" w:cs="Times New Roman" w:eastAsia="Times New Roman" w:hAnsi="Times New Roman"/>
        <w:i/>
        <w:iCs/>
        <w:sz w:val="18"/>
        <w:szCs w:val="18"/>
      </w:rPr>
      <w:t xml:space="preserve">Referências bibliográficas</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jc w:val="right"/>
    </w:pPr>
    <w:r>
      <w:rPr>
        <w:rFonts w:ascii="Times New Roman" w:cs="Times New Roman" w:eastAsia="Times New Roman" w:hAnsi="Times New Roman"/>
        <w:i/>
        <w:iCs/>
        <w:sz w:val="18"/>
        <w:szCs w:val="18"/>
      </w:rPr>
      <w:t xml:space="preserve">Glossário</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jc w:val="right"/>
    </w:pPr>
    <w:r>
      <w:rPr>
        <w:rFonts w:ascii="Times New Roman" w:cs="Times New Roman" w:eastAsia="Times New Roman" w:hAnsi="Times New Roman"/>
        <w:i/>
        <w:iCs/>
        <w:sz w:val="18"/>
        <w:szCs w:val="18"/>
      </w:rPr>
      <w:t xml:space="preserve">Apêndice A – Excertos de código-fonte</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jc w:val="right"/>
    </w:pPr>
    <w:r>
      <w:rPr>
        <w:rFonts w:ascii="Times New Roman" w:cs="Times New Roman" w:eastAsia="Times New Roman" w:hAnsi="Times New Roman"/>
        <w:i/>
        <w:iCs/>
        <w:sz w:val="18"/>
        <w:szCs w:val="18"/>
      </w:rPr>
      <w:t xml:space="preserve">Apêndice B – Guia de anotação</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jc w:val="right"/>
    </w:pPr>
    <w:r>
      <w:rPr>
        <w:rFonts w:ascii="Times New Roman" w:cs="Times New Roman" w:eastAsia="Times New Roman" w:hAnsi="Times New Roman"/>
        <w:i/>
        <w:iCs/>
        <w:sz w:val="18"/>
        <w:szCs w:val="18"/>
      </w:rPr>
      <w:t xml:space="preserve">Apêndice C – Acordo entre anotadores</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jc w:val="right"/>
    </w:pPr>
    <w:r>
      <w:rPr>
        <w:rFonts w:ascii="Times New Roman" w:cs="Times New Roman" w:eastAsia="Times New Roman" w:hAnsi="Times New Roman"/>
        <w:i/>
        <w:iCs/>
        <w:sz w:val="18"/>
        <w:szCs w:val="18"/>
      </w:rPr>
      <w:t xml:space="preserve">Apêndice D – Declaração dos anotadores</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jc w:val="right"/>
    </w:pPr>
    <w:r>
      <w:rPr>
        <w:rFonts w:ascii="Times New Roman" w:cs="Times New Roman" w:eastAsia="Times New Roman" w:hAnsi="Times New Roman"/>
        <w:i/>
        <w:iCs/>
        <w:sz w:val="18"/>
        <w:szCs w:val="18"/>
      </w:rPr>
      <w:t xml:space="preserve">Apêndice E – Amostra anotada do corpus</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jc w:val="right"/>
    </w:pPr>
    <w:r>
      <w:rPr>
        <w:rFonts w:ascii="Times New Roman" w:cs="Times New Roman" w:eastAsia="Times New Roman" w:hAnsi="Times New Roman"/>
        <w:i/>
        <w:iCs/>
        <w:sz w:val="18"/>
        <w:szCs w:val="18"/>
      </w:rPr>
      <w:t xml:space="preserve">Apêndice F – Manual do protótipo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outlineLvl w:val="2"/>
    </w:pPr>
    <w:rPr>
      <w:rFonts w:ascii="Times New Roman" w:cs="Times New Roman" w:eastAsia="Times New Roman" w:hAnsi="Times New Roman"/>
      <w:b/>
      <w:bCs/>
      <w:color w:val="000000"/>
      <w:sz w:val="24"/>
      <w:szCs w:val="24"/>
    </w:rPr>
  </w:style>
  <w:style w:type="paragraph" w:styleId="LegendaTabela">
    <w:name w:val="LegendaTabela"/>
    <w:basedOn w:val="Normal"/>
    <w:rPr>
      <w:rFonts w:ascii="Times New Roman" w:cs="Times New Roman" w:eastAsia="Times New Roman" w:hAnsi="Times New Roman"/>
      <w:b/>
      <w:bCs/>
      <w:sz w:val="20"/>
      <w:szCs w:val="20"/>
    </w:rPr>
  </w:style>
  <w:style w:type="paragraph" w:styleId="LegendaFigura">
    <w:name w:val="LegendaFigura"/>
    <w:basedOn w:val="Normal"/>
    <w:rPr>
      <w:rFonts w:ascii="Times New Roman" w:cs="Times New Roman" w:eastAsia="Times New Roman" w:hAnsi="Times New Roman"/>
      <w:b/>
      <w:bCs/>
      <w:sz w:val="20"/>
      <w:szCs w:val="20"/>
    </w:rPr>
  </w:style>
  <w:style w:type="paragraph" w:styleId="TituloSemIndice">
    <w:name w:val="TituloSemIndice"/>
    <w:basedOn w:val="Normal"/>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footer" Target="footer13.xml"/><Relationship Id="rId33" Type="http://schemas.openxmlformats.org/officeDocument/2006/relationships/header" Target="header14.xml"/><Relationship Id="rId34" Type="http://schemas.openxmlformats.org/officeDocument/2006/relationships/footer" Target="footer14.xml"/><Relationship Id="rId35" Type="http://schemas.openxmlformats.org/officeDocument/2006/relationships/header" Target="header15.xml"/><Relationship Id="rId36" Type="http://schemas.openxmlformats.org/officeDocument/2006/relationships/footer" Target="footer15.xml"/><Relationship Id="rId37" Type="http://schemas.openxmlformats.org/officeDocument/2006/relationships/header" Target="header16.xml"/><Relationship Id="rId38" Type="http://schemas.openxmlformats.org/officeDocument/2006/relationships/footer" Target="footer16.xml"/><Relationship Id="rId39" Type="http://schemas.openxmlformats.org/officeDocument/2006/relationships/image" Target="media/c816aef37e22984724a83e3e10c5dd351647ae01.png"/><Relationship Id="rId40" Type="http://schemas.openxmlformats.org/officeDocument/2006/relationships/image" Target="media/c109c6b9ce633d91afc6e89bbdb8ab4873404065.png"/><Relationship Id="rId41" Type="http://schemas.openxmlformats.org/officeDocument/2006/relationships/image" Target="media/5be778db715b7aa4e89c0d547cc98872a2b22911.png"/><Relationship Id="rId42" Type="http://schemas.openxmlformats.org/officeDocument/2006/relationships/image" Target="media/f3a51382c5cf1e4cbde2ae43cd64aa5a620ad4ff.png"/><Relationship Id="rId43" Type="http://schemas.openxmlformats.org/officeDocument/2006/relationships/image" Target="media/07fb60bd22141ba5613a8c6efd6ec2dfd1eeae87.png"/><Relationship Id="rId44" Type="http://schemas.openxmlformats.org/officeDocument/2006/relationships/image" Target="media/fe3c964a20f309ef8661860b0908b161e3ac7fd8.png"/><Relationship Id="rId45" Type="http://schemas.openxmlformats.org/officeDocument/2006/relationships/image" Target="media/82a9ee3986fbfad8c49f34724c58f9e3d56e9a1f.png"/><Relationship Id="rId46" Type="http://schemas.openxmlformats.org/officeDocument/2006/relationships/image" Target="media/164c96361b231f71ae8c0cabaf564c62dfded0cc.png"/><Relationship Id="rId47" Type="http://schemas.openxmlformats.org/officeDocument/2006/relationships/image" Target="media/4d1b9dd2fce5d54a9a6f6c1443e98538a84a5c7a.png"/><Relationship Id="rId48" Type="http://schemas.openxmlformats.org/officeDocument/2006/relationships/image" Target="media/4e203cddf53d766e3dadc2f0a024461a0bd23e2d.png"/><Relationship Id="rId49" Type="http://schemas.openxmlformats.org/officeDocument/2006/relationships/image" Target="media/95b3dbf413b63a0eedf5f1ca9f4e92d6d0d189b7.png"/><Relationship Id="rId50" Type="http://schemas.openxmlformats.org/officeDocument/2006/relationships/image" Target="media/115dc5f3dd6cafdadaba5dd89c79eb1d3768a10d.png"/><Relationship Id="rId51" Type="http://schemas.openxmlformats.org/officeDocument/2006/relationships/image" Target="media/3ada2f9ff4d717b97e71d13c161f43fc88490f57.png"/><Relationship Id="rId5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Monitoramento inteligente de ameaças em redes sociais em Angola</dc:title>
  <dc:creator>Manuel Gonga Muinga</dc:creator>
  <dc:description>Dissertação de Mestrado em Engenharia e Ciência de Dados, UAN, 2026</dc:description>
  <cp:lastModifiedBy>Un-named</cp:lastModifiedBy>
  <cp:revision>1</cp:revision>
  <dcterms:created xsi:type="dcterms:W3CDTF">2026-10-13T23:24:58.316Z</dcterms:created>
  <dcterms:modified xsi:type="dcterms:W3CDTF">2026-10-13T23:24:58.322Z</dcterms:modified>
</cp:coreProperties>
</file>

<file path=docProps/custom.xml><?xml version="1.0" encoding="utf-8"?>
<Properties xmlns="http://schemas.openxmlformats.org/officeDocument/2006/custom-properties" xmlns:vt="http://schemas.openxmlformats.org/officeDocument/2006/docPropsVTypes"/>
</file>