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line="276"/>
              <w:jc w:val="center"/>
            </w:pPr>
            <w:r>
              <w:rPr>
                <w:rFonts w:ascii="Arial" w:cs="Arial" w:eastAsia="Arial" w:hAnsi="Arial"/>
                <w:b/>
                <w:bCs/>
                <w:sz w:val="28"/>
                <w:szCs w:val="28"/>
              </w:rPr>
              <w:t xml:space="preserve">UNIVERSIDADE AGOSTINHO NETO</w:t>
            </w:r>
          </w:p>
          <w:p>
            <w:pPr>
              <w:spacing w:after="120" w:line="276"/>
              <w:jc w:val="center"/>
            </w:pPr>
            <w:r>
              <w:rPr>
                <w:rFonts w:ascii="Arial" w:cs="Arial" w:eastAsia="Arial" w:hAnsi="Arial"/>
                <w:b/>
                <w:bCs/>
                <w:sz w:val="28"/>
                <w:szCs w:val="28"/>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line="360"/>
        <w:jc w:val="center"/>
      </w:pPr>
      <w:r>
        <w:rPr>
          <w:rFonts w:ascii="Arial" w:cs="Arial" w:eastAsia="Arial" w:hAnsi="Arial"/>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line="276"/>
        <w:jc w:val="center"/>
      </w:pPr>
      <w:r>
        <w:rPr>
          <w:rFonts w:ascii="Arial" w:cs="Arial" w:eastAsia="Arial" w:hAnsi="Arial"/>
          <w:sz w:val="28"/>
          <w:szCs w:val="28"/>
        </w:rPr>
        <w:t xml:space="preserve">Manuel Gonga Muinga</w:t>
      </w:r>
    </w:p>
    <w:p>
      <w:pPr>
        <w:spacing w:after="480" w:line="276"/>
        <w:jc w:val="center"/>
      </w:pPr>
      <w:r>
        <w:rPr>
          <w:rFonts w:ascii="Arial" w:cs="Arial" w:eastAsia="Arial" w:hAnsi="Arial"/>
          <w:sz w:val="28"/>
          <w:szCs w:val="28"/>
        </w:rPr>
        <w:t xml:space="preserve">Engenheiro Electrotécnico</w:t>
      </w:r>
    </w:p>
    <w:p>
      <w:pPr>
        <w:spacing w:after="60" w:line="276"/>
        <w:jc w:val="center"/>
      </w:pPr>
      <w:r>
        <w:rPr>
          <w:rFonts w:ascii="Arial" w:cs="Arial" w:eastAsia="Arial" w:hAnsi="Arial"/>
          <w:sz w:val="28"/>
          <w:szCs w:val="28"/>
        </w:rPr>
        <w:t xml:space="preserve">Orientador científico: Professor Doutor Joaquim Fortes</w:t>
      </w:r>
    </w:p>
    <w:p>
      <w:pPr>
        <w:spacing w:after="120" w:line="276"/>
        <w:jc w:val="center"/>
      </w:pPr>
      <w:r>
        <w:rPr>
          <w:rFonts w:ascii="Arial" w:cs="Arial" w:eastAsia="Arial" w:hAnsi="Arial"/>
          <w:sz w:val="28"/>
          <w:szCs w:val="28"/>
        </w:rPr>
        <w:t xml:space="preserve">Co-orientador: Professor Doutor Judice Cumbunga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line="276"/>
        <w:jc w:val="center"/>
      </w:pPr>
      <w:r>
        <w:rPr>
          <w:rFonts w:ascii="Arial" w:cs="Arial" w:eastAsia="Arial" w:hAnsi="Arial"/>
          <w:sz w:val="28"/>
          <w:szCs w:val="28"/>
        </w:rPr>
        <w:t xml:space="preserve">Luanda</w:t>
      </w:r>
    </w:p>
    <w:p>
      <w:pPr>
        <w:spacing w:after="120" w:line="276"/>
        <w:jc w:val="center"/>
      </w:pPr>
      <w:r>
        <w:rPr>
          <w:rFonts w:ascii="Arial" w:cs="Arial" w:eastAsia="Arial" w:hAnsi="Arial"/>
          <w:sz w:val="28"/>
          <w:szCs w:val="28"/>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65 p. + 11 p. de glossário 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superou 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placa gráfica dedicada,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ranks these posts for analysts without replacing them. A corpus of 2,637 public Angolan posts, mostly YouTube comments, was annotated by three annotators into four categories (Fleiss' kappa 0.718, n = 2,443). Combined with three Brazilian corpora (HateBR, ToLD-BR and Fake.br; 26,859 records in total), it was used to compare SVM, Random Forest, Bi-LSTM and BERTimbau. On the test set (n = 3,987), BERTimbau reached a macro-F1 of 0.807 (0.797 averaged over three seeds), 14.6 to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outperform the Random Forest. On Angolan content, however, macro-F1 fell to 0.533, compared with 0.919 on the public corpora, with the largest drop in disinformation. A web application was then developed with author pseudonymisation at ingestion, in line with Angolan Law No. 22/11, audit logging, a priority-ranked review queue and alerts, and no automated decisions. Without a GPU, it processed each post in 0.6–0.7 seconds; the first posts reached the queue within 36 seconds and, for batches of up to 64 posts, all posts within 60 seconds. Neither the usefulness of the queue for analysts nor the detection lead time was tested. The main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Considerações finais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6 – RECOMENDAÇÕES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G1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Verificação dos requisitos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Requisitos e testes automáticos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49</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00" w:before="200"/>
      </w:pPr>
      <w:r>
        <w:rPr>
          <w:rFonts w:ascii="Times New Roman" w:cs="Times New Roman" w:eastAsia="Times New Roman" w:hAnsi="Times New Roman"/>
          <w:b/>
          <w:bCs/>
          <w:sz w:val="26"/>
          <w:szCs w:val="26"/>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00" w:before="200"/>
      </w:pPr>
      <w:r>
        <w:rPr>
          <w:rFonts w:ascii="Times New Roman" w:cs="Times New Roman" w:eastAsia="Times New Roman" w:hAnsi="Times New Roman"/>
          <w:b/>
          <w:bCs/>
          <w:sz w:val="26"/>
          <w:szCs w:val="26"/>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e as limitações, e o Capítulo 6 apresenta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00" w:before="200"/>
      </w:pPr>
      <w:r>
        <w:rPr>
          <w:rFonts w:ascii="Times New Roman" w:cs="Times New Roman" w:eastAsia="Times New Roman" w:hAnsi="Times New Roman"/>
          <w:b/>
          <w:bCs/>
          <w:sz w:val="26"/>
          <w:szCs w:val="26"/>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00" w:before="200"/>
      </w:pPr>
      <w:r>
        <w:rPr>
          <w:rFonts w:ascii="Times New Roman" w:cs="Times New Roman" w:eastAsia="Times New Roman" w:hAnsi="Times New Roman"/>
          <w:b/>
          <w:bCs/>
          <w:sz w:val="26"/>
          <w:szCs w:val="26"/>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e a influência das redes no comportamento eleitoral dos jovens em 2022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00" w:before="200"/>
      </w:pPr>
      <w:r>
        <w:rPr>
          <w:rFonts w:ascii="Times New Roman" w:cs="Times New Roman" w:eastAsia="Times New Roman" w:hAnsi="Times New Roman"/>
          <w:b/>
          <w:bCs/>
          <w:sz w:val="26"/>
          <w:szCs w:val="26"/>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Ireton &amp; Posetti, 2018).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investigações de redes de desinformação baseadas em fontes abertas, com o método documentado (EU DisinfoLab, 2020); são transferíveis em termos de método, mas foram pensadas para o contexto europeu. A INTERPOL acompanha as ciberameaças no continente africano através de relatórios periódicos (INTERPOL,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6.</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00" w:before="200"/>
      </w:pPr>
      <w:r>
        <w:rPr>
          <w:rFonts w:ascii="Times New Roman" w:cs="Times New Roman" w:eastAsia="Times New Roman" w:hAnsi="Times New Roman"/>
          <w:b/>
          <w:bCs/>
          <w:sz w:val="26"/>
          <w:szCs w:val="26"/>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00" w:before="200"/>
      </w:pPr>
      <w:r>
        <w:rPr>
          <w:rFonts w:ascii="Times New Roman" w:cs="Times New Roman" w:eastAsia="Times New Roman" w:hAnsi="Times New Roman"/>
          <w:b/>
          <w:bCs/>
          <w:sz w:val="26"/>
          <w:szCs w:val="26"/>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6.</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(27.097 registos, 26.859 após a remoção de 238 duplicados)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00" w:before="200"/>
      </w:pPr>
      <w:r>
        <w:rPr>
          <w:rFonts w:ascii="Times New Roman" w:cs="Times New Roman" w:eastAsia="Times New Roman" w:hAnsi="Times New Roman"/>
          <w:b/>
          <w:bCs/>
          <w:sz w:val="26"/>
          <w:szCs w:val="26"/>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00" w:before="200"/>
      </w:pPr>
      <w:r>
        <w:rPr>
          <w:rFonts w:ascii="Times New Roman" w:cs="Times New Roman" w:eastAsia="Times New Roman" w:hAnsi="Times New Roman"/>
          <w:b/>
          <w:bCs/>
          <w:sz w:val="26"/>
          <w:szCs w:val="26"/>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00" w:before="200"/>
      </w:pPr>
      <w:r>
        <w:rPr>
          <w:rFonts w:ascii="Times New Roman" w:cs="Times New Roman" w:eastAsia="Times New Roman" w:hAnsi="Times New Roman"/>
          <w:b/>
          <w:bCs/>
          <w:sz w:val="26"/>
          <w:szCs w:val="26"/>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00" w:before="200"/>
      </w:pPr>
      <w:r>
        <w:rPr>
          <w:rFonts w:ascii="Times New Roman" w:cs="Times New Roman" w:eastAsia="Times New Roman" w:hAnsi="Times New Roman"/>
          <w:b/>
          <w:bCs/>
          <w:sz w:val="26"/>
          <w:szCs w:val="26"/>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00" w:before="200"/>
      </w:pPr>
      <w:r>
        <w:rPr>
          <w:rFonts w:ascii="Times New Roman" w:cs="Times New Roman" w:eastAsia="Times New Roman" w:hAnsi="Times New Roman"/>
          <w:b/>
          <w:bCs/>
          <w:sz w:val="26"/>
          <w:szCs w:val="26"/>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00" w:before="200"/>
      </w:pPr>
      <w:r>
        <w:rPr>
          <w:rFonts w:ascii="Times New Roman" w:cs="Times New Roman" w:eastAsia="Times New Roman" w:hAnsi="Times New Roman"/>
          <w:b/>
          <w:bCs/>
          <w:sz w:val="26"/>
          <w:szCs w:val="26"/>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00" w:before="200"/>
      </w:pPr>
      <w:r>
        <w:rPr>
          <w:rFonts w:ascii="Times New Roman" w:cs="Times New Roman" w:eastAsia="Times New Roman" w:hAnsi="Times New Roman"/>
          <w:b/>
          <w:bCs/>
          <w:sz w:val="26"/>
          <w:szCs w:val="26"/>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00" w:before="200"/>
      </w:pPr>
      <w:r>
        <w:rPr>
          <w:rFonts w:ascii="Times New Roman" w:cs="Times New Roman" w:eastAsia="Times New Roman" w:hAnsi="Times New Roman"/>
          <w:b/>
          <w:bCs/>
          <w:sz w:val="26"/>
          <w:szCs w:val="26"/>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00" w:before="200"/>
      </w:pPr>
      <w:r>
        <w:rPr>
          <w:rFonts w:ascii="Times New Roman" w:cs="Times New Roman" w:eastAsia="Times New Roman" w:hAnsi="Times New Roman"/>
          <w:b/>
          <w:bCs/>
          <w:sz w:val="26"/>
          <w:szCs w:val="26"/>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00" w:before="200"/>
      </w:pPr>
      <w:r>
        <w:rPr>
          <w:rFonts w:ascii="Times New Roman" w:cs="Times New Roman" w:eastAsia="Times New Roman" w:hAnsi="Times New Roman"/>
          <w:b/>
          <w:bCs/>
          <w:sz w:val="26"/>
          <w:szCs w:val="26"/>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00" w:before="200"/>
      </w:pPr>
      <w:r>
        <w:rPr>
          <w:rFonts w:ascii="Times New Roman" w:cs="Times New Roman" w:eastAsia="Times New Roman" w:hAnsi="Times New Roman"/>
          <w:b/>
          <w:bCs/>
          <w:sz w:val="26"/>
          <w:szCs w:val="26"/>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00" w:before="200"/>
      </w:pPr>
      <w:r>
        <w:rPr>
          <w:rFonts w:ascii="Times New Roman" w:cs="Times New Roman" w:eastAsia="Times New Roman" w:hAnsi="Times New Roman"/>
          <w:b/>
          <w:bCs/>
          <w:sz w:val="26"/>
          <w:szCs w:val="26"/>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00" w:before="200"/>
      </w:pPr>
      <w:r>
        <w:rPr>
          <w:rFonts w:ascii="Times New Roman" w:cs="Times New Roman" w:eastAsia="Times New Roman" w:hAnsi="Times New Roman"/>
          <w:b/>
          <w:bCs/>
          <w:sz w:val="26"/>
          <w:szCs w:val="26"/>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00" w:before="200"/>
      </w:pPr>
      <w:r>
        <w:rPr>
          <w:rFonts w:ascii="Times New Roman" w:cs="Times New Roman" w:eastAsia="Times New Roman" w:hAnsi="Times New Roman"/>
          <w:b/>
          <w:bCs/>
          <w:sz w:val="26"/>
          <w:szCs w:val="26"/>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6).</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00" w:before="200"/>
      </w:pPr>
      <w:r>
        <w:rPr>
          <w:rFonts w:ascii="Times New Roman" w:cs="Times New Roman" w:eastAsia="Times New Roman" w:hAnsi="Times New Roman"/>
          <w:b/>
          <w:bCs/>
          <w:sz w:val="26"/>
          <w:szCs w:val="26"/>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00" w:before="200"/>
      </w:pPr>
      <w:r>
        <w:rPr>
          <w:rFonts w:ascii="Times New Roman" w:cs="Times New Roman" w:eastAsia="Times New Roman" w:hAnsi="Times New Roman"/>
          <w:b/>
          <w:bCs/>
          <w:sz w:val="26"/>
          <w:szCs w:val="26"/>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00" w:before="200"/>
      </w:pPr>
      <w:r>
        <w:rPr>
          <w:rFonts w:ascii="Times New Roman" w:cs="Times New Roman" w:eastAsia="Times New Roman" w:hAnsi="Times New Roman"/>
          <w:b/>
          <w:bCs/>
          <w:sz w:val="26"/>
          <w:szCs w:val="26"/>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00" w:before="200"/>
      </w:pPr>
      <w:r>
        <w:rPr>
          <w:rFonts w:ascii="Times New Roman" w:cs="Times New Roman" w:eastAsia="Times New Roman" w:hAnsi="Times New Roman"/>
          <w:b/>
          <w:bCs/>
          <w:sz w:val="26"/>
          <w:szCs w:val="26"/>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(a Tabela F.2 liga cada requisito aos seus testes),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em nove corpora em inglês, a transferência variava com o modelo, era pior no discurso de ódio do que em categorias mais amplas, como linguagem tóxica ou ofensiva, e dependia da proporção de vocabulário fora do domínio.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6 – RECOMENDAÇÕES</w:t>
      </w:r>
    </w:p>
    <w:p>
      <w:pPr>
        <w:spacing w:after="120" w:before="0" w:line="360"/>
        <w:ind w:firstLine="567"/>
        <w:jc w:val="both"/>
      </w:pPr>
      <w:r>
        <w:rPr>
          <w:rFonts w:ascii="Times New Roman" w:cs="Times New Roman" w:eastAsia="Times New Roman" w:hAnsi="Times New Roman"/>
          <w:sz w:val="24"/>
          <w:szCs w:val="24"/>
        </w:rPr>
        <w:t xml:space="preserve">Seguem por ordem de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na amostra de controlo, funções que o sistema já tem.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dos termos das plataformas e dos limites constitucionais à monitorização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os exemplos anotados, sobretudo de Mobilização Hostil e de Desinformação em comentários, diversificar as plataformas por vias oficiais, marcar no guia de anotação o calão e as línguas nacionais, para medir o seu efeito, e tornar o desempenho em conteúdo angolano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Usar exemplos de desinformação em publicações curtas, de preferência angolanas, para que o modelo não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dezenas de milhares de textos (Gururangan et al., 2020), e compará-lo com o Albertina PT-PT (Rodrigues et al., 2023), mais próximo da norma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probabilidade, ou ponderar a prioridade pela gravidade, para que a Mobilização Hostil não fique atrás das categorias em que o modelo é mais confiante; calibrar as probabilidades por escalamento de temperatura num conjunto de validação angolano; e usar as decisões da amostra de controlo como exemplos prioritários de novo treino (Settles, 2009).</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verificar se os alertas de tendência os antecedem e acrescentar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com instituições da CPLP e contribuir para um enquadramento nacional do uso de inteligência artificial em segurança, com transparência, auditoria e supervisão humana.</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Indian chronicles: Deep dive into a 15-year operation targeting the EU and UN to serve Indian interests</w:t>
      </w:r>
      <w:r>
        <w:rPr>
          <w:rFonts w:ascii="Times New Roman" w:cs="Times New Roman" w:eastAsia="Times New Roman" w:hAnsi="Times New Roman"/>
          <w:sz w:val="24"/>
          <w:szCs w:val="24"/>
        </w:rPr>
        <w:t xml:space="preserve">. https://www.disinfo.eu/publications/indian-chronicles-deep-dive-into-a-15-year-operation-targeting-the-eu-and-un-to-serve-indian-interests/</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Que lição para a juventude moçambicana (2020-2021)?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INTERPOL. (2023). </w:t>
      </w:r>
      <w:r>
        <w:rPr>
          <w:rFonts w:ascii="Times New Roman" w:cs="Times New Roman" w:eastAsia="Times New Roman" w:hAnsi="Times New Roman"/>
          <w:i/>
          <w:iCs/>
          <w:sz w:val="24"/>
          <w:szCs w:val="24"/>
        </w:rPr>
        <w:t xml:space="preserve">African cyberthreat assessment report 2023: Cyberthreat trends</w:t>
      </w:r>
      <w:r>
        <w:rPr>
          <w:rFonts w:ascii="Times New Roman" w:cs="Times New Roman" w:eastAsia="Times New Roman" w:hAnsi="Times New Roman"/>
          <w:sz w:val="24"/>
          <w:szCs w:val="24"/>
        </w:rPr>
        <w:t xml:space="preserve">. INTERPOL Africa Cybercrime Operations Desk.</w:t>
      </w:r>
    </w:p>
    <w:p>
      <w:pPr>
        <w:spacing w:after="160" w:line="240"/>
        <w:ind w:left="567" w:hanging="567"/>
        <w:jc w:val="left"/>
      </w:pPr>
      <w:r>
        <w:rPr>
          <w:rFonts w:ascii="Times New Roman" w:cs="Times New Roman" w:eastAsia="Times New Roman" w:hAnsi="Times New Roman"/>
          <w:sz w:val="24"/>
          <w:szCs w:val="24"/>
        </w:rPr>
        <w:t xml:space="preserve">Ireton, C., &amp; Posetti, J. (Eds.). (2018).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191–208. https://doi.org/10.14393/RCS-v9n2-2019-56679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Eleições em Angola: A influência das redes sociais no comportamento eleitoral dos jovens angolanos em 2022. </w:t>
      </w:r>
      <w:r>
        <w:rPr>
          <w:rFonts w:ascii="Times New Roman" w:cs="Times New Roman" w:eastAsia="Times New Roman" w:hAnsi="Times New Roman"/>
          <w:i/>
          <w:iCs/>
          <w:sz w:val="24"/>
          <w:szCs w:val="24"/>
        </w:rPr>
        <w:t xml:space="preserve">Revista Tópicos, 4</w:t>
      </w:r>
      <w:r>
        <w:rPr>
          <w:rFonts w:ascii="Times New Roman" w:cs="Times New Roman" w:eastAsia="Times New Roman" w:hAnsi="Times New Roman"/>
          <w:sz w:val="24"/>
          <w:szCs w:val="24"/>
        </w:rPr>
        <w:t xml:space="preserve">(29).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1</w:t>
      </w:r>
      <w:r>
        <w:rPr>
          <w:rFonts w:ascii="Times New Roman" w:cs="Times New Roman" w:eastAsia="Times New Roman" w:hAnsi="Times New Roman"/>
          <w:sz w:val="24"/>
          <w:szCs w:val="24"/>
        </w:rPr>
        <w:t xml:space="preserve">(21),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00" w:before="200"/>
      </w:pPr>
      <w:r>
        <w:rPr>
          <w:rFonts w:ascii="Times New Roman" w:cs="Times New Roman" w:eastAsia="Times New Roman" w:hAnsi="Times New Roman"/>
          <w:b/>
          <w:bCs/>
          <w:sz w:val="26"/>
          <w:szCs w:val="26"/>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00" w:before="200"/>
      </w:pPr>
      <w:r>
        <w:rPr>
          <w:rFonts w:ascii="Times New Roman" w:cs="Times New Roman" w:eastAsia="Times New Roman" w:hAnsi="Times New Roman"/>
          <w:b/>
          <w:bCs/>
          <w:sz w:val="26"/>
          <w:szCs w:val="26"/>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00" w:before="200"/>
      </w:pPr>
      <w:r>
        <w:rPr>
          <w:rFonts w:ascii="Times New Roman" w:cs="Times New Roman" w:eastAsia="Times New Roman" w:hAnsi="Times New Roman"/>
          <w:b/>
          <w:bCs/>
          <w:sz w:val="26"/>
          <w:szCs w:val="26"/>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00" w:before="200"/>
      </w:pPr>
      <w:r>
        <w:rPr>
          <w:rFonts w:ascii="Times New Roman" w:cs="Times New Roman" w:eastAsia="Times New Roman" w:hAnsi="Times New Roman"/>
          <w:b/>
          <w:bCs/>
          <w:sz w:val="26"/>
          <w:szCs w:val="26"/>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e não consultar os outros anotadores durante a fase individual.</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p>
      <w:pPr>
        <w:pStyle w:val="Heading2"/>
        <w:keepNext/>
        <w:keepLines/>
        <w:spacing w:after="160" w:before="360" w:line="300"/>
      </w:pPr>
      <w:r>
        <w:rPr>
          <w:rFonts w:ascii="Times New Roman" w:cs="Times New Roman" w:eastAsia="Times New Roman" w:hAnsi="Times New Roman"/>
          <w:b/>
          <w:bCs/>
          <w:sz w:val="26"/>
          <w:szCs w:val="26"/>
        </w:rPr>
        <w:t xml:space="preserve">F.4 Verificação dos requisitos</w:t>
      </w:r>
    </w:p>
    <w:p>
      <w:pPr>
        <w:spacing w:after="120" w:before="0" w:line="360"/>
        <w:ind w:firstLine="567"/>
        <w:jc w:val="both"/>
      </w:pPr>
      <w:r>
        <w:rPr>
          <w:rFonts w:ascii="Times New Roman" w:cs="Times New Roman" w:eastAsia="Times New Roman" w:hAnsi="Times New Roman"/>
          <w:sz w:val="24"/>
          <w:szCs w:val="24"/>
        </w:rPr>
        <w:t xml:space="preserve">A Tabela F.2 liga cada requisito da Tabela 3.4 aos testes automáticos que o verificam; cada teste conta no requisito principal, e o do fluxo completo cobre também RF2 a RF6. Os 121 testes passam na versão final.</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Requisitos e testes automáticos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63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Req.</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7"/>
                <w:szCs w:val="17"/>
              </w:rPr>
              <w:t xml:space="preserve">Testes</w:t>
            </w:r>
          </w:p>
        </w:tc>
        <w:tc>
          <w:tcPr>
            <w:tcW w:type="dxa" w:w="6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O que verificam (exemplos)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Detecção do tipo de fonte; robots.txt; páginas com conta excluídas; YouTube e RSS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RF2–RF3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Importação com proveniência; máscaras; pseudónimo dependente do segredo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Migração de bases antigas; prazo de conservação; cópia de segurança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Carregamento do modelo; gravação por sublotes; API protegida por chave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Prioridade 1 − P(Normal); decisão e anulação na fila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RF7–RF8</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2</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Fluxo completo (importar, classificar, rever, métricas, exportar); κ</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Palavras-passe, bloqueio, papéis, CSRF, fim da sessão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Revisão cega; amostra de controlo reprodutível; dois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Alertas só de decisões humanas; tendência normalizada; e-mail sem texto nem autor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RF12</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18 províncias; topónimos ambíguos; taxa com mínimo de casos; séries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RF13–RF14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com tendências; fluxo alerta–mapa–relatório; Sobre o modelo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Modo de demonstração; dados fictícios reprodutíveis; troca de modo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Recolha periódica; fontes inactivas; quota; chave nunca exposta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Código de uso único; pedido ao supervisor; reposição local</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Outros</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Configuração sem segredos à vista; aspecto; visita guiada</w:t>
            </w:r>
          </w:p>
        </w:tc>
      </w:tr>
    </w:tbl>
    <w:sectPr>
      <w:headerReference w:type="default" r:id="rId39"/>
      <w:footerReference w:type="default" r:id="rId40"/>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G</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6 – Recomendações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image" Target="media/c816aef37e22984724a83e3e10c5dd351647ae01.png"/><Relationship Id="rId42" Type="http://schemas.openxmlformats.org/officeDocument/2006/relationships/image" Target="media/c109c6b9ce633d91afc6e89bbdb8ab4873404065.png"/><Relationship Id="rId43" Type="http://schemas.openxmlformats.org/officeDocument/2006/relationships/image" Target="media/5be778db715b7aa4e89c0d547cc98872a2b22911.png"/><Relationship Id="rId44" Type="http://schemas.openxmlformats.org/officeDocument/2006/relationships/image" Target="media/f3a51382c5cf1e4cbde2ae43cd64aa5a620ad4ff.png"/><Relationship Id="rId45" Type="http://schemas.openxmlformats.org/officeDocument/2006/relationships/image" Target="media/5d950866185848d2980b210f993a4b648df4ea71.png"/><Relationship Id="rId46" Type="http://schemas.openxmlformats.org/officeDocument/2006/relationships/image" Target="media/e17474243c328ebd835d6d2930973bcca8c1916e.png"/><Relationship Id="rId47" Type="http://schemas.openxmlformats.org/officeDocument/2006/relationships/image" Target="media/e7bca9b24f2643deb8c15aaca03c7976804397ec.png"/><Relationship Id="rId48" Type="http://schemas.openxmlformats.org/officeDocument/2006/relationships/image" Target="media/ed14317e7338b44f5b563c294fe1ad83a252e79c.png"/><Relationship Id="rId49" Type="http://schemas.openxmlformats.org/officeDocument/2006/relationships/image" Target="media/760dcdb0bcdc29efd263e9d80fa38c7a1268af70.png"/><Relationship Id="rId50" Type="http://schemas.openxmlformats.org/officeDocument/2006/relationships/image" Target="media/6cd90355a90d575798805a8f0cc9404567b41a6d.png"/><Relationship Id="rId51" Type="http://schemas.openxmlformats.org/officeDocument/2006/relationships/image" Target="media/54e2f39674e5da3a7f2e05f33d61775a0cea0edb.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979d50e9063cd061f0b415030881973c82428734.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2026-10-27T20:04:45.724Z</dcterms:created>
  <dcterms:modified xsi:type="dcterms:W3CDTF">2026-10-27T20:04:45.725Z</dcterms:modified>
</cp:coreProperties>
</file>

<file path=docProps/custom.xml><?xml version="1.0" encoding="utf-8"?>
<Properties xmlns="http://schemas.openxmlformats.org/officeDocument/2006/custom-properties" xmlns:vt="http://schemas.openxmlformats.org/officeDocument/2006/docPropsVTypes"/>
</file>