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A avaliação operacional do sistema (latência e antecedência de detecção) fica definida como protocolo e não foi testada nesta dissertação.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The operational evaluation of the system (latency and early warning) is defined as a protocol and was not tested in this dissertation.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(tempo de detecção e notificação inferior a 60 segundos) e H3 (antecedência de detecção de pelo menos 48 horas em relação a eventos de segurança) referem-se ao sistema em operação e não ao classificador. Os resultados experimentais desta versão incidem apenas sobre a classificação de textos já recolhidos e não incluem registos de latência de ponta a ponta, nem um corpus com marcas temporais em torno de um evento documentado. Por esse motivo, não se apresentam valores para estas hipóteses, que ficam por testar nesta dissertação.</w:t>
      </w:r>
    </w:p>
    <w:p>
      <w:pPr>
        <w:spacing w:after="120" w:before="0" w:line="360"/>
        <w:ind w:firstLine="567"/>
        <w:jc w:val="both"/>
      </w:pPr>
      <w:r>
        <w:rPr>
          <w:rFonts w:ascii="Times New Roman" w:cs="Times New Roman" w:eastAsia="Times New Roman" w:hAnsi="Times New Roman"/>
          <w:sz w:val="24"/>
          <w:szCs w:val="24"/>
        </w:rPr>
        <w:t xml:space="preserve">Para a H2, o protocolo de medição previsto consiste em registar, no protótipo do sistema, o instante de recolha de cada publicação, o instante de entrada na fila de revisão e o instante de notificação, e reportar a mediana e o percentil 95 da latência para um volume de teste definido. Este protocolo mede o tempo de processamento interno do sistema; o tempo entre a publicação original e a sua recolha depende da frequência de recolha e das plataformas e deve ser reportado separadamente. Para a H3, é necessário um corpus com datas de publicação, dividido cronologicamente (treino anterior ao período de teste), e um conjunto de eventos de referência independentes do corpus; sem estes elementos, qualquer medida de antecedência seria circular.</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Detecção e notificação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medições de latência de ponta a ponta nesta versão</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e H3 – não testadas.</w:t>
      </w:r>
      <w:r>
        <w:rPr>
          <w:rFonts w:ascii="Times New Roman" w:cs="Times New Roman" w:eastAsia="Times New Roman" w:hAnsi="Times New Roman"/>
          <w:sz w:val="24"/>
          <w:szCs w:val="24"/>
        </w:rPr>
        <w:t xml:space="preserve"> Estas hipóteses dependem de medições do sistema em funcionamento que não foram realizadas nesta versão. A sua verificação exige os protocolos descritos na Secção 4.7 e constitui trabalho a concluir com o protótipo do sistema (H2) ou trabalho futuro (H3).</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protocolo de avaliação operacional definido mas não executado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foram testadas. A primeira tem um protocolo de medição pronto a aplicar no protótipo; a segunda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A latência,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Medir o sistema em condições reais.</w:t>
      </w:r>
      <w:r>
        <w:rPr>
          <w:rFonts w:ascii="Times New Roman" w:cs="Times New Roman" w:eastAsia="Times New Roman" w:hAnsi="Times New Roman"/>
          <w:sz w:val="24"/>
          <w:szCs w:val="24"/>
        </w:rPr>
        <w:t xml:space="preserve"> Treinar de novo o BERTimbau com a configuração de referência, instalar o protótipo e aplicar o protocolo da Secção 3.9 a um lote novo, com analistas: latência (H2), precisão nos primeiros K itens, κ analista–sistema e sensibilidade estimada numa amostra aleatória dos itens classificados como Normal.</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 </w:t>
      </w:r>
      <w:r>
        <w:rPr>
          <w:rFonts w:ascii="Times New Roman" w:cs="Times New Roman" w:eastAsia="Times New Roman" w:hAnsi="Times New Roman"/>
          <w:sz w:val="18"/>
          <w:szCs w:val="18"/>
          <w:highlight w:val="yellow"/>
        </w:rPr>
        <w:t xml:space="preserve">[Acrescentar o κ de Cohen de cada par e o número de itens das amostras aleatórias, a partir da saída do script compute_pilot_kappa.py.]</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uma amostra de comentários do corpus angolano com as anotações individuais e a etiqueta final. Os comentários são seleccionados aleatoriamente das amostras aleatórias do piloto, estratificados por categoria, e reproduzidos sem identificação dos autores; nomes de pessoas privadas são substituídos por descritores.</w:t>
      </w:r>
    </w:p>
    <w:p>
      <w:pPr>
        <w:spacing w:after="120" w:before="0" w:line="360"/>
        <w:ind w:firstLine="567"/>
        <w:jc w:val="both"/>
      </w:pPr>
      <w:r>
        <w:rPr>
          <w:rFonts w:ascii="Times New Roman" w:cs="Times New Roman" w:eastAsia="Times New Roman" w:hAnsi="Times New Roman"/>
          <w:sz w:val="24"/>
          <w:szCs w:val="24"/>
          <w:highlight w:val="yellow"/>
        </w:rPr>
        <w:t xml:space="preserve">[Inserir 20 comentários reais do ficheiro corpus_ground_truth_com_texto_v13.csv (5 por categoria), com as colunas: n.º, excerto anonimizado, anotador A, anotador B, anotador C, etiqueta final e unanimidade. Não usar exemplos inventados.]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3720"/>
        <w:gridCol w:w="600"/>
        <w:gridCol w:w="600"/>
        <w:gridCol w:w="600"/>
        <w:gridCol w:w="1300"/>
        <w:gridCol w:w="90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3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Etiqueta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3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2026-10-12T16:25:04.625Z</dcterms:created>
  <dcterms:modified xsi:type="dcterms:W3CDTF">2026-10-12T16:25:04.629Z</dcterms:modified>
</cp:coreProperties>
</file>

<file path=docProps/custom.xml><?xml version="1.0" encoding="utf-8"?>
<Properties xmlns="http://schemas.openxmlformats.org/officeDocument/2006/custom-properties" xmlns:vt="http://schemas.openxmlformats.org/officeDocument/2006/docPropsVTypes"/>
</file>