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276"/>
        <w:jc w:val="center"/>
      </w:pPr>
      <w:r>
        <w:rPr>
          <w:rFonts w:ascii="Times New Roman" w:cs="Times New Roman" w:eastAsia="Times New Roman" w:hAnsi="Times New Roman"/>
          <w:sz w:val="26"/>
          <w:szCs w:val="26"/>
        </w:rPr>
        <w:t xml:space="preserve">Manuel Gonga Muinga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sectPr>
          <w:headerReference w:type="default" r:id="rId7"/>
          <w:footerReference w:type="default" r:id="rId8"/>
          <w:pgSz w:w="11906" w:h="16838" w:orient="portrait"/>
          <w:pgMar w:top="1701" w:right="1701" w:bottom="1417" w:left="1984" w:header="850" w:footer="567" w:gutter="0"/>
          <w:pgNumType/>
          <w:docGrid w:linePitch="360"/>
        </w:sectPr>
      </w:pPr>
    </w:p>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48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pPr>
        <w:spacing w:after="480" w:line="240"/>
        <w:ind w:left="4110"/>
        <w:jc w:val="both"/>
      </w:pPr>
      <w:r>
        <w:rPr>
          <w:rFonts w:ascii="Times New Roman" w:cs="Times New Roman" w:eastAsia="Times New Roman" w:hAnsi="Times New Roman"/>
          <w:sz w:val="22"/>
          <w:szCs w:val="22"/>
        </w:rPr>
        <w:t xml:space="preserve">Dissertação submetida à Faculdade de Engenharia da Universidade Agostinho Neto como requisito para obtenção do título de Mestre em </w:t>
      </w:r>
      <w:r>
        <w:rPr>
          <w:rFonts w:ascii="Times New Roman" w:cs="Times New Roman" w:eastAsia="Times New Roman" w:hAnsi="Times New Roman"/>
          <w:b/>
          <w:bCs/>
          <w:sz w:val="22"/>
          <w:szCs w:val="22"/>
        </w:rPr>
        <w:t xml:space="preserve">Engenharia e Ciência de Dados</w:t>
      </w:r>
    </w:p>
    <w:p>
      <w:pPr>
        <w:spacing w:after="40" w:before="0" w:line="276"/>
        <w:jc w:val="center"/>
      </w:pPr>
      <w:r>
        <w:rPr>
          <w:rFonts w:ascii="Times New Roman" w:cs="Times New Roman" w:eastAsia="Times New Roman" w:hAnsi="Times New Roman"/>
          <w:sz w:val="24"/>
          <w:szCs w:val="24"/>
        </w:rPr>
        <w:t xml:space="preserve">Manuel Gonga Muinga</w:t>
      </w:r>
    </w:p>
    <w:p>
      <w:pPr>
        <w:spacing w:after="600" w:before="0" w:line="276"/>
        <w:jc w:val="center"/>
      </w:pPr>
      <w:r>
        <w:rPr>
          <w:rFonts w:ascii="Times New Roman" w:cs="Times New Roman" w:eastAsia="Times New Roman" w:hAnsi="Times New Roman"/>
          <w:sz w:val="22"/>
          <w:szCs w:val="22"/>
        </w:rPr>
        <w:t xml:space="preserve">Engenheiro Electrotécnico</w:t>
      </w:r>
    </w:p>
    <w:p>
      <w:pPr>
        <w:spacing w:after="40" w:line="240"/>
        <w:ind w:left="4110"/>
        <w:jc w:val="both"/>
      </w:pPr>
      <w:r>
        <w:rPr>
          <w:rFonts w:ascii="Times New Roman" w:cs="Times New Roman" w:eastAsia="Times New Roman" w:hAnsi="Times New Roman"/>
          <w:b/>
          <w:bCs/>
          <w:sz w:val="22"/>
          <w:szCs w:val="22"/>
        </w:rPr>
        <w:t xml:space="preserve">Orientador científico:</w:t>
      </w:r>
    </w:p>
    <w:p>
      <w:pPr>
        <w:spacing w:after="240" w:line="240"/>
        <w:ind w:left="4110"/>
        <w:jc w:val="both"/>
      </w:pPr>
      <w:r>
        <w:rPr>
          <w:rFonts w:ascii="Times New Roman" w:cs="Times New Roman" w:eastAsia="Times New Roman" w:hAnsi="Times New Roman"/>
          <w:i/>
          <w:iCs/>
          <w:sz w:val="22"/>
          <w:szCs w:val="22"/>
        </w:rPr>
        <w:t xml:space="preserve">Professor Doutor Joaquim Fortes (UAN)</w:t>
      </w:r>
    </w:p>
    <w:p>
      <w:pPr>
        <w:spacing w:after="40" w:line="240"/>
        <w:ind w:left="4110"/>
        <w:jc w:val="both"/>
      </w:pPr>
      <w:r>
        <w:rPr>
          <w:rFonts w:ascii="Times New Roman" w:cs="Times New Roman" w:eastAsia="Times New Roman" w:hAnsi="Times New Roman"/>
          <w:b/>
          <w:bCs/>
          <w:sz w:val="22"/>
          <w:szCs w:val="22"/>
        </w:rPr>
        <w:t xml:space="preserve">Co-orientador:</w:t>
      </w:r>
    </w:p>
    <w:p>
      <w:pPr>
        <w:spacing w:after="240" w:line="240"/>
        <w:ind w:left="4110"/>
        <w:jc w:val="both"/>
      </w:pPr>
      <w:r>
        <w:rPr>
          <w:rFonts w:ascii="Times New Roman" w:cs="Times New Roman" w:eastAsia="Times New Roman" w:hAnsi="Times New Roman"/>
          <w:i/>
          <w:iCs/>
          <w:sz w:val="22"/>
          <w:szCs w:val="22"/>
        </w:rPr>
        <w:t xml:space="preserve">Professor Doutor Judice Cumbunga (UAN)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pStyle w:val="TituloSemIndice"/>
        <w:pageBreakBefore/>
        <w:spacing w:after="480" w:before="567"/>
        <w:jc w:val="center"/>
      </w:pPr>
      <w:r>
        <w:rPr>
          <w:rFonts w:ascii="Times New Roman" w:cs="Times New Roman" w:eastAsia="Times New Roman" w:hAnsi="Times New Roman"/>
          <w:b/>
          <w:bCs/>
          <w:sz w:val="28"/>
          <w:szCs w:val="28"/>
        </w:rPr>
        <w:t xml:space="preserve">FICHA CATALOGRÁFICA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Mar>
              <w:top w:type="dxa" w:w="200"/>
              <w:left w:type="dxa" w:w="240"/>
              <w:bottom w:type="dxa" w:w="200"/>
              <w:right w:type="dxa" w:w="240"/>
            </w:tcMar>
          </w:tcPr>
          <w:p>
            <w:pPr>
              <w:spacing w:after="140" w:line="240"/>
              <w:jc w:val="both"/>
            </w:pPr>
            <w:r>
              <w:rPr>
                <w:rFonts w:ascii="Times New Roman" w:cs="Times New Roman" w:eastAsia="Times New Roman" w:hAnsi="Times New Roman"/>
                <w:b/>
                <w:bCs/>
                <w:sz w:val="20"/>
                <w:szCs w:val="20"/>
              </w:rPr>
              <w:t xml:space="preserve">Muinga, M. G.</w:t>
            </w:r>
            <w:r>
              <w:rPr>
                <w:rFonts w:ascii="Times New Roman" w:cs="Times New Roman" w:eastAsia="Times New Roman" w:hAnsi="Times New Roman"/>
                <w:sz w:val="20"/>
                <w:szCs w:val="20"/>
              </w:rPr>
              <w:t xml:space="preserve"> (2026). </w:t>
            </w:r>
            <w:r>
              <w:rPr>
                <w:rFonts w:ascii="Times New Roman" w:cs="Times New Roman" w:eastAsia="Times New Roman" w:hAnsi="Times New Roman"/>
                <w:i/>
                <w:iCs/>
                <w:sz w:val="20"/>
                <w:szCs w:val="20"/>
              </w:rPr>
              <w:t xml:space="preserve">Monitoramento inteligente de ameaças em redes sociais em Angola para o apoio à defesa e segurança nacional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[n.º]</w:t>
            </w:r>
            <w:r>
              <w:rPr>
                <w:rFonts w:ascii="Times New Roman" w:cs="Times New Roman" w:eastAsia="Times New Roman" w:hAnsi="Times New Roman"/>
                <w:sz w:val="20"/>
                <w:szCs w:val="20"/>
              </w:rPr>
              <w:t xml:space="preserve"> p.; il.; 30 cm.</w:t>
            </w:r>
          </w:p>
          <w:p>
            <w:pPr>
              <w:spacing w:after="140" w:line="240"/>
              <w:jc w:val="both"/>
            </w:pPr>
            <w:r>
              <w:rPr>
                <w:rFonts w:ascii="Times New Roman" w:cs="Times New Roman" w:eastAsia="Times New Roman" w:hAnsi="Times New Roman"/>
                <w:sz w:val="20"/>
                <w:szCs w:val="20"/>
              </w:rPr>
              <w:t xml:space="preserve">Dissertação de Mestrado em Engenharia e Ciência de Dados (Mecdata), 2024–2026. Universidade Agostinho Neto, Faculdade de Engenharia, Departamento de Engenharia Mecânica.</w:t>
            </w:r>
          </w:p>
          <w:p>
            <w:pPr>
              <w:spacing w:after="140" w:line="240"/>
              <w:jc w:val="both"/>
            </w:pPr>
            <w:r>
              <w:rPr>
                <w:rFonts w:ascii="Times New Roman" w:cs="Times New Roman" w:eastAsia="Times New Roman" w:hAnsi="Times New Roman"/>
                <w:sz w:val="20"/>
                <w:szCs w:val="20"/>
              </w:rPr>
              <w:t xml:space="preserve">Orientador: Professor Doutor Joaquim Fortes. Co-orientador: Professor Doutor Judice Cumbunga.</w:t>
            </w:r>
          </w:p>
          <w:p>
            <w:pPr>
              <w:spacing w:after="140" w:line="240"/>
              <w:jc w:val="both"/>
            </w:pPr>
            <w:r>
              <w:rPr>
                <w:rFonts w:ascii="Times New Roman" w:cs="Times New Roman" w:eastAsia="Times New Roman" w:hAnsi="Times New Roman"/>
                <w:sz w:val="20"/>
                <w:szCs w:val="20"/>
              </w:rPr>
              <w:t xml:space="preserve">Palavras-chave: 1. Redes sociais. 2. Detecção de discurso de ódio. 3. Desinformação. 4. BERTimbau. 5. Processamento de linguagem natural. 6. Segurança nacional.</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i/>
          <w:iCs/>
          <w:sz w:val="20"/>
          <w:szCs w:val="20"/>
        </w:rPr>
        <w:t xml:space="preserve">É permitida a reprodução total ou parcial deste documento para fins académicos e não comerciais, desde que citada a fonte.</w:t>
      </w:r>
    </w:p>
    <w:p>
      <w:pPr>
        <w:pStyle w:val="TituloSemIndice"/>
        <w:pageBreakBefore/>
        <w:spacing w:after="480" w:before="567"/>
        <w:jc w:val="center"/>
      </w:pPr>
      <w:r>
        <w:rPr>
          <w:rFonts w:ascii="Times New Roman" w:cs="Times New Roman" w:eastAsia="Times New Roman" w:hAnsi="Times New Roman"/>
          <w:b/>
          <w:bCs/>
          <w:sz w:val="28"/>
          <w:szCs w:val="28"/>
        </w:rPr>
        <w:t xml:space="preserve">EPÍGRAFE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ind w:left="4110"/>
        <w:jc w:val="right"/>
      </w:pPr>
      <w:r>
        <w:rPr>
          <w:rFonts w:ascii="Times New Roman" w:cs="Times New Roman" w:eastAsia="Times New Roman" w:hAnsi="Times New Roman"/>
          <w:i/>
          <w:iCs/>
          <w:sz w:val="24"/>
          <w:szCs w:val="24"/>
        </w:rPr>
        <w:t xml:space="preserve">"A informação é a moeda do século XXI. Quem a controla, controla o futuro."</w:t>
      </w:r>
    </w:p>
    <w:p>
      <w:pPr>
        <w:ind w:left="4110"/>
        <w:jc w:val="right"/>
      </w:pPr>
      <w:r>
        <w:rPr>
          <w:rFonts w:ascii="Times New Roman" w:cs="Times New Roman" w:eastAsia="Times New Roman" w:hAnsi="Times New Roman"/>
          <w:sz w:val="22"/>
          <w:szCs w:val="22"/>
        </w:rPr>
        <w:t xml:space="preserve">Adaptado de Peter Drucker</w:t>
      </w:r>
    </w:p>
    <w:p>
      <w:pPr>
        <w:pStyle w:val="TituloSemIndice"/>
        <w:pageBreakBefore/>
        <w:spacing w:after="480" w:before="567"/>
        <w:jc w:val="center"/>
      </w:pPr>
      <w:r>
        <w:rPr>
          <w:rFonts w:ascii="Times New Roman" w:cs="Times New Roman" w:eastAsia="Times New Roman" w:hAnsi="Times New Roman"/>
          <w:b/>
          <w:bCs/>
          <w:sz w:val="28"/>
          <w:szCs w:val="28"/>
        </w:rPr>
        <w:t xml:space="preserve">DEDICATÓRIA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ind w:left="3402"/>
        <w:jc w:val="both"/>
      </w:pPr>
      <w:r>
        <w:rPr>
          <w:rFonts w:ascii="Times New Roman" w:cs="Times New Roman" w:eastAsia="Times New Roman" w:hAnsi="Times New Roman"/>
          <w:i/>
          <w:iCs/>
          <w:sz w:val="24"/>
          <w:szCs w:val="24"/>
        </w:rPr>
        <w:t xml:space="preserve">À minha querida esposa, Rosalina Muinga, cuja presença ilumina cada etapa da minha vida. Este trabalho é dedicado a ti, pelo amor, pela paciência e pelo apoio incondicional que sempre me ofereceste. A tua força e a tua compreensão foram fundamentais para que eu pudesse chegar até aqui. Que esta conquista seja também o reflexo da nossa caminhada conjunta, marcada pela fé, pela perseverança e pela esperança.</w:t>
      </w:r>
    </w:p>
    <w:p>
      <w:pPr>
        <w:pStyle w:val="TituloSemIndice"/>
        <w:pageBreakBefore/>
        <w:spacing w:after="480" w:before="567"/>
        <w:jc w:val="center"/>
      </w:pPr>
      <w:r>
        <w:rPr>
          <w:rFonts w:ascii="Times New Roman" w:cs="Times New Roman" w:eastAsia="Times New Roman" w:hAnsi="Times New Roman"/>
          <w:b/>
          <w:bCs/>
          <w:sz w:val="28"/>
          <w:szCs w:val="28"/>
        </w:rPr>
        <w:t xml:space="preserve">AGRADECIMENTOS</w:t>
      </w:r>
    </w:p>
    <w:p>
      <w:pPr>
        <w:spacing w:after="120" w:before="0" w:line="360"/>
        <w:ind w:firstLine="567"/>
        <w:jc w:val="both"/>
      </w:pPr>
      <w:r>
        <w:rPr>
          <w:rFonts w:ascii="Times New Roman" w:cs="Times New Roman" w:eastAsia="Times New Roman" w:hAnsi="Times New Roman"/>
          <w:sz w:val="24"/>
          <w:szCs w:val="24"/>
        </w:rPr>
        <w:t xml:space="preserve">Tenho a honra de expressar os meus mais sinceros agradecimentos aos meus orientadores, pela orientação científica, pela disponibilidade e pelo rigor académico que tornaram possível a realização desta dissertação.</w:t>
      </w:r>
    </w:p>
    <w:p>
      <w:pPr>
        <w:spacing w:after="120" w:before="0" w:line="360"/>
        <w:ind w:firstLine="567"/>
        <w:jc w:val="both"/>
      </w:pPr>
      <w:r>
        <w:rPr>
          <w:rFonts w:ascii="Times New Roman" w:cs="Times New Roman" w:eastAsia="Times New Roman" w:hAnsi="Times New Roman"/>
          <w:sz w:val="24"/>
          <w:szCs w:val="24"/>
        </w:rPr>
        <w:t xml:space="preserve">À Universidade Agostinho Neto e à Faculdade de Engenharia, pela sólida formação académica e pelo ambiente científico que proporcionaram ao longo desta jornada.</w:t>
      </w:r>
    </w:p>
    <w:p>
      <w:pPr>
        <w:spacing w:after="120" w:before="0" w:line="360"/>
        <w:ind w:firstLine="567"/>
        <w:jc w:val="both"/>
      </w:pPr>
      <w:r>
        <w:rPr>
          <w:rFonts w:ascii="Times New Roman" w:cs="Times New Roman" w:eastAsia="Times New Roman" w:hAnsi="Times New Roman"/>
          <w:sz w:val="24"/>
          <w:szCs w:val="24"/>
        </w:rPr>
        <w:t xml:space="preserve">À minha família e aos meus amigos, pelo apoio incondicional, pela paciência e pelo encorajamento, que foram fundamentais para superar os desafios e alcançar esta etapa.</w:t>
      </w:r>
    </w:p>
    <w:p>
      <w:pPr>
        <w:spacing w:after="120" w:before="0" w:line="360"/>
        <w:ind w:firstLine="567"/>
        <w:jc w:val="both"/>
      </w:pPr>
      <w:r>
        <w:rPr>
          <w:rFonts w:ascii="Times New Roman" w:cs="Times New Roman" w:eastAsia="Times New Roman" w:hAnsi="Times New Roman"/>
          <w:sz w:val="24"/>
          <w:szCs w:val="24"/>
        </w:rPr>
        <w:t xml:space="preserve">Às Forças Armadas Angolanas, instituição que financiou a minha formação, pelo investimento e pela confiança depositada.</w:t>
      </w:r>
    </w:p>
    <w:p>
      <w:pPr>
        <w:spacing w:after="120" w:before="0" w:line="360"/>
        <w:ind w:firstLine="567"/>
        <w:jc w:val="both"/>
      </w:pPr>
      <w:r>
        <w:rPr>
          <w:rFonts w:ascii="Times New Roman" w:cs="Times New Roman" w:eastAsia="Times New Roman" w:hAnsi="Times New Roman"/>
          <w:sz w:val="24"/>
          <w:szCs w:val="24"/>
        </w:rPr>
        <w:t xml:space="preserve">Ao Comando da Brigada de Forças Especiais, pela confiança, pelo apoio institucional e pelo incentivo constante ao meu desenvolvimento académico e profissional.</w:t>
      </w:r>
    </w:p>
    <w:p>
      <w:pPr>
        <w:spacing w:after="120" w:before="0" w:line="360"/>
        <w:ind w:firstLine="567"/>
        <w:jc w:val="both"/>
      </w:pPr>
      <w:r>
        <w:rPr>
          <w:rFonts w:ascii="Times New Roman" w:cs="Times New Roman" w:eastAsia="Times New Roman" w:hAnsi="Times New Roman"/>
          <w:sz w:val="24"/>
          <w:szCs w:val="24"/>
        </w:rPr>
        <w:t xml:space="preserve">Um agradecimento especial a Sua Excelência Tenente General Tussen, cujo incentivo e motivação foram decisivos para que eu pudesse frequentar este curso e concretizar este trabalho.</w:t>
      </w:r>
    </w:p>
    <w:p>
      <w:pPr>
        <w:spacing w:after="120" w:before="0" w:line="360"/>
        <w:ind w:firstLine="567"/>
        <w:jc w:val="both"/>
      </w:pPr>
      <w:r>
        <w:rPr>
          <w:rFonts w:ascii="Times New Roman" w:cs="Times New Roman" w:eastAsia="Times New Roman" w:hAnsi="Times New Roman"/>
          <w:sz w:val="24"/>
          <w:szCs w:val="24"/>
        </w:rPr>
        <w:t xml:space="preserve">Aos anotadores que classificaram, com paciência e rigor, os comentários do corpus angolano, e aos colegas investigadores e a todos os que, de forma directa ou indirecta, contribuíram para a realização desta dissertação, manifesto a minha profunda gratidão.</w:t>
      </w:r>
    </w:p>
    <w:p>
      <w:pPr>
        <w:pStyle w:val="TituloSemIndice"/>
        <w:pageBreakBefore/>
        <w:spacing w:after="480" w:before="567"/>
        <w:jc w:val="center"/>
      </w:pPr>
      <w:r>
        <w:rPr>
          <w:rFonts w:ascii="Times New Roman" w:cs="Times New Roman" w:eastAsia="Times New Roman" w:hAnsi="Times New Roman"/>
          <w:b/>
          <w:bCs/>
          <w:sz w:val="28"/>
          <w:szCs w:val="28"/>
        </w:rPr>
        <w:t xml:space="preserve">AUTORIZAÇÃO INSTITUCIONAL DO PROJECTO</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before="0" w:line="276"/>
        <w:jc w:val="center"/>
      </w:pPr>
      <w:r>
        <w:rPr>
          <w:rFonts w:ascii="Times New Roman" w:cs="Times New Roman" w:eastAsia="Times New Roman" w:hAnsi="Times New Roman"/>
          <w:sz w:val="24"/>
          <w:szCs w:val="24"/>
          <w:highlight w:val="yellow"/>
        </w:rPr>
        <w:t xml:space="preserve">[Inserir aqui o documento de autorização institucional digitalizado.]</w:t>
      </w:r>
    </w:p>
    <w:p>
      <w:pPr>
        <w:pStyle w:val="TituloSemIndice"/>
        <w:pageBreakBefore/>
        <w:spacing w:after="480" w:before="567"/>
        <w:jc w:val="center"/>
      </w:pPr>
      <w:r>
        <w:rPr>
          <w:rFonts w:ascii="Times New Roman" w:cs="Times New Roman" w:eastAsia="Times New Roman" w:hAnsi="Times New Roman"/>
          <w:b/>
          <w:bCs/>
          <w:sz w:val="28"/>
          <w:szCs w:val="28"/>
        </w:rPr>
        <w:t xml:space="preserve">RESUMO</w:t>
      </w:r>
    </w:p>
    <w:p>
      <w:pPr>
        <w:spacing w:after="120" w:before="0" w:line="360"/>
        <w:jc w:val="both"/>
      </w:pPr>
      <w:r>
        <w:rPr>
          <w:rFonts w:ascii="Times New Roman" w:cs="Times New Roman" w:eastAsia="Times New Roman" w:hAnsi="Times New Roman"/>
          <w:sz w:val="24"/>
          <w:szCs w:val="24"/>
        </w:rPr>
        <w:t xml:space="preserve">Em Angola, as redes sociais passaram a ser também um lugar onde a desinformação, o discurso de ódio e os apelos à mobilização hostil circulam ao lado da conversa de todos os dias. Com cerca de 5,5 milhões de identidades activas no final de 2025, há mais publicações do que uma equipa de analistas consegue ler. Esta dissertação desenvolve e avalia um sistema que ajuda a fazer a triagem dessas publicações, pensado para ordenar o trabalho do analista e não para o substituir. Construiu-se um corpus de 2.637 publicações públicas angolanas, na sua maioria comentários do YouTube, anotadas por três anotadores em quatro categorias (Normal, Desinformação, Discurso de Ódio e Mobilização Hostil), com κ de Fleiss de 0,718. Este corpus foi juntado a três corpora públicos do português do Brasil (HateBR, ToLD-BR e Fake.br), num total de 26.859 registos, e serviu para comparar quatro classificadores: SVM, Floresta Aleatória, Bi-LSTM e BERTimbau. No conjunto de teste (n = 3.987), o BERTimbau obteve F1-macro de 0,807 (IC 95% de 0,774 a 0,838), entre 14,6 e 17,4 pontos percentuais acima dos outros modelos (teste de McNemar com correcção de Bonferroni,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enquanto o Bi-LSTM não se distinguiu da Floresta Aleatória. Nas publicações angolanas, porém, o F1-macro do BERTimbau caiu para 0,533, contra 0,919 no corpus público, uma diferença de 38,6 pontos percentuais. A queda foi maior na Desinformação, sinal de que o modelo aprendeu sobretudo o estilo das notícias do Fake.br. Com base nestes resultados, desenvolveu-se uma aplicação web com contas individuais, anonimização à entrada conforme a Lei n.º 22/11, registo de proveniência, auditoria e uma fila de revisão ordenada por prioridade, sem decisões automáticas. As ameaças confirmadas pelos analistas geram alertas na aplicação e por e-mail, e um mapa por província mostra a sua concentração e evolução; a ficha do modelo, na própria aplicação, mostra ao analista o desempenho em conteúdo angolano. Num computador sem GPU, o sistema processou cada publicação em cerca de 0,63 segundos e, gravando as classificações por sublotes, pôs as primeiras publicações na fila em 36 segundos, o que confirma com condições a hipótese sobre o tempo de processamento. A antecedência de detecção não foi testada. Os principais contributos são o corpus angolano anotado, a medida da lacuna de domínio e uma arquitectura reprodutível e de baixo custo para triagem com revisão humana.</w:t>
      </w:r>
    </w:p>
    <w:p>
      <w:pPr>
        <w:spacing w:after="120" w:before="0" w:line="360"/>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Redes sociais. Discurso de ódio. Desinformação. BERTimbau. Adaptação de domínio. Português de Angola. Segurança nacional.</w:t>
      </w:r>
    </w:p>
    <w:p>
      <w:pPr>
        <w:pStyle w:val="TituloSemIndice"/>
        <w:pageBreakBefore/>
        <w:spacing w:after="480" w:before="567"/>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In Angola, social media have also become a place where disinformation, hate speech and calls for hostile mobilisation circulate alongside everyday conversation. With about 5.5 million active identities at the end of 2025, there are more posts than a team of analysts can read. This dissertation develops and evaluates a system that helps triage these posts, designed to order the analyst's work rather than replace it. A corpus of 2,637 public Angolan posts, mostly YouTube comments, was built and annotated by three annotators into four categories (Normal, Disinformation, Hate Speech and Hostile Mobilisation), with a Fleiss' kappa of 0.718. It was combined with three public Brazilian Portuguese corpora (HateBR, ToLD-BR and Fake.br), for a total of 26,859 records, and used to compare four classifiers: SVM, Random Forest, Bi-LSTM and BERTimbau. On the test set (n = 3,987), BERTimbau reached a macro-F1 of 0.807 (95% CI 0.774 to 0.838), between 14.6 and 17.4 percentage points above the other models (McNemar test with Bonferroni correction,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while the Bi-LSTM did not differ from the Random Forest. On Angolan posts, however, BERTimbau's macro-F1 fell to 0.533, against 0.919 on the public corpus, a gap of 38.6 percentage points. The drop was largest for disinformation, a sign that the model learned mainly the style of the Fake.br news articles. Building on these results, a web application was developed with individual accounts, anonymisation at ingestion in line with Angolan Law No. 22/11, provenance records, auditing and a review queue ordered by priority, with no automatic decisions. Threats confirmed by analysts trigger alerts in the application and by e-mail, and a province map shows their concentration and change over time; a model card within the application shows analysts the performance on Angolan content. On a computer without a GPU, the system processed each post in about 0.63 seconds and, by writing classifications in sub-batches, placed the first posts in the queue within 36 seconds, which conditionally supports the processing-time hypothesis. Early warning was not tested. The main contributions are the annotated Angolan corpus, the measurement of the domain gap and a reproducible, low-cost architecture for human-in-the-loop triage.</w:t>
      </w:r>
    </w:p>
    <w:p>
      <w:pPr>
        <w:spacing w:after="12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Social media. Hate speech. Disinformation. BERTimbau. Domain adaptation. Angolan Portuguese. National security.</w:t>
      </w:r>
    </w:p>
    <w:p>
      <w:pPr>
        <w:pStyle w:val="TituloSemIndice"/>
        <w:pageBreakBefore/>
        <w:spacing w:after="480" w:before="567"/>
        <w:jc w:val="center"/>
      </w:pPr>
      <w:r>
        <w:rPr>
          <w:rFonts w:ascii="Times New Roman" w:cs="Times New Roman" w:eastAsia="Times New Roman" w:hAnsi="Times New Roman"/>
          <w:b/>
          <w:bCs/>
          <w:sz w:val="28"/>
          <w:szCs w:val="28"/>
        </w:rPr>
        <w:t xml:space="preserve">ABREVIATURAS, SIGLAS E SÍMBOLOS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Sigla ou símbolo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Significado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API</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Interface de programação de aplicações (</w:t>
            </w:r>
            <w:r>
              <w:rPr>
                <w:rFonts w:ascii="Times New Roman" w:cs="Times New Roman" w:eastAsia="Times New Roman" w:hAnsi="Times New Roman"/>
                <w:b w:val="false"/>
                <w:bCs w:val="false"/>
                <w:i/>
                <w:iCs/>
                <w:sz w:val="20"/>
                <w:szCs w:val="20"/>
              </w:rPr>
              <w:t xml:space="preserve">Application Programming Interface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AUC-ROC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Área sob a curva ROC (</w:t>
            </w:r>
            <w:r>
              <w:rPr>
                <w:rFonts w:ascii="Times New Roman" w:cs="Times New Roman" w:eastAsia="Times New Roman" w:hAnsi="Times New Roman"/>
                <w:b w:val="false"/>
                <w:bCs w:val="false"/>
                <w:i/>
                <w:iCs/>
                <w:sz w:val="20"/>
                <w:szCs w:val="20"/>
              </w:rPr>
              <w:t xml:space="preserve">Receiver Operating Characteristic</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BERT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Representações bidireccionais de codificador baseadas em </w:t>
            </w:r>
            <w:r>
              <w:rPr>
                <w:rFonts w:ascii="Times New Roman" w:cs="Times New Roman" w:eastAsia="Times New Roman" w:hAnsi="Times New Roman"/>
                <w:b w:val="false"/>
                <w:bCs w:val="false"/>
                <w:i/>
                <w:iCs/>
                <w:sz w:val="20"/>
                <w:szCs w:val="20"/>
              </w:rPr>
              <w:t xml:space="preserve">Transformers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Rede de memória de longo e curto prazo bidireccional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CPLP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Comunidade dos Países de Língua Portuguesa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CRA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Constituição da República de Angola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CSP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Política de segurança de conteúdo (</w:t>
            </w:r>
            <w:r>
              <w:rPr>
                <w:rFonts w:ascii="Times New Roman" w:cs="Times New Roman" w:eastAsia="Times New Roman" w:hAnsi="Times New Roman"/>
                <w:b w:val="false"/>
                <w:bCs w:val="false"/>
                <w:i/>
                <w:iCs/>
                <w:sz w:val="20"/>
                <w:szCs w:val="20"/>
              </w:rPr>
              <w:t xml:space="preserve">Content Security Policy</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CSRF</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Falsificação de pedidos entre sítios (</w:t>
            </w:r>
            <w:r>
              <w:rPr>
                <w:rFonts w:ascii="Times New Roman" w:cs="Times New Roman" w:eastAsia="Times New Roman" w:hAnsi="Times New Roman"/>
                <w:b w:val="false"/>
                <w:bCs w:val="false"/>
                <w:i/>
                <w:iCs/>
                <w:sz w:val="20"/>
                <w:szCs w:val="20"/>
              </w:rPr>
              <w:t xml:space="preserve">Cross-Site Request Forgery</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CSV</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Valores separados por vírgulas (formato de ficheiro)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F1</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Média harmónica entre precisão e sensibilidade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GPU</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Unidade de processamento gráfico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HMAC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Código de autenticação de mensagens baseado em </w:t>
            </w:r>
            <w:r>
              <w:rPr>
                <w:rFonts w:ascii="Times New Roman" w:cs="Times New Roman" w:eastAsia="Times New Roman" w:hAnsi="Times New Roman"/>
                <w:b w:val="false"/>
                <w:bCs w:val="false"/>
                <w:i/>
                <w:iCs/>
                <w:sz w:val="20"/>
                <w:szCs w:val="20"/>
              </w:rPr>
              <w:t xml:space="preserve">hash</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artificial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IC 95%</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Intervalo de confiança a 95%</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JSON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Notação de objectos JavaScript (formato de dados)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Memória de longo e curto prazo (</w:t>
            </w:r>
            <w:r>
              <w:rPr>
                <w:rFonts w:ascii="Times New Roman" w:cs="Times New Roman" w:eastAsia="Times New Roman" w:hAnsi="Times New Roman"/>
                <w:b w:val="false"/>
                <w:bCs w:val="false"/>
                <w:i/>
                <w:iCs/>
                <w:sz w:val="20"/>
                <w:szCs w:val="20"/>
              </w:rPr>
              <w:t xml:space="preserve">Long Short-Term Memory</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OSINT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de fontes abertas (</w:t>
            </w:r>
            <w:r>
              <w:rPr>
                <w:rFonts w:ascii="Times New Roman" w:cs="Times New Roman" w:eastAsia="Times New Roman" w:hAnsi="Times New Roman"/>
                <w:b w:val="false"/>
                <w:bCs w:val="false"/>
                <w:i/>
                <w:iCs/>
                <w:sz w:val="20"/>
                <w:szCs w:val="20"/>
              </w:rPr>
              <w:t xml:space="preserve">Open Source Intelligence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Pontos percentuais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PDF</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Formato de documento portátil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PLN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Processamento de linguagem natural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PNG</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Gráficos de rede portáteis (formato de imagem)</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SHA-256</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Algoritmo de </w:t>
            </w:r>
            <w:r>
              <w:rPr>
                <w:rFonts w:ascii="Times New Roman" w:cs="Times New Roman" w:eastAsia="Times New Roman" w:hAnsi="Times New Roman"/>
                <w:b w:val="false"/>
                <w:bCs w:val="false"/>
                <w:i/>
                <w:iCs/>
                <w:sz w:val="20"/>
                <w:szCs w:val="20"/>
              </w:rPr>
              <w:t xml:space="preserve">hash</w:t>
            </w:r>
            <w:r>
              <w:rPr>
                <w:rFonts w:ascii="Times New Roman" w:cs="Times New Roman" w:eastAsia="Times New Roman" w:hAnsi="Times New Roman"/>
                <w:b w:val="false"/>
                <w:bCs w:val="false"/>
                <w:sz w:val="20"/>
                <w:szCs w:val="20"/>
              </w:rPr>
              <w:t xml:space="preserve"> seguro de 256 bits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SMOTE</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Técnica de sobreamostragem sintética de minorias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SQL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consulta estruturada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SVG</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Gráficos vectoriais escaláveis (formato de imagem)</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Máquina de vectores de suporte (</w:t>
            </w:r>
            <w:r>
              <w:rPr>
                <w:rFonts w:ascii="Times New Roman" w:cs="Times New Roman" w:eastAsia="Times New Roman" w:hAnsi="Times New Roman"/>
                <w:b w:val="false"/>
                <w:bCs w:val="false"/>
                <w:i/>
                <w:iCs/>
                <w:sz w:val="20"/>
                <w:szCs w:val="20"/>
              </w:rPr>
              <w:t xml:space="preserve">Support Vector Machine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TF-IDF</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Frequência do termo × inverso da frequência nos documentos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UAN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Universidade Agostinho Neto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UML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modelação unificada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κ</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Coeficiente Kappa (de Cohen ou de Fleiss)</w:t>
            </w:r>
          </w:p>
        </w:tc>
      </w:tr>
    </w:tbl>
    <w:p>
      <w:pPr>
        <w:pStyle w:val="TituloSemIndice"/>
        <w:pageBreakBefore/>
        <w:spacing w:after="480" w:before="567"/>
        <w:jc w:val="center"/>
      </w:pPr>
      <w:r>
        <w:rPr>
          <w:rFonts w:ascii="Times New Roman" w:cs="Times New Roman" w:eastAsia="Times New Roman" w:hAnsi="Times New Roman"/>
          <w:b/>
          <w:bCs/>
          <w:sz w:val="28"/>
          <w:szCs w:val="28"/>
        </w:rPr>
        <w:t xml:space="preserve">ÍNDICE</w:t>
      </w:r>
    </w:p>
    <w:sdt>
      <w:sdtPr>
        <w:alias w:val="Índice"/>
      </w:sdtPr>
      <w:sdtContent>
        <w:p>
          <w:r>
            <w:fldChar w:fldCharType="begin"/>
            <w:instrText xml:space="preserve">TOC \h \o "1-3"</w:instrText>
            <w:fldChar w:fldCharType="separate"/>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1 – INTRODUÇÃO</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1.1 Contextualização</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1.2 Problema de investigação</w:t>
          </w:r>
          <w:r>
            <w:rPr>
              <w:rFonts w:ascii="Times New Roman" w:hAnsi="Times New Roman" w:cs="Times New Roman"/>
              <w:sz w:val="24"/>
              <w:szCs w:val="24"/>
            </w:rPr>
            <w:tab/>
          </w:r>
          <w:r>
            <w:rPr>
              <w:rFonts w:ascii="Times New Roman" w:hAnsi="Times New Roman" w:cs="Times New Roman"/>
              <w:sz w:val="24"/>
              <w:szCs w:val="24"/>
            </w:rPr>
            <w:t>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1.3 Hipóteses de investigação</w:t>
          </w:r>
          <w:r>
            <w:rPr>
              <w:rFonts w:ascii="Times New Roman" w:hAnsi="Times New Roman" w:cs="Times New Roman"/>
              <w:sz w:val="24"/>
              <w:szCs w:val="24"/>
            </w:rPr>
            <w:tab/>
          </w:r>
          <w:r>
            <w:rPr>
              <w:rFonts w:ascii="Times New Roman" w:hAnsi="Times New Roman" w:cs="Times New Roman"/>
              <w:sz w:val="24"/>
              <w:szCs w:val="24"/>
            </w:rPr>
            <w:t>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1.4 Objectivos</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1.4.1 Objectivo geral</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1.4.2 Objectivos específicos</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1.5 Justificação e relevância</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1.6 Delimitação do estudo</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1.7 Estrutura da dissertação</w:t>
          </w:r>
          <w:r>
            <w:rPr>
              <w:rFonts w:ascii="Times New Roman" w:hAnsi="Times New Roman" w:cs="Times New Roman"/>
              <w:sz w:val="24"/>
              <w:szCs w:val="24"/>
            </w:rPr>
            <w:tab/>
          </w:r>
          <w:r>
            <w:rPr>
              <w:rFonts w:ascii="Times New Roman" w:hAnsi="Times New Roman" w:cs="Times New Roman"/>
              <w:sz w:val="24"/>
              <w:szCs w:val="24"/>
            </w:rPr>
            <w:t>5</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2 – REVISÃO DA LITERATURA</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2.1 Redes sociais: conceito, evolução e dimensão securitária</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2.1.1 Conceito e evolução</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2.1.2 O ecossistema digital angolano</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2.2 Categorias de ameaças digitais</w:t>
          </w:r>
          <w:r>
            <w:rPr>
              <w:rFonts w:ascii="Times New Roman" w:hAnsi="Times New Roman" w:cs="Times New Roman"/>
              <w:sz w:val="24"/>
              <w:szCs w:val="24"/>
            </w:rPr>
            <w:tab/>
          </w:r>
          <w:r>
            <w:rPr>
              <w:rFonts w:ascii="Times New Roman" w:hAnsi="Times New Roman" w:cs="Times New Roman"/>
              <w:sz w:val="24"/>
              <w:szCs w:val="24"/>
            </w:rPr>
            <w:t>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2.3 Sistemas de monitorização de ameaças</w:t>
          </w:r>
          <w:r>
            <w:rPr>
              <w:rFonts w:ascii="Times New Roman" w:hAnsi="Times New Roman" w:cs="Times New Roman"/>
              <w:sz w:val="24"/>
              <w:szCs w:val="24"/>
            </w:rPr>
            <w:tab/>
          </w:r>
          <w:r>
            <w:rPr>
              <w:rFonts w:ascii="Times New Roman" w:hAnsi="Times New Roman" w:cs="Times New Roman"/>
              <w:sz w:val="24"/>
              <w:szCs w:val="24"/>
            </w:rPr>
            <w:t>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2.4 Recursos e modelos de linguagem para o português</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2.4.1 Corpora anotados</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2.4.2 Modelos de linguagem</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2.5 Algoritmos de classificação de texto</w:t>
          </w:r>
          <w:r>
            <w:rPr>
              <w:rFonts w:ascii="Times New Roman" w:hAnsi="Times New Roman" w:cs="Times New Roman"/>
              <w:sz w:val="24"/>
              <w:szCs w:val="24"/>
            </w:rPr>
            <w:tab/>
          </w:r>
          <w:r>
            <w:rPr>
              <w:rFonts w:ascii="Times New Roman" w:hAnsi="Times New Roman" w:cs="Times New Roman"/>
              <w:sz w:val="24"/>
              <w:szCs w:val="24"/>
            </w:rPr>
            <w:t>10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2.6 Avaliação de classificadores</w:t>
          </w:r>
          <w:r>
            <w:rPr>
              <w:rFonts w:ascii="Times New Roman" w:hAnsi="Times New Roman" w:cs="Times New Roman"/>
              <w:sz w:val="24"/>
              <w:szCs w:val="24"/>
            </w:rPr>
            <w:tab/>
          </w:r>
          <w:r>
            <w:rPr>
              <w:rFonts w:ascii="Times New Roman" w:hAnsi="Times New Roman" w:cs="Times New Roman"/>
              <w:sz w:val="24"/>
              <w:szCs w:val="24"/>
            </w:rPr>
            <w:t>11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2.7 Generalização entre domínios e aprendizagem de atalhos</w:t>
          </w:r>
          <w:r>
            <w:rPr>
              <w:rFonts w:ascii="Times New Roman" w:hAnsi="Times New Roman" w:cs="Times New Roman"/>
              <w:sz w:val="24"/>
              <w:szCs w:val="24"/>
            </w:rPr>
            <w:tab/>
          </w:r>
          <w:r>
            <w:rPr>
              <w:rFonts w:ascii="Times New Roman" w:hAnsi="Times New Roman" w:cs="Times New Roman"/>
              <w:sz w:val="24"/>
              <w:szCs w:val="24"/>
            </w:rPr>
            <w:t>11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2.8 Aspectos éticos, legais e de direitos humanos</w:t>
          </w:r>
          <w:r>
            <w:rPr>
              <w:rFonts w:ascii="Times New Roman" w:hAnsi="Times New Roman" w:cs="Times New Roman"/>
              <w:sz w:val="24"/>
              <w:szCs w:val="24"/>
            </w:rPr>
            <w:tab/>
          </w:r>
          <w:r>
            <w:rPr>
              <w:rFonts w:ascii="Times New Roman" w:hAnsi="Times New Roman" w:cs="Times New Roman"/>
              <w:sz w:val="24"/>
              <w:szCs w:val="24"/>
            </w:rPr>
            <w:t>12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2.9 Síntese e lacuna de investigação</w:t>
          </w:r>
          <w:r>
            <w:rPr>
              <w:rFonts w:ascii="Times New Roman" w:hAnsi="Times New Roman" w:cs="Times New Roman"/>
              <w:sz w:val="24"/>
              <w:szCs w:val="24"/>
            </w:rPr>
            <w:tab/>
          </w:r>
          <w:r>
            <w:rPr>
              <w:rFonts w:ascii="Times New Roman" w:hAnsi="Times New Roman" w:cs="Times New Roman"/>
              <w:sz w:val="24"/>
              <w:szCs w:val="24"/>
            </w:rPr>
            <w:t>13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3 – METODOLOGIA</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3.1 Paradigma e desenho da investigação</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3.2 Considerações éticas e protecção de dados</w:t>
          </w:r>
          <w:r>
            <w:rPr>
              <w:rFonts w:ascii="Times New Roman" w:hAnsi="Times New Roman" w:cs="Times New Roman"/>
              <w:sz w:val="24"/>
              <w:szCs w:val="24"/>
            </w:rPr>
            <w:tab/>
          </w:r>
          <w:r>
            <w:rPr>
              <w:rFonts w:ascii="Times New Roman" w:hAnsi="Times New Roman" w:cs="Times New Roman"/>
              <w:sz w:val="24"/>
              <w:szCs w:val="24"/>
            </w:rPr>
            <w:t>15</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3.3 Recolha de dados do piloto angolano</w:t>
          </w:r>
          <w:r>
            <w:rPr>
              <w:rFonts w:ascii="Times New Roman" w:hAnsi="Times New Roman" w:cs="Times New Roman"/>
              <w:sz w:val="24"/>
              <w:szCs w:val="24"/>
            </w:rPr>
            <w:tab/>
          </w:r>
          <w:r>
            <w:rPr>
              <w:rFonts w:ascii="Times New Roman" w:hAnsi="Times New Roman" w:cs="Times New Roman"/>
              <w:sz w:val="24"/>
              <w:szCs w:val="24"/>
            </w:rPr>
            <w:t>16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3.4 Anotação e acordo entre anotadores</w:t>
          </w:r>
          <w:r>
            <w:rPr>
              <w:rFonts w:ascii="Times New Roman" w:hAnsi="Times New Roman" w:cs="Times New Roman"/>
              <w:sz w:val="24"/>
              <w:szCs w:val="24"/>
            </w:rPr>
            <w:tab/>
          </w:r>
          <w:r>
            <w:rPr>
              <w:rFonts w:ascii="Times New Roman" w:hAnsi="Times New Roman" w:cs="Times New Roman"/>
              <w:sz w:val="24"/>
              <w:szCs w:val="24"/>
            </w:rPr>
            <w:t>17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3.5 Construção do corpus híbrido</w:t>
          </w:r>
          <w:r>
            <w:rPr>
              <w:rFonts w:ascii="Times New Roman" w:hAnsi="Times New Roman" w:cs="Times New Roman"/>
              <w:sz w:val="24"/>
              <w:szCs w:val="24"/>
            </w:rPr>
            <w:tab/>
          </w:r>
          <w:r>
            <w:rPr>
              <w:rFonts w:ascii="Times New Roman" w:hAnsi="Times New Roman" w:cs="Times New Roman"/>
              <w:sz w:val="24"/>
              <w:szCs w:val="24"/>
            </w:rPr>
            <w:t>18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3.6 Modelos e treino</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3.6.1 Pré-processamento e representação</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3.6.2 Configuração dos modelos</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3.6.3 Ambiente de desenvolvimento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3.7 Protocolo de avaliação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3.8 Arquitectura do sistema</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3.8.1 Requisitos</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3.8.2 Alternativas e decisão</w:t>
          </w:r>
          <w:r>
            <w:rPr>
              <w:rFonts w:ascii="Times New Roman" w:hAnsi="Times New Roman" w:cs="Times New Roman"/>
              <w:sz w:val="24"/>
              <w:szCs w:val="24"/>
            </w:rPr>
            <w:tab/>
          </w:r>
          <w:r>
            <w:rPr>
              <w:rFonts w:ascii="Times New Roman" w:hAnsi="Times New Roman" w:cs="Times New Roman"/>
              <w:sz w:val="24"/>
              <w:szCs w:val="24"/>
            </w:rPr>
            <w:t>22</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3.8.3 Camadas e componentes</w:t>
          </w:r>
          <w:r>
            <w:rPr>
              <w:rFonts w:ascii="Times New Roman" w:hAnsi="Times New Roman" w:cs="Times New Roman"/>
              <w:sz w:val="24"/>
              <w:szCs w:val="24"/>
            </w:rPr>
            <w:tab/>
          </w:r>
          <w:r>
            <w:rPr>
              <w:rFonts w:ascii="Times New Roman" w:hAnsi="Times New Roman" w:cs="Times New Roman"/>
              <w:sz w:val="24"/>
              <w:szCs w:val="24"/>
            </w:rPr>
            <w:t>23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3.8.4 Casos de uso e fluxo de processamento</w:t>
          </w:r>
          <w:r>
            <w:rPr>
              <w:rFonts w:ascii="Times New Roman" w:hAnsi="Times New Roman" w:cs="Times New Roman"/>
              <w:sz w:val="24"/>
              <w:szCs w:val="24"/>
            </w:rPr>
            <w:tab/>
          </w:r>
          <w:r>
            <w:rPr>
              <w:rFonts w:ascii="Times New Roman" w:hAnsi="Times New Roman" w:cs="Times New Roman"/>
              <w:sz w:val="24"/>
              <w:szCs w:val="24"/>
            </w:rPr>
            <w:t>26</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3.8.5 Interface do analista</w:t>
          </w:r>
          <w:r>
            <w:rPr>
              <w:rFonts w:ascii="Times New Roman" w:hAnsi="Times New Roman" w:cs="Times New Roman"/>
              <w:sz w:val="24"/>
              <w:szCs w:val="24"/>
            </w:rPr>
            <w:tab/>
          </w:r>
          <w:r>
            <w:rPr>
              <w:rFonts w:ascii="Times New Roman" w:hAnsi="Times New Roman" w:cs="Times New Roman"/>
              <w:sz w:val="24"/>
              <w:szCs w:val="24"/>
            </w:rPr>
            <w:t>28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3.9 Plano de testes e avaliação operacional</w:t>
          </w:r>
          <w:r>
            <w:rPr>
              <w:rFonts w:ascii="Times New Roman" w:hAnsi="Times New Roman" w:cs="Times New Roman"/>
              <w:sz w:val="24"/>
              <w:szCs w:val="24"/>
            </w:rPr>
            <w:tab/>
          </w:r>
          <w:r>
            <w:rPr>
              <w:rFonts w:ascii="Times New Roman" w:hAnsi="Times New Roman" w:cs="Times New Roman"/>
              <w:sz w:val="24"/>
              <w:szCs w:val="24"/>
            </w:rPr>
            <w:t>32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3.10 Plano de implementação faseada</w:t>
          </w:r>
          <w:r>
            <w:rPr>
              <w:rFonts w:ascii="Times New Roman" w:hAnsi="Times New Roman" w:cs="Times New Roman"/>
              <w:sz w:val="24"/>
              <w:szCs w:val="24"/>
            </w:rPr>
            <w:tab/>
          </w:r>
          <w:r>
            <w:rPr>
              <w:rFonts w:ascii="Times New Roman" w:hAnsi="Times New Roman" w:cs="Times New Roman"/>
              <w:sz w:val="24"/>
              <w:szCs w:val="24"/>
            </w:rPr>
            <w:t>33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4 – RESULTADOS E DISCUSSÃO</w:t>
          </w:r>
          <w:r>
            <w:rPr>
              <w:rFonts w:ascii="Times New Roman" w:hAnsi="Times New Roman" w:cs="Times New Roman"/>
              <w:sz w:val="24"/>
              <w:szCs w:val="24"/>
            </w:rPr>
            <w:tab/>
          </w:r>
          <w:r>
            <w:rPr>
              <w:rFonts w:ascii="Times New Roman" w:hAnsi="Times New Roman" w:cs="Times New Roman"/>
              <w:sz w:val="24"/>
              <w:szCs w:val="24"/>
            </w:rPr>
            <w:t>34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4.1 Corpus de avaliação e protocolo experimental</w:t>
          </w:r>
          <w:r>
            <w:rPr>
              <w:rFonts w:ascii="Times New Roman" w:hAnsi="Times New Roman" w:cs="Times New Roman"/>
              <w:sz w:val="24"/>
              <w:szCs w:val="24"/>
            </w:rPr>
            <w:tab/>
          </w:r>
          <w:r>
            <w:rPr>
              <w:rFonts w:ascii="Times New Roman" w:hAnsi="Times New Roman" w:cs="Times New Roman"/>
              <w:sz w:val="24"/>
              <w:szCs w:val="24"/>
            </w:rPr>
            <w:t>34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4.2 Desempenho global dos modelos</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4.3 Significância estatística das diferenças</w:t>
          </w:r>
          <w:r>
            <w:rPr>
              <w:rFonts w:ascii="Times New Roman" w:hAnsi="Times New Roman" w:cs="Times New Roman"/>
              <w:sz w:val="24"/>
              <w:szCs w:val="24"/>
            </w:rPr>
            <w:tab/>
          </w:r>
          <w:r>
            <w:rPr>
              <w:rFonts w:ascii="Times New Roman" w:hAnsi="Times New Roman" w:cs="Times New Roman"/>
              <w:sz w:val="24"/>
              <w:szCs w:val="24"/>
            </w:rPr>
            <w:t>36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4.4 Desempenho por categoria e análise de erros</w:t>
          </w:r>
          <w:r>
            <w:rPr>
              <w:rFonts w:ascii="Times New Roman" w:hAnsi="Times New Roman" w:cs="Times New Roman"/>
              <w:sz w:val="24"/>
              <w:szCs w:val="24"/>
            </w:rPr>
            <w:tab/>
          </w:r>
          <w:r>
            <w:rPr>
              <w:rFonts w:ascii="Times New Roman" w:hAnsi="Times New Roman" w:cs="Times New Roman"/>
              <w:sz w:val="24"/>
              <w:szCs w:val="24"/>
            </w:rPr>
            <w:t>37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4.5 Análises de robustez</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4.5.1 Variabilidade entre sementes, ensemble e ablações</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4.5.2 Ajuste de limiares de decisão</w:t>
          </w:r>
          <w:r>
            <w:rPr>
              <w:rFonts w:ascii="Times New Roman" w:hAnsi="Times New Roman" w:cs="Times New Roman"/>
              <w:sz w:val="24"/>
              <w:szCs w:val="24"/>
            </w:rPr>
            <w:tab/>
          </w:r>
          <w:r>
            <w:rPr>
              <w:rFonts w:ascii="Times New Roman" w:hAnsi="Times New Roman" w:cs="Times New Roman"/>
              <w:sz w:val="24"/>
              <w:szCs w:val="24"/>
            </w:rPr>
            <w:t>41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4.6 Lacuna de domínio: piloto angolano e corpus público (Hipótese H4)</w:t>
          </w:r>
          <w:r>
            <w:rPr>
              <w:rFonts w:ascii="Times New Roman" w:hAnsi="Times New Roman" w:cs="Times New Roman"/>
              <w:sz w:val="24"/>
              <w:szCs w:val="24"/>
            </w:rPr>
            <w:tab/>
          </w:r>
          <w:r>
            <w:rPr>
              <w:rFonts w:ascii="Times New Roman" w:hAnsi="Times New Roman" w:cs="Times New Roman"/>
              <w:sz w:val="24"/>
              <w:szCs w:val="24"/>
            </w:rPr>
            <w:t>42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4.7 Avaliação operacional do sistema (Hipóteses H2 e H3)</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4.7.1 Tempo de processamento (H2)</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4.7.2 Antecedência de detecção (H3)</w:t>
          </w:r>
          <w:r>
            <w:rPr>
              <w:rFonts w:ascii="Times New Roman" w:hAnsi="Times New Roman" w:cs="Times New Roman"/>
              <w:sz w:val="24"/>
              <w:szCs w:val="24"/>
            </w:rPr>
            <w:tab/>
          </w:r>
          <w:r>
            <w:rPr>
              <w:rFonts w:ascii="Times New Roman" w:hAnsi="Times New Roman" w:cs="Times New Roman"/>
              <w:sz w:val="24"/>
              <w:szCs w:val="24"/>
            </w:rPr>
            <w:t>45</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4.7.3 Implicações para o desenho operacional</w:t>
          </w:r>
          <w:r>
            <w:rPr>
              <w:rFonts w:ascii="Times New Roman" w:hAnsi="Times New Roman" w:cs="Times New Roman"/>
              <w:sz w:val="24"/>
              <w:szCs w:val="24"/>
            </w:rPr>
            <w:tab/>
          </w:r>
          <w:r>
            <w:rPr>
              <w:rFonts w:ascii="Times New Roman" w:hAnsi="Times New Roman" w:cs="Times New Roman"/>
              <w:sz w:val="24"/>
              <w:szCs w:val="24"/>
            </w:rPr>
            <w:t>45</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4.8 Discussão e verificação formal das hipóteses</w:t>
          </w:r>
          <w:r>
            <w:rPr>
              <w:rFonts w:ascii="Times New Roman" w:hAnsi="Times New Roman" w:cs="Times New Roman"/>
              <w:sz w:val="24"/>
              <w:szCs w:val="24"/>
            </w:rPr>
            <w:tab/>
          </w:r>
          <w:r>
            <w:rPr>
              <w:rFonts w:ascii="Times New Roman" w:hAnsi="Times New Roman" w:cs="Times New Roman"/>
              <w:sz w:val="24"/>
              <w:szCs w:val="24"/>
            </w:rPr>
            <w:t>45</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5 – CONCLUSÕES E RECOMENDAÇÕES</w:t>
          </w:r>
          <w:r>
            <w:rPr>
              <w:rFonts w:ascii="Times New Roman" w:hAnsi="Times New Roman" w:cs="Times New Roman"/>
              <w:sz w:val="24"/>
              <w:szCs w:val="24"/>
            </w:rPr>
            <w:tab/>
          </w:r>
          <w:r>
            <w:rPr>
              <w:rFonts w:ascii="Times New Roman" w:hAnsi="Times New Roman" w:cs="Times New Roman"/>
              <w:sz w:val="24"/>
              <w:szCs w:val="24"/>
            </w:rPr>
            <w:t>48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5.1 Síntese dos objectivos</w:t>
          </w:r>
          <w:r>
            <w:rPr>
              <w:rFonts w:ascii="Times New Roman" w:hAnsi="Times New Roman" w:cs="Times New Roman"/>
              <w:sz w:val="24"/>
              <w:szCs w:val="24"/>
            </w:rPr>
            <w:tab/>
          </w:r>
          <w:r>
            <w:rPr>
              <w:rFonts w:ascii="Times New Roman" w:hAnsi="Times New Roman" w:cs="Times New Roman"/>
              <w:sz w:val="24"/>
              <w:szCs w:val="24"/>
            </w:rPr>
            <w:t>48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5.2 Resposta às hipóteses</w:t>
          </w:r>
          <w:r>
            <w:rPr>
              <w:rFonts w:ascii="Times New Roman" w:hAnsi="Times New Roman" w:cs="Times New Roman"/>
              <w:sz w:val="24"/>
              <w:szCs w:val="24"/>
            </w:rPr>
            <w:tab/>
          </w:r>
          <w:r>
            <w:rPr>
              <w:rFonts w:ascii="Times New Roman" w:hAnsi="Times New Roman" w:cs="Times New Roman"/>
              <w:sz w:val="24"/>
              <w:szCs w:val="24"/>
            </w:rPr>
            <w:t>48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5.3 Contributos</w:t>
          </w:r>
          <w:r>
            <w:rPr>
              <w:rFonts w:ascii="Times New Roman" w:hAnsi="Times New Roman" w:cs="Times New Roman"/>
              <w:sz w:val="24"/>
              <w:szCs w:val="24"/>
            </w:rPr>
            <w:tab/>
          </w:r>
          <w:r>
            <w:rPr>
              <w:rFonts w:ascii="Times New Roman" w:hAnsi="Times New Roman" w:cs="Times New Roman"/>
              <w:sz w:val="24"/>
              <w:szCs w:val="24"/>
            </w:rPr>
            <w:t>49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5.4 Limitações</w:t>
          </w:r>
          <w:r>
            <w:rPr>
              <w:rFonts w:ascii="Times New Roman" w:hAnsi="Times New Roman" w:cs="Times New Roman"/>
              <w:sz w:val="24"/>
              <w:szCs w:val="24"/>
            </w:rPr>
            <w:tab/>
          </w:r>
          <w:r>
            <w:rPr>
              <w:rFonts w:ascii="Times New Roman" w:hAnsi="Times New Roman" w:cs="Times New Roman"/>
              <w:sz w:val="24"/>
              <w:szCs w:val="24"/>
            </w:rPr>
            <w:t>49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5.5 Recomendações e trabalho futuro</w:t>
          </w:r>
          <w:r>
            <w:rPr>
              <w:rFonts w:ascii="Times New Roman" w:hAnsi="Times New Roman" w:cs="Times New Roman"/>
              <w:sz w:val="24"/>
              <w:szCs w:val="24"/>
            </w:rPr>
            <w:tab/>
          </w:r>
          <w:r>
            <w:rPr>
              <w:rFonts w:ascii="Times New Roman" w:hAnsi="Times New Roman" w:cs="Times New Roman"/>
              <w:sz w:val="24"/>
              <w:szCs w:val="24"/>
            </w:rPr>
            <w:t>50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5.6 Considerações finais</w:t>
          </w:r>
          <w:r>
            <w:rPr>
              <w:rFonts w:ascii="Times New Roman" w:hAnsi="Times New Roman" w:cs="Times New Roman"/>
              <w:sz w:val="24"/>
              <w:szCs w:val="24"/>
            </w:rPr>
            <w:tab/>
          </w:r>
          <w:r>
            <w:rPr>
              <w:rFonts w:ascii="Times New Roman" w:hAnsi="Times New Roman" w:cs="Times New Roman"/>
              <w:sz w:val="24"/>
              <w:szCs w:val="24"/>
            </w:rPr>
            <w:t>51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REFERÊNCIAS BIBLIOGRÁFICAS</w:t>
          </w:r>
          <w:r>
            <w:rPr>
              <w:rFonts w:ascii="Times New Roman" w:hAnsi="Times New Roman" w:cs="Times New Roman"/>
              <w:sz w:val="24"/>
              <w:szCs w:val="24"/>
            </w:rPr>
            <w:tab/>
          </w:r>
          <w:r>
            <w:rPr>
              <w:rFonts w:ascii="Times New Roman" w:hAnsi="Times New Roman" w:cs="Times New Roman"/>
              <w:sz w:val="24"/>
              <w:szCs w:val="24"/>
            </w:rPr>
            <w:t>53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GLOSSÁRIO</w:t>
          </w:r>
          <w:r>
            <w:rPr>
              <w:rFonts w:ascii="Times New Roman" w:hAnsi="Times New Roman" w:cs="Times New Roman"/>
              <w:sz w:val="24"/>
              <w:szCs w:val="24"/>
            </w:rPr>
            <w:tab/>
          </w:r>
          <w:r>
            <w:rPr>
              <w:rFonts w:ascii="Times New Roman" w:hAnsi="Times New Roman" w:cs="Times New Roman"/>
              <w:sz w:val="24"/>
              <w:szCs w:val="24"/>
            </w:rPr>
            <w:t>57</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A – EXCERTOS DE CÓDIGO-FONTE</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A.1 Anonimização à entrada</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A.2 Classificação em lote com o BERTimbau</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A.3 Prioridade e classificação das publicações pendentes</w:t>
          </w:r>
          <w:r>
            <w:rPr>
              <w:rFonts w:ascii="Times New Roman" w:hAnsi="Times New Roman" w:cs="Times New Roman"/>
              <w:sz w:val="24"/>
              <w:szCs w:val="24"/>
            </w:rPr>
            <w:tab/>
          </w:r>
          <w:r>
            <w:rPr>
              <w:rFonts w:ascii="Times New Roman" w:hAnsi="Times New Roman" w:cs="Times New Roman"/>
              <w:sz w:val="24"/>
              <w:szCs w:val="24"/>
            </w:rPr>
            <w:t>A2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A.4 Métricas operacionais</w:t>
          </w:r>
          <w:r>
            <w:rPr>
              <w:rFonts w:ascii="Times New Roman" w:hAnsi="Times New Roman" w:cs="Times New Roman"/>
              <w:sz w:val="24"/>
              <w:szCs w:val="24"/>
            </w:rPr>
            <w:tab/>
          </w:r>
          <w:r>
            <w:rPr>
              <w:rFonts w:ascii="Times New Roman" w:hAnsi="Times New Roman" w:cs="Times New Roman"/>
              <w:sz w:val="24"/>
              <w:szCs w:val="24"/>
            </w:rPr>
            <w:t>A2</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B – GUIA DE ANOTAÇÃO PADRONIZADO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B.1 Identificação do projecto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B.2 Objectivo da anotação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B.3 Categorias</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B.3.1 Normal (rótulo Normal)</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B.3.2 Desinformação (rótulo Desinformacao)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B.3.3 Discurso de ódio (rótulo Odio)</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B.3.4 Mobilização hostil (rótulo Mobilizacao)</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B.4 Casos limítrofes</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B.5 Regras de desempate</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B.6 Instruções de preenchimento</w:t>
          </w:r>
          <w:r>
            <w:rPr>
              <w:rFonts w:ascii="Times New Roman" w:hAnsi="Times New Roman" w:cs="Times New Roman"/>
              <w:sz w:val="24"/>
              <w:szCs w:val="24"/>
            </w:rPr>
            <w:tab/>
          </w:r>
          <w:r>
            <w:rPr>
              <w:rFonts w:ascii="Times New Roman" w:hAnsi="Times New Roman" w:cs="Times New Roman"/>
              <w:sz w:val="24"/>
              <w:szCs w:val="24"/>
            </w:rPr>
            <w:t>B3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C – ACORDO ENTRE ANOTADORES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C.1 Escala de interpretação</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C.2 Fórmulas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C.3 Resultados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C.4 Distribuição das etiquetas finais</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D – DECLARAÇÃO DE CONSENTIMENTO E CONFIDENCIALIDADE DOS ANOTADORES</w:t>
          </w:r>
          <w:r>
            <w:rPr>
              <w:rFonts w:ascii="Times New Roman" w:hAnsi="Times New Roman" w:cs="Times New Roman"/>
              <w:sz w:val="24"/>
              <w:szCs w:val="24"/>
            </w:rPr>
            <w:tab/>
          </w:r>
          <w:r>
            <w:rPr>
              <w:rFonts w:ascii="Times New Roman" w:hAnsi="Times New Roman" w:cs="Times New Roman"/>
              <w:sz w:val="24"/>
              <w:szCs w:val="24"/>
            </w:rPr>
            <w:t>D1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E – AMOSTRA ANOTADA DO CORPUS</w:t>
          </w:r>
          <w:r>
            <w:rPr>
              <w:rFonts w:ascii="Times New Roman" w:hAnsi="Times New Roman" w:cs="Times New Roman"/>
              <w:sz w:val="24"/>
              <w:szCs w:val="24"/>
            </w:rPr>
            <w:tab/>
          </w:r>
          <w:r>
            <w:rPr>
              <w:rFonts w:ascii="Times New Roman" w:hAnsi="Times New Roman" w:cs="Times New Roman"/>
              <w:sz w:val="24"/>
              <w:szCs w:val="24"/>
            </w:rPr>
            <w:t>E1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F – MANUAL DE INSTALAÇÃO E UTILIZAÇÃO DO SISTEMA</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F.1 Instalação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F.2 Configuração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F.3 Arranque e primeira utilização</w:t>
          </w:r>
          <w:r>
            <w:rPr>
              <w:rFonts w:ascii="Times New Roman" w:hAnsi="Times New Roman" w:cs="Times New Roman"/>
              <w:sz w:val="24"/>
              <w:szCs w:val="24"/>
            </w:rPr>
            <w:tab/>
          </w:r>
          <w:r>
            <w:rPr>
              <w:rFonts w:ascii="Times New Roman" w:hAnsi="Times New Roman" w:cs="Times New Roman"/>
              <w:sz w:val="24"/>
              <w:szCs w:val="24"/>
            </w:rPr>
            <w:t>F2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F.4 Modo de demonstração</w:t>
          </w:r>
          <w:r>
            <w:rPr>
              <w:rFonts w:ascii="Times New Roman" w:hAnsi="Times New Roman" w:cs="Times New Roman"/>
              <w:sz w:val="24"/>
              <w:szCs w:val="24"/>
            </w:rPr>
            <w:tab/>
          </w:r>
          <w:r>
            <w:rPr>
              <w:rFonts w:ascii="Times New Roman" w:hAnsi="Times New Roman" w:cs="Times New Roman"/>
              <w:sz w:val="24"/>
              <w:szCs w:val="24"/>
            </w:rPr>
            <w:t>F3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F.5 Recolha de novos dados</w:t>
          </w:r>
          <w:r>
            <w:rPr>
              <w:rFonts w:ascii="Times New Roman" w:hAnsi="Times New Roman" w:cs="Times New Roman"/>
              <w:sz w:val="24"/>
              <w:szCs w:val="24"/>
            </w:rPr>
            <w:tab/>
          </w:r>
          <w:r>
            <w:rPr>
              <w:rFonts w:ascii="Times New Roman" w:hAnsi="Times New Roman" w:cs="Times New Roman"/>
              <w:sz w:val="24"/>
              <w:szCs w:val="24"/>
            </w:rPr>
            <w:t>F4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F.6 Alertas, mapa e relatório</w:t>
          </w:r>
          <w:r>
            <w:rPr>
              <w:rFonts w:ascii="Times New Roman" w:hAnsi="Times New Roman" w:cs="Times New Roman"/>
              <w:sz w:val="24"/>
              <w:szCs w:val="24"/>
            </w:rPr>
            <w:tab/>
          </w:r>
          <w:r>
            <w:rPr>
              <w:rFonts w:ascii="Times New Roman" w:hAnsi="Times New Roman" w:cs="Times New Roman"/>
              <w:sz w:val="24"/>
              <w:szCs w:val="24"/>
            </w:rPr>
            <w:t>F4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F.7 Linha de comandos</w:t>
          </w:r>
          <w:r>
            <w:rPr>
              <w:rFonts w:ascii="Times New Roman" w:hAnsi="Times New Roman" w:cs="Times New Roman"/>
              <w:sz w:val="24"/>
              <w:szCs w:val="24"/>
            </w:rPr>
            <w:tab/>
          </w:r>
          <w:r>
            <w:rPr>
              <w:rFonts w:ascii="Times New Roman" w:hAnsi="Times New Roman" w:cs="Times New Roman"/>
              <w:sz w:val="24"/>
              <w:szCs w:val="24"/>
            </w:rPr>
            <w:t>F4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F.8 Guardar o modelo depois do treino</w:t>
          </w:r>
          <w:r>
            <w:rPr>
              <w:rFonts w:ascii="Times New Roman" w:hAnsi="Times New Roman" w:cs="Times New Roman"/>
              <w:sz w:val="24"/>
              <w:szCs w:val="24"/>
            </w:rPr>
            <w:tab/>
          </w:r>
          <w:r>
            <w:rPr>
              <w:rFonts w:ascii="Times New Roman" w:hAnsi="Times New Roman" w:cs="Times New Roman"/>
              <w:sz w:val="24"/>
              <w:szCs w:val="24"/>
            </w:rPr>
            <w:t>F5</w:t>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TABELAS</w:t>
      </w:r>
    </w:p>
    <w:sdt>
      <w:sdtPr>
        <w:alias w:val="Índice de tabelas"/>
      </w:sdtPr>
      <w:sdtContent>
        <w:p>
          <w:r>
            <w:fldChar w:fldCharType="begin"/>
            <w:instrText xml:space="preserve">TOC \h \t "LegendaTabela,1"</w:instrText>
            <w:fldChar w:fldCharType="separate"/>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1.1 – Correspondência entre objectivos específicos e hipóteses</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2.1 – Algoritmos de classificação comparados</w:t>
          </w:r>
          <w:r>
            <w:rPr>
              <w:rFonts w:ascii="Times New Roman" w:hAnsi="Times New Roman" w:cs="Times New Roman"/>
              <w:sz w:val="24"/>
              <w:szCs w:val="24"/>
            </w:rPr>
            <w:tab/>
          </w:r>
          <w:r>
            <w:rPr>
              <w:rFonts w:ascii="Times New Roman" w:hAnsi="Times New Roman" w:cs="Times New Roman"/>
              <w:sz w:val="24"/>
              <w:szCs w:val="24"/>
            </w:rPr>
            <w:t>10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3.1 – Configuração dos modelos</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3.2 – Ambiente de desenvolvimento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3.3 – Requisitos do sistema</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3.4 – Comparação das arquitecturas consideradas</w:t>
          </w:r>
          <w:r>
            <w:rPr>
              <w:rFonts w:ascii="Times New Roman" w:hAnsi="Times New Roman" w:cs="Times New Roman"/>
              <w:sz w:val="24"/>
              <w:szCs w:val="24"/>
            </w:rPr>
            <w:tab/>
          </w:r>
          <w:r>
            <w:rPr>
              <w:rFonts w:ascii="Times New Roman" w:hAnsi="Times New Roman" w:cs="Times New Roman"/>
              <w:sz w:val="24"/>
              <w:szCs w:val="24"/>
            </w:rPr>
            <w:t>22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3.5 – Plano de implementação faseada</w:t>
          </w:r>
          <w:r>
            <w:rPr>
              <w:rFonts w:ascii="Times New Roman" w:hAnsi="Times New Roman" w:cs="Times New Roman"/>
              <w:sz w:val="24"/>
              <w:szCs w:val="24"/>
            </w:rPr>
            <w:tab/>
          </w:r>
          <w:r>
            <w:rPr>
              <w:rFonts w:ascii="Times New Roman" w:hAnsi="Times New Roman" w:cs="Times New Roman"/>
              <w:sz w:val="24"/>
              <w:szCs w:val="24"/>
            </w:rPr>
            <w:t>33</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4.1 – Composição do corpus harmonizado por fonte e categoria</w:t>
          </w:r>
          <w:r>
            <w:rPr>
              <w:rFonts w:ascii="Times New Roman" w:hAnsi="Times New Roman" w:cs="Times New Roman"/>
              <w:sz w:val="24"/>
              <w:szCs w:val="24"/>
            </w:rPr>
            <w:tab/>
          </w:r>
          <w:r>
            <w:rPr>
              <w:rFonts w:ascii="Times New Roman" w:hAnsi="Times New Roman" w:cs="Times New Roman"/>
              <w:sz w:val="24"/>
              <w:szCs w:val="24"/>
            </w:rPr>
            <w:t>34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4.2 – Desempenho dos modelos no conjunto de teste</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4.3 – Comparações emparelhadas: diferença de F1-macro e teste de McNemar</w:t>
          </w:r>
          <w:r>
            <w:rPr>
              <w:rFonts w:ascii="Times New Roman" w:hAnsi="Times New Roman" w:cs="Times New Roman"/>
              <w:sz w:val="24"/>
              <w:szCs w:val="24"/>
            </w:rPr>
            <w:tab/>
          </w:r>
          <w:r>
            <w:rPr>
              <w:rFonts w:ascii="Times New Roman" w:hAnsi="Times New Roman" w:cs="Times New Roman"/>
              <w:sz w:val="24"/>
              <w:szCs w:val="24"/>
            </w:rPr>
            <w:t>37</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4.4 – F1 por categoria e modelo; precisão e sensibilidade do BERTimbau</w:t>
          </w:r>
          <w:r>
            <w:rPr>
              <w:rFonts w:ascii="Times New Roman" w:hAnsi="Times New Roman" w:cs="Times New Roman"/>
              <w:sz w:val="24"/>
              <w:szCs w:val="24"/>
            </w:rPr>
            <w:tab/>
          </w:r>
          <w:r>
            <w:rPr>
              <w:rFonts w:ascii="Times New Roman" w:hAnsi="Times New Roman" w:cs="Times New Roman"/>
              <w:sz w:val="24"/>
              <w:szCs w:val="24"/>
            </w:rPr>
            <w:t>37</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4.5 – Variantes do BERTimbau: validação, teste e comparação com a referência</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4.6 – Efeito do ajuste de limiares no F1-macro</w:t>
          </w:r>
          <w:r>
            <w:rPr>
              <w:rFonts w:ascii="Times New Roman" w:hAnsi="Times New Roman" w:cs="Times New Roman"/>
              <w:sz w:val="24"/>
              <w:szCs w:val="24"/>
            </w:rPr>
            <w:tab/>
          </w:r>
          <w:r>
            <w:rPr>
              <w:rFonts w:ascii="Times New Roman" w:hAnsi="Times New Roman" w:cs="Times New Roman"/>
              <w:sz w:val="24"/>
              <w:szCs w:val="24"/>
            </w:rPr>
            <w:t>41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4.7 – Desempenho do BERTimbau no piloto angolano e no corpus público</w:t>
          </w:r>
          <w:r>
            <w:rPr>
              <w:rFonts w:ascii="Times New Roman" w:hAnsi="Times New Roman" w:cs="Times New Roman"/>
              <w:sz w:val="24"/>
              <w:szCs w:val="24"/>
            </w:rPr>
            <w:tab/>
          </w:r>
          <w:r>
            <w:rPr>
              <w:rFonts w:ascii="Times New Roman" w:hAnsi="Times New Roman" w:cs="Times New Roman"/>
              <w:sz w:val="24"/>
              <w:szCs w:val="24"/>
            </w:rPr>
            <w:t>42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4.8 – Tempo de processamento do protótipo com o modelo do sistema</w:t>
          </w:r>
          <w:r>
            <w:rPr>
              <w:rFonts w:ascii="Times New Roman" w:hAnsi="Times New Roman" w:cs="Times New Roman"/>
              <w:sz w:val="24"/>
              <w:szCs w:val="24"/>
            </w:rPr>
            <w:tab/>
          </w:r>
          <w:r>
            <w:rPr>
              <w:rFonts w:ascii="Times New Roman" w:hAnsi="Times New Roman" w:cs="Times New Roman"/>
              <w:sz w:val="24"/>
              <w:szCs w:val="24"/>
            </w:rPr>
            <w:t>44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4.9 – Verificação formal das hipóteses de investigação</w:t>
          </w:r>
          <w:r>
            <w:rPr>
              <w:rFonts w:ascii="Times New Roman" w:hAnsi="Times New Roman" w:cs="Times New Roman"/>
              <w:sz w:val="24"/>
              <w:szCs w:val="24"/>
            </w:rPr>
            <w:tab/>
          </w:r>
          <w:r>
            <w:rPr>
              <w:rFonts w:ascii="Times New Roman" w:hAnsi="Times New Roman" w:cs="Times New Roman"/>
              <w:sz w:val="24"/>
              <w:szCs w:val="24"/>
            </w:rPr>
            <w:t>45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5.1 – Cumprimento dos objectivos específicos</w:t>
          </w:r>
          <w:r>
            <w:rPr>
              <w:rFonts w:ascii="Times New Roman" w:hAnsi="Times New Roman" w:cs="Times New Roman"/>
              <w:sz w:val="24"/>
              <w:szCs w:val="24"/>
            </w:rPr>
            <w:tab/>
          </w:r>
          <w:r>
            <w:rPr>
              <w:rFonts w:ascii="Times New Roman" w:hAnsi="Times New Roman" w:cs="Times New Roman"/>
              <w:sz w:val="24"/>
              <w:szCs w:val="24"/>
            </w:rPr>
            <w:t>48</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C.1 – Escala de interpretação do Kappa (Landis &amp; Koch, 1977)</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C.2 – Acordo entre os três anotadores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C.3 – Acordo por par de anotadores e por categoria (amostras aleatórias, n = 2.443)</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C.4 – Distribuição das etiquetas finais do corpus angolano</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E.1 – Amostra de comentários anotados</w:t>
          </w:r>
          <w:r>
            <w:rPr>
              <w:rFonts w:ascii="Times New Roman" w:hAnsi="Times New Roman" w:cs="Times New Roman"/>
              <w:sz w:val="24"/>
              <w:szCs w:val="24"/>
            </w:rPr>
            <w:tab/>
          </w:r>
          <w:r>
            <w:rPr>
              <w:rFonts w:ascii="Times New Roman" w:hAnsi="Times New Roman" w:cs="Times New Roman"/>
              <w:sz w:val="24"/>
              <w:szCs w:val="24"/>
            </w:rPr>
            <w:t>E1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F.1 – Variáveis de configuração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F.2 – Páginas da aplicação web</w:t>
          </w:r>
          <w:r>
            <w:rPr>
              <w:rFonts w:ascii="Times New Roman" w:hAnsi="Times New Roman" w:cs="Times New Roman"/>
              <w:sz w:val="24"/>
              <w:szCs w:val="24"/>
            </w:rPr>
            <w:tab/>
          </w:r>
          <w:r>
            <w:rPr>
              <w:rFonts w:ascii="Times New Roman" w:hAnsi="Times New Roman" w:cs="Times New Roman"/>
              <w:sz w:val="24"/>
              <w:szCs w:val="24"/>
            </w:rPr>
            <w:t>F2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F.3 – Atalhos de teclado</w:t>
          </w:r>
          <w:r>
            <w:rPr>
              <w:rFonts w:ascii="Times New Roman" w:hAnsi="Times New Roman" w:cs="Times New Roman"/>
              <w:sz w:val="24"/>
              <w:szCs w:val="24"/>
            </w:rPr>
            <w:tab/>
          </w:r>
          <w:r>
            <w:rPr>
              <w:rFonts w:ascii="Times New Roman" w:hAnsi="Times New Roman" w:cs="Times New Roman"/>
              <w:sz w:val="24"/>
              <w:szCs w:val="24"/>
            </w:rPr>
            <w:t>F3</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F.4 – Comandos do sistema</w:t>
          </w:r>
          <w:r>
            <w:rPr>
              <w:rFonts w:ascii="Times New Roman" w:hAnsi="Times New Roman" w:cs="Times New Roman"/>
              <w:sz w:val="24"/>
              <w:szCs w:val="24"/>
            </w:rPr>
            <w:tab/>
          </w:r>
          <w:r>
            <w:rPr>
              <w:rFonts w:ascii="Times New Roman" w:hAnsi="Times New Roman" w:cs="Times New Roman"/>
              <w:sz w:val="24"/>
              <w:szCs w:val="24"/>
            </w:rPr>
            <w:t>F4</w:t>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FIGURAS</w:t>
      </w:r>
    </w:p>
    <w:sdt>
      <w:sdtPr>
        <w:alias w:val="Índice de figuras"/>
      </w:sdtPr>
      <w:sdtContent>
        <w:p>
          <w:r>
            <w:fldChar w:fldCharType="begin"/>
            <w:instrText xml:space="preserve">TOC \h \t "LegendaFigura,1"</w:instrText>
            <w:fldChar w:fldCharType="separate"/>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1.1 – Indicadores do ecossistema digital angolano (Outubro de 2025)</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3.1 – Desenho da investigação</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3.2 – Construção do corpus híbrido e divisão em treino, validação e teste</w:t>
          </w:r>
          <w:r>
            <w:rPr>
              <w:rFonts w:ascii="Times New Roman" w:hAnsi="Times New Roman" w:cs="Times New Roman"/>
              <w:sz w:val="24"/>
              <w:szCs w:val="24"/>
            </w:rPr>
            <w:tab/>
          </w:r>
          <w:r>
            <w:rPr>
              <w:rFonts w:ascii="Times New Roman" w:hAnsi="Times New Roman" w:cs="Times New Roman"/>
              <w:sz w:val="24"/>
              <w:szCs w:val="24"/>
            </w:rPr>
            <w:t>18</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3.3 – Arquitectura em camadas do sistema de triagem</w:t>
          </w:r>
          <w:r>
            <w:rPr>
              <w:rFonts w:ascii="Times New Roman" w:hAnsi="Times New Roman" w:cs="Times New Roman"/>
              <w:sz w:val="24"/>
              <w:szCs w:val="24"/>
            </w:rPr>
            <w:tab/>
          </w:r>
          <w:r>
            <w:rPr>
              <w:rFonts w:ascii="Times New Roman" w:hAnsi="Times New Roman" w:cs="Times New Roman"/>
              <w:sz w:val="24"/>
              <w:szCs w:val="24"/>
            </w:rPr>
            <w:t>23</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3.4 – Modelo de dados do sistema</w:t>
          </w:r>
          <w:r>
            <w:rPr>
              <w:rFonts w:ascii="Times New Roman" w:hAnsi="Times New Roman" w:cs="Times New Roman"/>
              <w:sz w:val="24"/>
              <w:szCs w:val="24"/>
            </w:rPr>
            <w:tab/>
          </w:r>
          <w:r>
            <w:rPr>
              <w:rFonts w:ascii="Times New Roman" w:hAnsi="Times New Roman" w:cs="Times New Roman"/>
              <w:sz w:val="24"/>
              <w:szCs w:val="24"/>
            </w:rPr>
            <w:t>26</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3.5 – Diagrama de casos de uso (UML)</w:t>
          </w:r>
          <w:r>
            <w:rPr>
              <w:rFonts w:ascii="Times New Roman" w:hAnsi="Times New Roman" w:cs="Times New Roman"/>
              <w:sz w:val="24"/>
              <w:szCs w:val="24"/>
            </w:rPr>
            <w:tab/>
          </w:r>
          <w:r>
            <w:rPr>
              <w:rFonts w:ascii="Times New Roman" w:hAnsi="Times New Roman" w:cs="Times New Roman"/>
              <w:sz w:val="24"/>
              <w:szCs w:val="24"/>
            </w:rPr>
            <w:t>27</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3.6 – Diagrama de sequência (UML): da recolha à revisão</w:t>
          </w:r>
          <w:r>
            <w:rPr>
              <w:rFonts w:ascii="Times New Roman" w:hAnsi="Times New Roman" w:cs="Times New Roman"/>
              <w:sz w:val="24"/>
              <w:szCs w:val="24"/>
            </w:rPr>
            <w:tab/>
          </w:r>
          <w:r>
            <w:rPr>
              <w:rFonts w:ascii="Times New Roman" w:hAnsi="Times New Roman" w:cs="Times New Roman"/>
              <w:sz w:val="24"/>
              <w:szCs w:val="24"/>
            </w:rPr>
            <w:t>28</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3.7 – Fila de revisão na aplicação web</w:t>
          </w:r>
          <w:r>
            <w:rPr>
              <w:rFonts w:ascii="Times New Roman" w:hAnsi="Times New Roman" w:cs="Times New Roman"/>
              <w:sz w:val="24"/>
              <w:szCs w:val="24"/>
            </w:rPr>
            <w:tab/>
          </w:r>
          <w:r>
            <w:rPr>
              <w:rFonts w:ascii="Times New Roman" w:hAnsi="Times New Roman" w:cs="Times New Roman"/>
              <w:sz w:val="24"/>
              <w:szCs w:val="24"/>
            </w:rPr>
            <w:t>29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3.8 – Mapa por província na aplicação web</w:t>
          </w:r>
          <w:r>
            <w:rPr>
              <w:rFonts w:ascii="Times New Roman" w:hAnsi="Times New Roman" w:cs="Times New Roman"/>
              <w:sz w:val="24"/>
              <w:szCs w:val="24"/>
            </w:rPr>
            <w:tab/>
          </w:r>
          <w:r>
            <w:rPr>
              <w:rFonts w:ascii="Times New Roman" w:hAnsi="Times New Roman" w:cs="Times New Roman"/>
              <w:sz w:val="24"/>
              <w:szCs w:val="24"/>
            </w:rPr>
            <w:t>30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3.9 – Ficha do modelo na aplicação web</w:t>
          </w:r>
          <w:r>
            <w:rPr>
              <w:rFonts w:ascii="Times New Roman" w:hAnsi="Times New Roman" w:cs="Times New Roman"/>
              <w:sz w:val="24"/>
              <w:szCs w:val="24"/>
            </w:rPr>
            <w:tab/>
          </w:r>
          <w:r>
            <w:rPr>
              <w:rFonts w:ascii="Times New Roman" w:hAnsi="Times New Roman" w:cs="Times New Roman"/>
              <w:sz w:val="24"/>
              <w:szCs w:val="24"/>
            </w:rPr>
            <w:t>31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4.1 – Curvas ROC um-contra-todos por categoria e modelo (conjunto de teste; AUC entre parêntesis)</w:t>
          </w:r>
          <w:r>
            <w:rPr>
              <w:rFonts w:ascii="Times New Roman" w:hAnsi="Times New Roman" w:cs="Times New Roman"/>
              <w:sz w:val="24"/>
              <w:szCs w:val="24"/>
            </w:rPr>
            <w:tab/>
          </w:r>
          <w:r>
            <w:rPr>
              <w:rFonts w:ascii="Times New Roman" w:hAnsi="Times New Roman" w:cs="Times New Roman"/>
              <w:sz w:val="24"/>
              <w:szCs w:val="24"/>
            </w:rPr>
            <w:t>36</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4.2 – Matrizes de confusão (4 × 4) no conjunto de teste (contagens e percentagem por linha)</w:t>
          </w:r>
          <w:r>
            <w:rPr>
              <w:rFonts w:ascii="Times New Roman" w:hAnsi="Times New Roman" w:cs="Times New Roman"/>
              <w:sz w:val="24"/>
              <w:szCs w:val="24"/>
            </w:rPr>
            <w:tab/>
          </w:r>
          <w:r>
            <w:rPr>
              <w:rFonts w:ascii="Times New Roman" w:hAnsi="Times New Roman" w:cs="Times New Roman"/>
              <w:sz w:val="24"/>
              <w:szCs w:val="24"/>
            </w:rPr>
            <w:t>39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4.3 – F1 por categoria do BERTimbau no corpus público e no piloto angolano (conjunto de teste)</w:t>
          </w:r>
          <w:r>
            <w:rPr>
              <w:rFonts w:ascii="Times New Roman" w:hAnsi="Times New Roman" w:cs="Times New Roman"/>
              <w:sz w:val="24"/>
              <w:szCs w:val="24"/>
            </w:rPr>
            <w:tab/>
          </w:r>
          <w:r>
            <w:rPr>
              <w:rFonts w:ascii="Times New Roman" w:hAnsi="Times New Roman" w:cs="Times New Roman"/>
              <w:sz w:val="24"/>
              <w:szCs w:val="24"/>
            </w:rPr>
            <w:t>42</w:t>
          </w:r>
        </w:p>
        <w:p>
          <w:r>
            <w:fldChar w:fldCharType="end"/>
          </w:r>
        </w:p>
      </w:sdtContent>
    </w:sdt>
    <w:p>
      <w:pPr>
        <w:sectPr>
          <w:headerReference w:type="default" r:id="rId9"/>
          <w:headerReference w:type="first" r:id="rId10"/>
          <w:footerReference w:type="default" r:id="rId11"/>
          <w:footerReference w:type="first" r:id="rId12"/>
          <w:type w:val="nextPage"/>
          <w:pgSz w:w="11906" w:h="16838" w:orient="portrait"/>
          <w:pgMar w:top="1701" w:right="1701" w:bottom="1417" w:left="1984" w:header="850" w:footer="567" w:gutter="0"/>
          <w:pgNumType w:start="1" w:fmt="lowerRoman"/>
          <w:titlePg/>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1 – INTRODUÇÃO</w:t>
      </w:r>
    </w:p>
    <w:p>
      <w:pPr>
        <w:pStyle w:val="Heading2"/>
        <w:keepNext/>
        <w:keepLines/>
        <w:spacing w:after="160" w:before="360" w:line="300"/>
      </w:pPr>
      <w:r>
        <w:rPr>
          <w:rFonts w:ascii="Times New Roman" w:cs="Times New Roman" w:eastAsia="Times New Roman" w:hAnsi="Times New Roman"/>
          <w:b/>
          <w:bCs/>
          <w:sz w:val="26"/>
          <w:szCs w:val="26"/>
        </w:rPr>
        <w:t xml:space="preserve">1.1 Contextualização</w:t>
      </w:r>
    </w:p>
    <w:p>
      <w:pPr>
        <w:spacing w:after="120" w:before="0" w:line="360"/>
        <w:ind w:firstLine="567"/>
        <w:jc w:val="both"/>
      </w:pPr>
      <w:r>
        <w:rPr>
          <w:rFonts w:ascii="Times New Roman" w:cs="Times New Roman" w:eastAsia="Times New Roman" w:hAnsi="Times New Roman"/>
          <w:sz w:val="24"/>
          <w:szCs w:val="24"/>
        </w:rPr>
        <w:t xml:space="preserve">As redes sociais deixaram de ser apenas lugares de convívio. Hoje é nelas que muitas pessoas se informam, discutem política e combinam encontros, e é também nelas que circulam boatos, insultos dirigidos a grupos e convocatórias que podem pôr em risco a ordem pública. Por isso, em quase todos os países com acesso generalizado à Internet, as plataformas digitais passaram também a ser assunto de segurança nacional.</w:t>
      </w:r>
    </w:p>
    <w:p>
      <w:pPr>
        <w:spacing w:after="120" w:before="0" w:line="360"/>
        <w:ind w:firstLine="567"/>
        <w:jc w:val="both"/>
      </w:pPr>
      <w:r>
        <w:rPr>
          <w:rFonts w:ascii="Times New Roman" w:cs="Times New Roman" w:eastAsia="Times New Roman" w:hAnsi="Times New Roman"/>
          <w:sz w:val="24"/>
          <w:szCs w:val="24"/>
        </w:rPr>
        <w:t xml:space="preserve">Em Angola, o fenómeno tem uma escala considerável. Segundo o relatório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o país tinha, em Outubro de 2025, cerca de 17,6 milhões de utilizadores da Internet (44,8% da população) e 5,50 milhões de identidades em redes sociais, o equivalente a 14,0% da população (Kemp, 2025). O Facebook é a plataforma com maior alcance publicitário, seguido do TikTok, e as ligações móveis (30,6 milhões) superam largamente o número de computadores, o que faz do telemóvel o principal ponto de acesso. A Figura 1.1 resume estes indicadores.</w:t>
      </w:r>
    </w:p>
    <w:p>
      <w:pPr>
        <w:keepNext/>
        <w:spacing w:after="40" w:before="160"/>
        <w:jc w:val="center"/>
      </w:pPr>
      <w:r>
        <w:drawing>
          <wp:inline distT="0" distB="0" distL="0" distR="0">
            <wp:extent cx="5038725" cy="2524125"/>
            <wp:effectExtent t="0" r="0" b="0" l="0"/>
            <wp:docPr id="1" name="fig1_1_ecossistema.png" descr="fig1_1_ecossistema.png" title="fig1_1_ecos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38725" cy="25241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1.1 – Indicadores do ecossistema digital angolano (Outubro de 2025)</w:t>
      </w:r>
    </w:p>
    <w:p>
      <w:pPr>
        <w:spacing w:after="240" w:before="0" w:line="240"/>
        <w:jc w:val="center"/>
      </w:pPr>
      <w:r>
        <w:rPr>
          <w:rFonts w:ascii="Times New Roman" w:cs="Times New Roman" w:eastAsia="Times New Roman" w:hAnsi="Times New Roman"/>
          <w:i/>
          <w:iCs/>
          <w:sz w:val="18"/>
          <w:szCs w:val="18"/>
        </w:rPr>
        <w:t xml:space="preserve">Fonte: elaborado a partir de Kemp (2025). Os valores de alcance publicitário não correspondem a utilizadores únicos.</w:t>
      </w:r>
    </w:p>
    <w:p>
      <w:pPr>
        <w:spacing w:after="120" w:before="0" w:line="360"/>
        <w:ind w:firstLine="567"/>
        <w:jc w:val="both"/>
      </w:pPr>
      <w:r>
        <w:rPr>
          <w:rFonts w:ascii="Times New Roman" w:cs="Times New Roman" w:eastAsia="Times New Roman" w:hAnsi="Times New Roman"/>
          <w:sz w:val="24"/>
          <w:szCs w:val="24"/>
        </w:rPr>
        <w:t xml:space="preserve">Dois episódios ilustram o peso político deste espaço. A campanha «2022 Vais Gostar» nasceu nas redes sociais e acabou por se traduzir em manifestações em várias províncias (Hassane, 2021). A influência das redes no comportamento eleitoral dos jovens nas eleições de 2022 foi igualmente documentada (Sambaca &amp; Pessoa, 2026). Nos dois casos, a mobilização começou na Internet e só alguns dias depois chegou às ruas.</w:t>
      </w:r>
    </w:p>
    <w:p>
      <w:pPr>
        <w:spacing w:after="120" w:before="0" w:line="360"/>
        <w:ind w:firstLine="567"/>
        <w:jc w:val="both"/>
      </w:pPr>
      <w:r>
        <w:rPr>
          <w:rFonts w:ascii="Times New Roman" w:cs="Times New Roman" w:eastAsia="Times New Roman" w:hAnsi="Times New Roman"/>
          <w:sz w:val="24"/>
          <w:szCs w:val="24"/>
        </w:rPr>
        <w:t xml:space="preserve">Para as estruturas de defesa e segurança, a dificuldade está no volume. Não é possível ler tudo o que se publica, e as ferramentas comerciais de monitorização foram concebidas para outras línguas, outros contextos e outros orçamentos. Há, por isso, espaço para um sistema que ajude o analista a decidir o que ler primeiro, adaptado ao português usado em Angola e assente em princípios claros de protecção de dados.</w:t>
      </w:r>
    </w:p>
    <w:p>
      <w:pPr>
        <w:pStyle w:val="Heading2"/>
        <w:keepNext/>
        <w:keepLines/>
        <w:spacing w:after="160" w:before="360" w:line="300"/>
      </w:pPr>
      <w:r>
        <w:rPr>
          <w:rFonts w:ascii="Times New Roman" w:cs="Times New Roman" w:eastAsia="Times New Roman" w:hAnsi="Times New Roman"/>
          <w:b/>
          <w:bCs/>
          <w:sz w:val="26"/>
          <w:szCs w:val="26"/>
        </w:rPr>
        <w:t xml:space="preserve">1.2 Problema de investigação</w:t>
      </w:r>
    </w:p>
    <w:p>
      <w:pPr>
        <w:spacing w:after="120" w:before="0" w:line="360"/>
        <w:ind w:firstLine="567"/>
        <w:jc w:val="both"/>
      </w:pPr>
      <w:r>
        <w:rPr>
          <w:rFonts w:ascii="Times New Roman" w:cs="Times New Roman" w:eastAsia="Times New Roman" w:hAnsi="Times New Roman"/>
          <w:sz w:val="24"/>
          <w:szCs w:val="24"/>
        </w:rPr>
        <w:t xml:space="preserve">O problema que motiva esta dissertação tem uma dimensão técnica e outra operacional. Do lado técnico, não existe, tanto quanto foi possível apurar, um classificador de conteúdos ameaçadores treinado e avaliado com dados angolanos. Os modelos de linguagem disponíveis para o português, como o BERTimbau (Souza et al., 2020), foram pré-treinados sobretudo com texto brasileiro, e os corpora anotados para discurso de ódio e desinformação em português provêm igualmente do Brasil (Leite et al., 2020; Monteiro et al., 2018; Vargas et al., 2022). Não se sabe, portanto, quanto do desempenho reportado nesses trabalhos se mantém quando o texto é angolano.</w:t>
      </w:r>
    </w:p>
    <w:p>
      <w:pPr>
        <w:spacing w:after="120" w:before="0" w:line="360"/>
        <w:ind w:firstLine="567"/>
        <w:jc w:val="both"/>
      </w:pPr>
      <w:r>
        <w:rPr>
          <w:rFonts w:ascii="Times New Roman" w:cs="Times New Roman" w:eastAsia="Times New Roman" w:hAnsi="Times New Roman"/>
          <w:sz w:val="24"/>
          <w:szCs w:val="24"/>
        </w:rPr>
        <w:t xml:space="preserve">Do lado operacional, mesmo um bom classificador comete erros, e esses erros não custam todos o mesmo. Classificar uma convocatória pacífica como mobilização hostil pode lesar direitos constitucionais; deixar passar uma convocatória para a violência pode ter consequências graves. Um sistema útil para a segurança nacional tem de ser desenhado em função desta assimetria, mantendo o analista humano no centro da decisão.</w:t>
      </w:r>
    </w:p>
    <w:p>
      <w:pPr>
        <w:spacing w:after="120" w:before="0" w:line="360"/>
        <w:ind w:firstLine="567"/>
        <w:jc w:val="both"/>
      </w:pPr>
      <w:r>
        <w:rPr>
          <w:rFonts w:ascii="Times New Roman" w:cs="Times New Roman" w:eastAsia="Times New Roman" w:hAnsi="Times New Roman"/>
          <w:sz w:val="24"/>
          <w:szCs w:val="24"/>
        </w:rPr>
        <w:t xml:space="preserve">A pergunta de partida é, assim, a seguinte: </w:t>
      </w:r>
      <w:r>
        <w:rPr>
          <w:rFonts w:ascii="Times New Roman" w:cs="Times New Roman" w:eastAsia="Times New Roman" w:hAnsi="Times New Roman"/>
          <w:b/>
          <w:bCs/>
          <w:sz w:val="24"/>
          <w:szCs w:val="24"/>
        </w:rPr>
        <w:t xml:space="preserve">em que medida um sistema baseado em aprendizagem automática consegue apoiar, de forma fiável e juridicamente responsável, a triagem de publicações ameaçadoras em redes sociais angolanas?</w:t>
      </w:r>
    </w:p>
    <w:p>
      <w:pPr>
        <w:pStyle w:val="Heading2"/>
        <w:keepNext/>
        <w:keepLines/>
        <w:spacing w:after="160" w:before="360" w:line="300"/>
      </w:pPr>
      <w:r>
        <w:rPr>
          <w:rFonts w:ascii="Times New Roman" w:cs="Times New Roman" w:eastAsia="Times New Roman" w:hAnsi="Times New Roman"/>
          <w:b/>
          <w:bCs/>
          <w:sz w:val="26"/>
          <w:szCs w:val="26"/>
        </w:rPr>
        <w:t xml:space="preserve">1.3 Hipóteses de investigação</w:t>
      </w:r>
    </w:p>
    <w:p>
      <w:pPr>
        <w:spacing w:after="120" w:before="0" w:line="360"/>
        <w:ind w:firstLine="567"/>
        <w:jc w:val="both"/>
      </w:pPr>
      <w:r>
        <w:rPr>
          <w:rFonts w:ascii="Times New Roman" w:cs="Times New Roman" w:eastAsia="Times New Roman" w:hAnsi="Times New Roman"/>
          <w:sz w:val="24"/>
          <w:szCs w:val="24"/>
        </w:rPr>
        <w:t xml:space="preserve">As hipóteses foram formuladas para serem refutáveis e para terem um critério quantitativo de decisão. Cada uma responde a um ou mais objectivos específicos (Secção 1.4).</w:t>
      </w:r>
    </w:p>
    <w:p>
      <w:pPr>
        <w:spacing w:after="120" w:before="0" w:line="360"/>
        <w:ind w:firstLine="567"/>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Os modelos de aprendizagem profunda (BERTimbau e Bi-LSTM) superam os modelos clássicos (SVM e Floresta Aleatória) na classificação das quatro categorias, com diferença de F1-macro de pelo menos 5 pontos percentuais e significância estatística (p &lt; 0,05 no teste de McNemar com correcção de Bonferroni).</w:t>
      </w:r>
    </w:p>
    <w:p>
      <w:pPr>
        <w:spacing w:after="120" w:before="0" w:line="360"/>
        <w:ind w:firstLine="567"/>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O sistema processa cada publicação recolhida (importação, anonimização, classificação e entrada na fila de revisão) em menos de 60 segundos.</w:t>
      </w:r>
    </w:p>
    <w:p>
      <w:pPr>
        <w:spacing w:after="120" w:before="0" w:line="360"/>
        <w:ind w:firstLine="567"/>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O sistema detecta padrões de risco com pelo menos 48 horas de antecedência em relação a eventos de segurança documentados, numa validação retrospectiva com divisão cronológica dos dados.</w:t>
      </w:r>
    </w:p>
    <w:p>
      <w:pPr>
        <w:spacing w:after="120" w:before="0" w:line="360"/>
        <w:ind w:firstLine="567"/>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O desempenho do modelo seleccionado degrada-se significativamente (pelo menos 5 pontos percentuais de F1-macro) em conteúdo angolano, quando comparado com o conteúdo dos corpora públicos usados no treino.</w:t>
      </w:r>
    </w:p>
    <w:p>
      <w:pPr>
        <w:spacing w:after="120" w:before="0" w:line="360"/>
        <w:ind w:firstLine="567"/>
        <w:jc w:val="both"/>
      </w:pPr>
      <w:r>
        <w:rPr>
          <w:rFonts w:ascii="Times New Roman" w:cs="Times New Roman" w:eastAsia="Times New Roman" w:hAnsi="Times New Roman"/>
          <w:sz w:val="24"/>
          <w:szCs w:val="24"/>
        </w:rPr>
        <w:t xml:space="preserve">A H4 compara o conteúdo angolano no seu todo com o conteúdo dos corpora públicos. Uma comparação mais fina, por exemplo entre comentários com e sem calão urbano ou com e sem palavras de línguas nacionais, exigiria uma marcação que o corpus anotado não tem, e fica como trabalho futuro.</w:t>
      </w:r>
    </w:p>
    <w:p>
      <w:pPr>
        <w:pStyle w:val="Heading2"/>
        <w:keepNext/>
        <w:keepLines/>
        <w:spacing w:after="160" w:before="360" w:line="300"/>
      </w:pPr>
      <w:r>
        <w:rPr>
          <w:rFonts w:ascii="Times New Roman" w:cs="Times New Roman" w:eastAsia="Times New Roman" w:hAnsi="Times New Roman"/>
          <w:b/>
          <w:bCs/>
          <w:sz w:val="26"/>
          <w:szCs w:val="26"/>
        </w:rPr>
        <w:t xml:space="preserve">1.4 Objectivos</w:t>
      </w:r>
    </w:p>
    <w:p>
      <w:pPr>
        <w:pStyle w:val="Heading3"/>
        <w:keepNext/>
        <w:spacing w:after="120" w:before="240"/>
      </w:pPr>
      <w:r>
        <w:rPr>
          <w:rFonts w:ascii="Times New Roman" w:cs="Times New Roman" w:eastAsia="Times New Roman" w:hAnsi="Times New Roman"/>
          <w:b/>
          <w:bCs/>
          <w:sz w:val="24"/>
          <w:szCs w:val="24"/>
        </w:rPr>
        <w:t xml:space="preserve">1.4.1 Objectivo geral</w:t>
      </w:r>
    </w:p>
    <w:p>
      <w:pPr>
        <w:spacing w:after="120" w:before="0" w:line="360"/>
        <w:ind w:firstLine="567"/>
        <w:jc w:val="both"/>
      </w:pPr>
      <w:r>
        <w:rPr>
          <w:rFonts w:ascii="Times New Roman" w:cs="Times New Roman" w:eastAsia="Times New Roman" w:hAnsi="Times New Roman"/>
          <w:sz w:val="24"/>
          <w:szCs w:val="24"/>
        </w:rPr>
        <w:t xml:space="preserve">Desenvolver e avaliar um sistema de apoio à triagem de publicações ameaçadoras em redes sociais angolanas, que combine um classificador de linguagem natural adaptado ao português com revisão humana obrigatória e com protecção de dados pessoais desde a concepção.</w:t>
      </w:r>
    </w:p>
    <w:p>
      <w:pPr>
        <w:pStyle w:val="Heading3"/>
        <w:keepNext/>
        <w:spacing w:after="120" w:before="240"/>
      </w:pPr>
      <w:r>
        <w:rPr>
          <w:rFonts w:ascii="Times New Roman" w:cs="Times New Roman" w:eastAsia="Times New Roman" w:hAnsi="Times New Roman"/>
          <w:b/>
          <w:bCs/>
          <w:sz w:val="24"/>
          <w:szCs w:val="24"/>
        </w:rPr>
        <w:t xml:space="preserve">1.4.2 Objectivos específicos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OE1.</w:t>
      </w:r>
      <w:r>
        <w:rPr>
          <w:rFonts w:ascii="Times New Roman" w:cs="Times New Roman" w:eastAsia="Times New Roman" w:hAnsi="Times New Roman"/>
          <w:sz w:val="24"/>
          <w:szCs w:val="24"/>
        </w:rPr>
        <w:t xml:space="preserve"> Construir um corpus de comentários públicos angolanos anotado em quatro categorias por três anotadores, medindo o acordo entre anotadores e registando a proveniência de cada lote de dados.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OE2.</w:t>
      </w:r>
      <w:r>
        <w:rPr>
          <w:rFonts w:ascii="Times New Roman" w:cs="Times New Roman" w:eastAsia="Times New Roman" w:hAnsi="Times New Roman"/>
          <w:sz w:val="24"/>
          <w:szCs w:val="24"/>
        </w:rPr>
        <w:t xml:space="preserve"> Comparar quatro algoritmos de classificação (SVM, Floresta Aleatória, Bi-LSTM e BERTimbau) com intervalos de confiança e testes estatísticos emparelhados.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OE3.</w:t>
      </w:r>
      <w:r>
        <w:rPr>
          <w:rFonts w:ascii="Times New Roman" w:cs="Times New Roman" w:eastAsia="Times New Roman" w:hAnsi="Times New Roman"/>
          <w:sz w:val="24"/>
          <w:szCs w:val="24"/>
        </w:rPr>
        <w:t xml:space="preserve"> Quantificar a diferença de desempenho entre conteúdo angolano e conteúdo dos corpora públicos e identificar as suas causas prováveis.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OE4.</w:t>
      </w:r>
      <w:r>
        <w:rPr>
          <w:rFonts w:ascii="Times New Roman" w:cs="Times New Roman" w:eastAsia="Times New Roman" w:hAnsi="Times New Roman"/>
          <w:sz w:val="24"/>
          <w:szCs w:val="24"/>
        </w:rPr>
        <w:t xml:space="preserve"> Desenvolver um protótipo de sistema de triagem com fila de revisão, painel do analista, serviço de inferência, alertas e mapa por província, e definir o protocolo da sua avaliação operacional.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OE5.</w:t>
      </w:r>
      <w:r>
        <w:rPr>
          <w:rFonts w:ascii="Times New Roman" w:cs="Times New Roman" w:eastAsia="Times New Roman" w:hAnsi="Times New Roman"/>
          <w:sz w:val="24"/>
          <w:szCs w:val="24"/>
        </w:rPr>
        <w:t xml:space="preserve"> Propor um quadro de uso responsável do sistema, conforme a Lei n.º 22/11 de Protecção de Dados Pessoais e os direitos consagrados na Constituição da República de Angola.</w:t>
      </w:r>
    </w:p>
    <w:p>
      <w:pPr>
        <w:spacing w:after="120" w:before="120" w:line="360"/>
        <w:ind w:firstLine="567"/>
        <w:jc w:val="both"/>
      </w:pPr>
      <w:r>
        <w:rPr>
          <w:rFonts w:ascii="Times New Roman" w:cs="Times New Roman" w:eastAsia="Times New Roman" w:hAnsi="Times New Roman"/>
          <w:sz w:val="24"/>
          <w:szCs w:val="24"/>
        </w:rPr>
        <w:t xml:space="preserve">A Tabela 1.1 relaciona os objectivos específicos com as hipóteses.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1.1 – Correspondência entre objectivos específicos e hipóteses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0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Objectivo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Hipótese</w:t>
            </w:r>
          </w:p>
        </w:tc>
        <w:tc>
          <w:tcPr>
            <w:tcW w:type="dxa" w:w="3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Natureza</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OE1. Corpus angolano anotado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Construção de dados</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OE2. Comparação de algoritmos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H1</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OE3. Lacuna de domínio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H4</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OE4. Protótipo do sistema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H2, H3</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(protocolo definido)</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OE5. Quadro ético e legal</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Normativo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1.5 Justificação e relevância</w:t>
      </w:r>
    </w:p>
    <w:p>
      <w:pPr>
        <w:spacing w:after="120" w:before="0" w:line="360"/>
        <w:ind w:firstLine="567"/>
        <w:jc w:val="both"/>
      </w:pPr>
      <w:r>
        <w:rPr>
          <w:rFonts w:ascii="Times New Roman" w:cs="Times New Roman" w:eastAsia="Times New Roman" w:hAnsi="Times New Roman"/>
          <w:sz w:val="24"/>
          <w:szCs w:val="24"/>
        </w:rPr>
        <w:t xml:space="preserve">A investigação justifica-se por três razões. Do ponto de vista científico, o português de Angola continua pouco representado nos recursos de processamento de linguagem natural. Um corpus anotado de comentários angolanos, mesmo de dimensão modesta, permite medir pela primeira vez quanto se perde ao aplicar modelos brasileiros a este domínio, e serve de base a trabalhos futuros.</w:t>
      </w:r>
    </w:p>
    <w:p>
      <w:pPr>
        <w:spacing w:after="120" w:before="0" w:line="360"/>
        <w:ind w:firstLine="567"/>
        <w:jc w:val="both"/>
      </w:pPr>
      <w:r>
        <w:rPr>
          <w:rFonts w:ascii="Times New Roman" w:cs="Times New Roman" w:eastAsia="Times New Roman" w:hAnsi="Times New Roman"/>
          <w:sz w:val="24"/>
          <w:szCs w:val="24"/>
        </w:rPr>
        <w:t xml:space="preserve">Em termos operacionais, uma ferramenta que ordene as publicações por probabilidade de serem problemáticas reduz o tempo que o analista gasta com conteúdo irrelevante, sem lhe retirar a decisão. A arquitectura proposta usa apenas software livre e pode funcionar num único servidor, o que a torna compatível com os recursos disponíveis e com a soberania sobre os dados.</w:t>
      </w:r>
    </w:p>
    <w:p>
      <w:pPr>
        <w:spacing w:after="120" w:before="0" w:line="360"/>
        <w:ind w:firstLine="567"/>
        <w:jc w:val="both"/>
      </w:pPr>
      <w:r>
        <w:rPr>
          <w:rFonts w:ascii="Times New Roman" w:cs="Times New Roman" w:eastAsia="Times New Roman" w:hAnsi="Times New Roman"/>
          <w:sz w:val="24"/>
          <w:szCs w:val="24"/>
        </w:rPr>
        <w:t xml:space="preserve">No plano institucional e jurídico, o trabalho mostra que é possível conceber estes sistemas com salvaguardas concretas: anonimização à entrada, registo de proveniência, prazos de conservação, auditoria e proibição de decisões automáticas sobre pessoas. Sem elas, um sistema deste tipo dificilmente seria aceitável num Estado de direito.</w:t>
      </w:r>
    </w:p>
    <w:p>
      <w:pPr>
        <w:pStyle w:val="Heading2"/>
        <w:keepNext/>
        <w:keepLines/>
        <w:spacing w:after="160" w:before="360" w:line="300"/>
      </w:pPr>
      <w:r>
        <w:rPr>
          <w:rFonts w:ascii="Times New Roman" w:cs="Times New Roman" w:eastAsia="Times New Roman" w:hAnsi="Times New Roman"/>
          <w:b/>
          <w:bCs/>
          <w:sz w:val="26"/>
          <w:szCs w:val="26"/>
        </w:rPr>
        <w:t xml:space="preserve">1.6 Delimitação do estudo</w:t>
      </w:r>
    </w:p>
    <w:p>
      <w:pPr>
        <w:spacing w:after="120" w:before="0" w:line="360"/>
        <w:ind w:firstLine="567"/>
        <w:jc w:val="both"/>
      </w:pPr>
      <w:r>
        <w:rPr>
          <w:rFonts w:ascii="Times New Roman" w:cs="Times New Roman" w:eastAsia="Times New Roman" w:hAnsi="Times New Roman"/>
          <w:sz w:val="24"/>
          <w:szCs w:val="24"/>
        </w:rPr>
        <w:t xml:space="preserve">O estudo limita-se a texto em português publicado em espaços públicos. O corpus angolano é formado sobretudo por comentários públicos do YouTube, recolhidos pela interface oficial da plataforma, e por um conjunto menor de publicações recolhidas manualmente em páginas públicas. Não foram recolhidas mensagens privadas, grupos fechados nem conteúdo que exija autenticação. Imagens, áudio e vídeo ficam fora do âmbito, assim como textos escritos integralmente em línguas nacionais. A avaliação incide sobre o classificador e sobre o funcionamento do protótipo; a integração com sistemas institucionais e a avaliação com analistas em contexto real ficam para trabalho futuro.</w:t>
      </w:r>
    </w:p>
    <w:p>
      <w:pPr>
        <w:pStyle w:val="Heading2"/>
        <w:keepNext/>
        <w:keepLines/>
        <w:spacing w:after="160" w:before="360" w:line="300"/>
      </w:pPr>
      <w:r>
        <w:rPr>
          <w:rFonts w:ascii="Times New Roman" w:cs="Times New Roman" w:eastAsia="Times New Roman" w:hAnsi="Times New Roman"/>
          <w:b/>
          <w:bCs/>
          <w:sz w:val="26"/>
          <w:szCs w:val="26"/>
        </w:rPr>
        <w:t xml:space="preserve">1.7 Estrutura da dissertação</w:t>
      </w:r>
    </w:p>
    <w:p>
      <w:pPr>
        <w:spacing w:after="120" w:before="0" w:line="360"/>
        <w:ind w:firstLine="567"/>
        <w:jc w:val="both"/>
      </w:pPr>
      <w:r>
        <w:rPr>
          <w:rFonts w:ascii="Times New Roman" w:cs="Times New Roman" w:eastAsia="Times New Roman" w:hAnsi="Times New Roman"/>
          <w:sz w:val="24"/>
          <w:szCs w:val="24"/>
        </w:rPr>
        <w:t xml:space="preserve">Para além desta introdução, a dissertação tem quatro capítulos. O Capítulo 2 revê a literatura sobre ameaças digitais, sistemas de monitorização, corpora e modelos para o português, métodos de avaliação e enquadramento ético e legal. O Capítulo 3 descreve a metodologia: a construção do corpus, a anotação, os modelos, o protocolo de avaliação e a arquitectura do sistema. O Capítulo 4 apresenta e discute os resultados e verifica as hipóteses. O Capítulo 5 sintetiza as conclusões, as limitações e as recomendações. Os apêndices reúnem excertos de código, o guia de anotação, os dados de acordo entre anotadores, a declaração dos anotadores e o manual do protótipo.</w:t>
      </w:r>
    </w:p>
    <w:p>
      <w:pPr>
        <w:sectPr>
          <w:headerReference w:type="default" r:id="rId13"/>
          <w:footerReference w:type="default" r:id="rId1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2 – REVISÃO DA LITERATURA</w:t>
      </w:r>
    </w:p>
    <w:p>
      <w:pPr>
        <w:spacing w:after="120" w:before="0" w:line="360"/>
        <w:ind w:firstLine="567"/>
        <w:jc w:val="both"/>
      </w:pPr>
      <w:r>
        <w:rPr>
          <w:rFonts w:ascii="Times New Roman" w:cs="Times New Roman" w:eastAsia="Times New Roman" w:hAnsi="Times New Roman"/>
          <w:sz w:val="24"/>
          <w:szCs w:val="24"/>
        </w:rPr>
        <w:t xml:space="preserve">Este capítulo situa o trabalho em relação ao que já se conhece. Começa pelas redes sociais e pelo contexto angolano, define as categorias de ameaça usadas na dissertação e revê os sistemas de monitorização existentes. Depois trata dos recursos e modelos de linguagem para o português, dos métodos de avaliação de classificadores e do problema da generalização entre domínios. Termina com o enquadramento ético e legal e com uma síntese da lacuna que a investigação procura preencher.</w:t>
      </w:r>
    </w:p>
    <w:p>
      <w:pPr>
        <w:pStyle w:val="Heading2"/>
        <w:keepNext/>
        <w:keepLines/>
        <w:spacing w:after="160" w:before="360" w:line="300"/>
      </w:pPr>
      <w:r>
        <w:rPr>
          <w:rFonts w:ascii="Times New Roman" w:cs="Times New Roman" w:eastAsia="Times New Roman" w:hAnsi="Times New Roman"/>
          <w:b/>
          <w:bCs/>
          <w:sz w:val="26"/>
          <w:szCs w:val="26"/>
        </w:rPr>
        <w:t xml:space="preserve">2.1 Redes sociais: conceito, evolução e dimensão securitária</w:t>
      </w:r>
    </w:p>
    <w:p>
      <w:pPr>
        <w:pStyle w:val="Heading3"/>
        <w:keepNext/>
        <w:spacing w:after="120" w:before="240"/>
      </w:pPr>
      <w:r>
        <w:rPr>
          <w:rFonts w:ascii="Times New Roman" w:cs="Times New Roman" w:eastAsia="Times New Roman" w:hAnsi="Times New Roman"/>
          <w:b/>
          <w:bCs/>
          <w:sz w:val="24"/>
          <w:szCs w:val="24"/>
        </w:rPr>
        <w:t xml:space="preserve">2.1.1 Conceito e evolução</w:t>
      </w:r>
    </w:p>
    <w:p>
      <w:pPr>
        <w:spacing w:after="120" w:before="0" w:line="360"/>
        <w:ind w:firstLine="567"/>
        <w:jc w:val="both"/>
      </w:pPr>
      <w:r>
        <w:rPr>
          <w:rFonts w:ascii="Times New Roman" w:cs="Times New Roman" w:eastAsia="Times New Roman" w:hAnsi="Times New Roman"/>
          <w:sz w:val="24"/>
          <w:szCs w:val="24"/>
        </w:rPr>
        <w:t xml:space="preserve">Boyd e Ellison (2007) definem as redes sociais como serviços que permitem construir um perfil público, articular uma lista de contactos e percorrer as ligações dentro do sistema. A definição capta a estrutura das plataformas, mas não o papel que vieram a ter na vida pública. Ao longo de três décadas passou-se de redes de perfis e ligações declaradas (SixDegrees, Friendster, MySpace) para plataformas de conteúdo gerado pelos utilizadores e de seguimento assimétrico (Facebook, YouTube, Twitter) e, finalmente, para serviços móveis em que o que cada pessoa vê é decidido por algoritmos de recomendação (Instagram, TikTok, Telegram).</w:t>
      </w:r>
    </w:p>
    <w:p>
      <w:pPr>
        <w:spacing w:after="120" w:before="0" w:line="360"/>
        <w:ind w:firstLine="567"/>
        <w:jc w:val="both"/>
      </w:pPr>
      <w:r>
        <w:rPr>
          <w:rFonts w:ascii="Times New Roman" w:cs="Times New Roman" w:eastAsia="Times New Roman" w:hAnsi="Times New Roman"/>
          <w:sz w:val="24"/>
          <w:szCs w:val="24"/>
        </w:rPr>
        <w:t xml:space="preserve">Esta última mudança é relevante para a segurança. Quando a recomendação privilegia o envolvimento, o conteúdo que provoca indignação, medo ou raiva tende a circular mais, independentemente da intenção de quem o publica. Castells (2013) mostrou, a propósito da Primavera Árabe, como redes horizontais permitem coordenar acções políticas sem passar pelos meios de comunicação tradicionais. Uma década depois, esta forma de coordenação deixou de ser excepcional e faz parte do funcionamento corrente das redes.</w:t>
      </w:r>
    </w:p>
    <w:p>
      <w:pPr>
        <w:pStyle w:val="Heading3"/>
        <w:keepNext/>
        <w:spacing w:after="120" w:before="240"/>
      </w:pPr>
      <w:r>
        <w:rPr>
          <w:rFonts w:ascii="Times New Roman" w:cs="Times New Roman" w:eastAsia="Times New Roman" w:hAnsi="Times New Roman"/>
          <w:b/>
          <w:bCs/>
          <w:sz w:val="24"/>
          <w:szCs w:val="24"/>
        </w:rPr>
        <w:t xml:space="preserve">2.1.2 O ecossistema digital angolano</w:t>
      </w:r>
    </w:p>
    <w:p>
      <w:pPr>
        <w:spacing w:after="120" w:before="0" w:line="360"/>
        <w:ind w:firstLine="567"/>
        <w:jc w:val="both"/>
      </w:pPr>
      <w:r>
        <w:rPr>
          <w:rFonts w:ascii="Times New Roman" w:cs="Times New Roman" w:eastAsia="Times New Roman" w:hAnsi="Times New Roman"/>
          <w:sz w:val="24"/>
          <w:szCs w:val="24"/>
        </w:rPr>
        <w:t xml:space="preserve">Os dados de Kemp (2025) mostram um ecossistema em crescimento, mas ainda concentrado: 5,50 milhões de identidades em redes sociais numa população de 39,3 milhões, com o Facebook à frente em alcance e o TikTok em segundo lugar. O acesso faz-se sobretudo por telemóvel. A concentração urbana dos utilizadores, em especial em Luanda, significa que o que se discute online chega rapidamente às zonas de maior densidade populacional, e daí, por contacto pessoal, a quem não está ligado.</w:t>
      </w:r>
    </w:p>
    <w:p>
      <w:pPr>
        <w:spacing w:after="120" w:before="0" w:line="360"/>
        <w:ind w:firstLine="567"/>
        <w:jc w:val="both"/>
      </w:pPr>
      <w:r>
        <w:rPr>
          <w:rFonts w:ascii="Times New Roman" w:cs="Times New Roman" w:eastAsia="Times New Roman" w:hAnsi="Times New Roman"/>
          <w:sz w:val="24"/>
          <w:szCs w:val="24"/>
        </w:rPr>
        <w:t xml:space="preserve">Dois episódios marcaram a relação entre redes sociais e segurança em Angola. A campanha «2022 Vais Gostar» começou online e resultou em manifestações simultâneas em várias províncias (Hassane, 2021). Nos protestos de Agosto de 2025, foram referidos conteúdos sintéticos usados para influenciar a narrativa pública (Cintra, 2025). Marcon (2019) descreve, numa perspectiva sociológica, como os jovens angolanos usam estes espaços para formas de activismo que nem sempre encontram expressão nos canais tradicionais, o que reforça a necessidade de distinguir com cuidado o protesto legítimo da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2.2 Categorias de ameaças digitais</w:t>
      </w:r>
    </w:p>
    <w:p>
      <w:pPr>
        <w:spacing w:after="120" w:before="0" w:line="360"/>
        <w:ind w:firstLine="567"/>
        <w:jc w:val="both"/>
      </w:pPr>
      <w:r>
        <w:rPr>
          <w:rFonts w:ascii="Times New Roman" w:cs="Times New Roman" w:eastAsia="Times New Roman" w:hAnsi="Times New Roman"/>
          <w:sz w:val="24"/>
          <w:szCs w:val="24"/>
        </w:rPr>
        <w:t xml:space="preserve">A taxonomia adoptada tem quatro categorias: Normal, Desinformação, Discurso de Ódio e Mobilização Hostil. A escolha procurou equilibrar três critérios: cobrir as ameaças documentadas no contexto angolano, ter categorias suficientemente distintas para treinar classificadores supervisionados e ser compreensível por analistas sem formação em processamento de linguagem natural. Taxonomias mais finas, com subcategorias por alvo ou por grau de urgência, deixariam poucas amostras por classe e tornariam os alertas mais difíceis de interpretar.</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é informação falsa ou enganosa partilhada com intenção de causar dano, distinta do erro involuntário (</w:t>
      </w:r>
      <w:r>
        <w:rPr>
          <w:rFonts w:ascii="Times New Roman" w:cs="Times New Roman" w:eastAsia="Times New Roman" w:hAnsi="Times New Roman"/>
          <w:i/>
          <w:iCs/>
          <w:sz w:val="24"/>
          <w:szCs w:val="24"/>
        </w:rPr>
        <w:t xml:space="preserve">misinformation</w:t>
      </w:r>
      <w:r>
        <w:rPr>
          <w:rFonts w:ascii="Times New Roman" w:cs="Times New Roman" w:eastAsia="Times New Roman" w:hAnsi="Times New Roman"/>
          <w:sz w:val="24"/>
          <w:szCs w:val="24"/>
        </w:rPr>
        <w:t xml:space="preserve">) e da divulgação de informação verdadeira com intenção de prejudicar (</w:t>
      </w:r>
      <w:r>
        <w:rPr>
          <w:rFonts w:ascii="Times New Roman" w:cs="Times New Roman" w:eastAsia="Times New Roman" w:hAnsi="Times New Roman"/>
          <w:i/>
          <w:iCs/>
          <w:sz w:val="24"/>
          <w:szCs w:val="24"/>
        </w:rPr>
        <w:t xml:space="preserve">malinformation</w:t>
      </w:r>
      <w:r>
        <w:rPr>
          <w:rFonts w:ascii="Times New Roman" w:cs="Times New Roman" w:eastAsia="Times New Roman" w:hAnsi="Times New Roman"/>
          <w:sz w:val="24"/>
          <w:szCs w:val="24"/>
        </w:rPr>
        <w:t xml:space="preserve">) (Wardle &amp; Derakhshan, 2017; UNESCO, 2019). Na prática, a intenção raramente é observável num texto curto; os anotadores apoiam-se em marcadores como a ausência de fonte verificável, o apelo urgente à partilha ou a atribuição de declarações a figuras públicas sem prova.</w:t>
      </w:r>
    </w:p>
    <w:p>
      <w:pPr>
        <w:spacing w:after="120" w:before="0" w:line="360"/>
        <w:ind w:firstLine="567"/>
        <w:jc w:val="both"/>
      </w:pPr>
      <w:r>
        <w:rPr>
          <w:rFonts w:ascii="Times New Roman" w:cs="Times New Roman" w:eastAsia="Times New Roman" w:hAnsi="Times New Roman"/>
          <w:b/>
          <w:bCs/>
          <w:sz w:val="24"/>
          <w:szCs w:val="24"/>
        </w:rPr>
        <w:t xml:space="preserve">Discurso de ódio</w:t>
      </w:r>
      <w:r>
        <w:rPr>
          <w:rFonts w:ascii="Times New Roman" w:cs="Times New Roman" w:eastAsia="Times New Roman" w:hAnsi="Times New Roman"/>
          <w:sz w:val="24"/>
          <w:szCs w:val="24"/>
        </w:rPr>
        <w:t xml:space="preserve"> abrange conteúdos que promovem, incitam ou justificam a discriminação, a hostilidade ou a violência contra pessoas ou grupos com base em características identitárias, como a etnia, a religião, a origem regional, o género ou a orientação sexual (Conselho da Europa, 2022). Fortuna e Nunes (2018) mostram que a categoria inclui tanto o insulto explícito como formas implícitas, por exemplo estereótipos apresentados como factos, que são muito mais difíceis de detectar automaticamente. Num país com dezenas de grupos etnolinguísticos, como Angola, o discurso que opõe grupos entre si tem relevância securitária própria (Elias, 2019).</w:t>
      </w:r>
    </w:p>
    <w:p>
      <w:pPr>
        <w:spacing w:after="120" w:before="0" w:line="360"/>
        <w:ind w:firstLine="567"/>
        <w:jc w:val="both"/>
      </w:pPr>
      <w:r>
        <w:rPr>
          <w:rFonts w:ascii="Times New Roman" w:cs="Times New Roman" w:eastAsia="Times New Roman" w:hAnsi="Times New Roman"/>
          <w:b/>
          <w:bCs/>
          <w:sz w:val="24"/>
          <w:szCs w:val="24"/>
        </w:rPr>
        <w:t xml:space="preserve">Mobilização hostil</w:t>
      </w:r>
      <w:r>
        <w:rPr>
          <w:rFonts w:ascii="Times New Roman" w:cs="Times New Roman" w:eastAsia="Times New Roman" w:hAnsi="Times New Roman"/>
          <w:sz w:val="24"/>
          <w:szCs w:val="24"/>
        </w:rPr>
        <w:t xml:space="preserve"> designa publicações que organizam, coordenam ou incitam à participação em acções ilegais ou violentas, ou que ameacem a ordem pública (Hassane, 2021; Sette Câmara, 2016). É a categoria mais delicada, porque a fronteira com o exercício legítimo dos direitos de expressão e de manifestação, consagrados nos artigos 40.º e 47.º da Constituição da República de Angola (República de Angola, 2010), é ténue. O guia de anotação (Apêndice B) exige a presença conjunta de coordenação explícita, linguagem coerciva ou de violência e ausência de referência ao carácter pacífico da acção; na falta de algum destes elementos, a publicação é classificada como Normal.</w:t>
      </w:r>
    </w:p>
    <w:p>
      <w:pPr>
        <w:spacing w:after="120" w:before="0" w:line="360"/>
        <w:ind w:firstLine="567"/>
        <w:jc w:val="both"/>
      </w:pPr>
      <w:r>
        <w:rPr>
          <w:rFonts w:ascii="Times New Roman" w:cs="Times New Roman" w:eastAsia="Times New Roman" w:hAnsi="Times New Roman"/>
          <w:b/>
          <w:bCs/>
          <w:sz w:val="24"/>
          <w:szCs w:val="24"/>
        </w:rPr>
        <w:t xml:space="preserve">Normal</w:t>
      </w:r>
      <w:r>
        <w:rPr>
          <w:rFonts w:ascii="Times New Roman" w:cs="Times New Roman" w:eastAsia="Times New Roman" w:hAnsi="Times New Roman"/>
          <w:sz w:val="24"/>
          <w:szCs w:val="24"/>
        </w:rPr>
        <w:t xml:space="preserve"> é a categoria residual: tudo o que não cumpre os critérios das restantes, incluindo crítica política, humor, jornalismo e conversa quotidiana. Esta definição por exclusão obriga o anotador a procurar activamente marcadores de ameaça, em vez de se limitar a reconhecer conteúdo inofensivo.</w:t>
      </w:r>
    </w:p>
    <w:p>
      <w:pPr>
        <w:pStyle w:val="Heading2"/>
        <w:keepNext/>
        <w:keepLines/>
        <w:spacing w:after="160" w:before="360" w:line="300"/>
      </w:pPr>
      <w:r>
        <w:rPr>
          <w:rFonts w:ascii="Times New Roman" w:cs="Times New Roman" w:eastAsia="Times New Roman" w:hAnsi="Times New Roman"/>
          <w:b/>
          <w:bCs/>
          <w:sz w:val="26"/>
          <w:szCs w:val="26"/>
        </w:rPr>
        <w:t xml:space="preserve">2.3 Sistemas de monitorização de ameaças</w:t>
      </w:r>
    </w:p>
    <w:p>
      <w:pPr>
        <w:spacing w:after="120" w:before="0" w:line="360"/>
        <w:ind w:firstLine="567"/>
        <w:jc w:val="both"/>
      </w:pPr>
      <w:r>
        <w:rPr>
          <w:rFonts w:ascii="Times New Roman" w:cs="Times New Roman" w:eastAsia="Times New Roman" w:hAnsi="Times New Roman"/>
          <w:sz w:val="24"/>
          <w:szCs w:val="24"/>
        </w:rPr>
        <w:t xml:space="preserve">Os sistemas internacionais de referência mostram o que é tecnicamente possível, mas também porque não se transpõem directamente para Angola. O programa MediFor, da agência norte-americana DARPA, desenvolveu métodos forenses para detectar imagens e vídeos manipulados (Defense Advanced Research Projects Agency, 2016). É um programa de investigação governamental, sem mecanismo de transferência para países terceiros e sem atenção ao português.</w:t>
      </w:r>
    </w:p>
    <w:p>
      <w:pPr>
        <w:spacing w:after="120" w:before="0" w:line="360"/>
        <w:ind w:firstLine="567"/>
        <w:jc w:val="both"/>
      </w:pPr>
      <w:r>
        <w:rPr>
          <w:rFonts w:ascii="Times New Roman" w:cs="Times New Roman" w:eastAsia="Times New Roman" w:hAnsi="Times New Roman"/>
          <w:sz w:val="24"/>
          <w:szCs w:val="24"/>
        </w:rPr>
        <w:t xml:space="preserve">O Palantir Gotham é uma plataforma comercial de análise de grandes volumes de dados heterogéneos usada por agências de segurança (Palantir Technologies, 2021). O seu custo e, sobretudo, a dependência de infra-estrutura e de um fornecedor externos levantam problemas de soberania sobre dados sensíveis. O EU DisinfoLab publica metodologias abertas de análise de redes de desinformação baseadas em fontes abertas (EU DisinfoLab, 2020, 2021); são transferíveis em termos de método, mas foram pensadas para o contexto europeu. O AFRIPOL acompanha as ciberameaças no continente africano através de relatórios periódicos (AFRIPOL, 2023), sem um componente automático de análise de texto em português.</w:t>
      </w:r>
    </w:p>
    <w:p>
      <w:pPr>
        <w:spacing w:after="120" w:before="0" w:line="360"/>
        <w:ind w:firstLine="567"/>
        <w:jc w:val="both"/>
      </w:pPr>
      <w:r>
        <w:rPr>
          <w:rFonts w:ascii="Times New Roman" w:cs="Times New Roman" w:eastAsia="Times New Roman" w:hAnsi="Times New Roman"/>
          <w:sz w:val="24"/>
          <w:szCs w:val="24"/>
        </w:rPr>
        <w:t xml:space="preserve">A Análise de Redes Sociais oferece um complemento útil à classificação de conteúdos. Medidas como a centralidade de grau, a centralidade de intermediação e a densidade permitem identificar contas influentes, pontes entre comunidades e padrões de publicação coordenada (Thelwall, 2009; Freire, 2015). Woolley e Howard (2017) documentam como a propaganda computacional recorre a contas automatizadas e a publicação sincronizada para simular apoio popular. Esta dimensão relacional não foi implementada no protótipo desta dissertação, que trabalha ao nível da publicação individual, mas é uma extensão natural discutida no Capítulo 5.</w:t>
      </w:r>
    </w:p>
    <w:p>
      <w:pPr>
        <w:spacing w:after="120" w:before="0" w:line="360"/>
        <w:ind w:firstLine="567"/>
        <w:jc w:val="both"/>
      </w:pPr>
      <w:r>
        <w:rPr>
          <w:rFonts w:ascii="Times New Roman" w:cs="Times New Roman" w:eastAsia="Times New Roman" w:hAnsi="Times New Roman"/>
          <w:sz w:val="24"/>
          <w:szCs w:val="24"/>
        </w:rPr>
        <w:t xml:space="preserve">Monaco e Arnaudo (2020) sublinham que a monitorização de redes sociais por entidades públicas exige, além da tecnologia, regras claras sobre o que se recolhe, quem acede e como se decide. Esta observação orienta o desenho do sistema proposto: em vez de procurar a máxima cobertura, procura-se um fluxo de trabalho auditável, com o analista no centro.</w:t>
      </w:r>
    </w:p>
    <w:p>
      <w:pPr>
        <w:pStyle w:val="Heading2"/>
        <w:keepNext/>
        <w:keepLines/>
        <w:spacing w:after="160" w:before="360" w:line="300"/>
      </w:pPr>
      <w:r>
        <w:rPr>
          <w:rFonts w:ascii="Times New Roman" w:cs="Times New Roman" w:eastAsia="Times New Roman" w:hAnsi="Times New Roman"/>
          <w:b/>
          <w:bCs/>
          <w:sz w:val="26"/>
          <w:szCs w:val="26"/>
        </w:rPr>
        <w:t xml:space="preserve">2.4 Recursos e modelos de linguagem para o português</w:t>
      </w:r>
    </w:p>
    <w:p>
      <w:pPr>
        <w:pStyle w:val="Heading3"/>
        <w:keepNext/>
        <w:spacing w:after="120" w:before="240"/>
      </w:pPr>
      <w:r>
        <w:rPr>
          <w:rFonts w:ascii="Times New Roman" w:cs="Times New Roman" w:eastAsia="Times New Roman" w:hAnsi="Times New Roman"/>
          <w:b/>
          <w:bCs/>
          <w:sz w:val="24"/>
          <w:szCs w:val="24"/>
        </w:rPr>
        <w:t xml:space="preserve">2.4.1 Corpora anotados</w:t>
      </w:r>
    </w:p>
    <w:p>
      <w:pPr>
        <w:spacing w:after="120" w:before="0" w:line="360"/>
        <w:ind w:firstLine="567"/>
        <w:jc w:val="both"/>
      </w:pPr>
      <w:r>
        <w:rPr>
          <w:rFonts w:ascii="Times New Roman" w:cs="Times New Roman" w:eastAsia="Times New Roman" w:hAnsi="Times New Roman"/>
          <w:sz w:val="24"/>
          <w:szCs w:val="24"/>
        </w:rPr>
        <w:t xml:space="preserve">A detecção automática de discurso de ódio e de desinformação depende de corpora anotados, e a qualidade e o alcance desses corpora condicionam o que os modelos aprendem (Poletto et al., 2021). Para o português existem três recursos públicos relevantes para esta investigação, todos de origem brasileira: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ToLD-BR</w:t>
      </w:r>
      <w:r>
        <w:rPr>
          <w:rFonts w:ascii="Times New Roman" w:cs="Times New Roman" w:eastAsia="Times New Roman" w:hAnsi="Times New Roman"/>
          <w:sz w:val="24"/>
          <w:szCs w:val="24"/>
        </w:rPr>
        <w:t xml:space="preserve"> reúne cerca de 21 mil publicações do Twitter anotadas para várias formas de linguagem tóxica, incluindo ataques baseados em identidade (Leite et al., 2020);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HateBR</w:t>
      </w:r>
      <w:r>
        <w:rPr>
          <w:rFonts w:ascii="Times New Roman" w:cs="Times New Roman" w:eastAsia="Times New Roman" w:hAnsi="Times New Roman"/>
          <w:sz w:val="24"/>
          <w:szCs w:val="24"/>
        </w:rPr>
        <w:t xml:space="preserve"> contém 7 mil comentários do Instagram anotados por especialistas para linguagem ofensiva e discurso de ódio (Vargas et al., 2022);</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Fake.br</w:t>
      </w:r>
      <w:r>
        <w:rPr>
          <w:rFonts w:ascii="Times New Roman" w:cs="Times New Roman" w:eastAsia="Times New Roman" w:hAnsi="Times New Roman"/>
          <w:sz w:val="24"/>
          <w:szCs w:val="24"/>
        </w:rPr>
        <w:t xml:space="preserve"> contém 7.200 notícias, metade verdadeiras e metade falsas, com textos completos emparelhados por tema (Monteiro et al., 2018).</w:t>
      </w:r>
    </w:p>
    <w:p>
      <w:pPr>
        <w:spacing w:after="120" w:before="0" w:line="360"/>
        <w:ind w:firstLine="567"/>
        <w:jc w:val="both"/>
      </w:pPr>
      <w:r>
        <w:rPr>
          <w:rFonts w:ascii="Times New Roman" w:cs="Times New Roman" w:eastAsia="Times New Roman" w:hAnsi="Times New Roman"/>
          <w:sz w:val="24"/>
          <w:szCs w:val="24"/>
        </w:rPr>
        <w:t xml:space="preserve">Nenhum destes recursos inclui a categoria de mobilização hostil, e nenhum contém texto angolano. A Desinformação disponível é composta por notícias completas, um género textual muito diferente dos comentários curtos que circulam nas redes sociais, o que terá consequências na interpretação dos resultados (Secção 4.6).</w:t>
      </w:r>
    </w:p>
    <w:p>
      <w:pPr>
        <w:pStyle w:val="Heading3"/>
        <w:keepNext/>
        <w:spacing w:after="120" w:before="240"/>
      </w:pPr>
      <w:r>
        <w:rPr>
          <w:rFonts w:ascii="Times New Roman" w:cs="Times New Roman" w:eastAsia="Times New Roman" w:hAnsi="Times New Roman"/>
          <w:b/>
          <w:bCs/>
          <w:sz w:val="24"/>
          <w:szCs w:val="24"/>
        </w:rPr>
        <w:t xml:space="preserve">2.4.2 Modelos de linguagem</w:t>
      </w:r>
    </w:p>
    <w:p>
      <w:pPr>
        <w:spacing w:after="120" w:before="0" w:line="360"/>
        <w:ind w:firstLine="567"/>
        <w:jc w:val="both"/>
      </w:pPr>
      <w:r>
        <w:rPr>
          <w:rFonts w:ascii="Times New Roman" w:cs="Times New Roman" w:eastAsia="Times New Roman" w:hAnsi="Times New Roman"/>
          <w:sz w:val="24"/>
          <w:szCs w:val="24"/>
        </w:rPr>
        <w:t xml:space="preserve">O BERT (Devlin et al., 2018) introduziu o pré-treino de codificadores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 (Vaswani et al., 2017) com objectivos de modelação de linguagem mascarada, seguido de ajuste fino para tarefas específicas. O BERTimbau é a versão do BERT pré-treinada com o corpus brWaC, uma colecção de páginas web brasileiras com cerca de 2,7 mil milhões de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e obteve resultados de referência em várias tarefas de PLN em português (Souza et al., 2020).</w:t>
      </w:r>
    </w:p>
    <w:p>
      <w:pPr>
        <w:spacing w:after="120" w:before="0" w:line="360"/>
        <w:ind w:firstLine="567"/>
        <w:jc w:val="both"/>
      </w:pPr>
      <w:r>
        <w:rPr>
          <w:rFonts w:ascii="Times New Roman" w:cs="Times New Roman" w:eastAsia="Times New Roman" w:hAnsi="Times New Roman"/>
          <w:sz w:val="24"/>
          <w:szCs w:val="24"/>
        </w:rPr>
        <w:t xml:space="preserve">O BERTimbau usa um vocabulário de subpalavras (</w:t>
      </w:r>
      <w:r>
        <w:rPr>
          <w:rFonts w:ascii="Times New Roman" w:cs="Times New Roman" w:eastAsia="Times New Roman" w:hAnsi="Times New Roman"/>
          <w:i/>
          <w:iCs/>
          <w:sz w:val="24"/>
          <w:szCs w:val="24"/>
        </w:rPr>
        <w:t xml:space="preserve">WordPiece</w:t>
      </w:r>
      <w:r>
        <w:rPr>
          <w:rFonts w:ascii="Times New Roman" w:cs="Times New Roman" w:eastAsia="Times New Roman" w:hAnsi="Times New Roman"/>
          <w:sz w:val="24"/>
          <w:szCs w:val="24"/>
        </w:rPr>
        <w:t xml:space="preserve">). Uma palavra que não está no vocabulário não é descartada: é dividida em fragmentos conhecidos. Termos do calão de Luanda, como </w:t>
      </w:r>
      <w:r>
        <w:rPr>
          <w:rFonts w:ascii="Times New Roman" w:cs="Times New Roman" w:eastAsia="Times New Roman" w:hAnsi="Times New Roman"/>
          <w:i/>
          <w:iCs/>
          <w:sz w:val="24"/>
          <w:szCs w:val="24"/>
        </w:rPr>
        <w:t xml:space="preserve">kota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bué</w:t>
      </w:r>
      <w:r>
        <w:rPr>
          <w:rFonts w:ascii="Times New Roman" w:cs="Times New Roman" w:eastAsia="Times New Roman" w:hAnsi="Times New Roman"/>
          <w:sz w:val="24"/>
          <w:szCs w:val="24"/>
        </w:rPr>
        <w:t xml:space="preserve"> ou </w:t>
      </w:r>
      <w:r>
        <w:rPr>
          <w:rFonts w:ascii="Times New Roman" w:cs="Times New Roman" w:eastAsia="Times New Roman" w:hAnsi="Times New Roman"/>
          <w:i/>
          <w:iCs/>
          <w:sz w:val="24"/>
          <w:szCs w:val="24"/>
        </w:rPr>
        <w:t xml:space="preserve">mujimbo</w:t>
      </w:r>
      <w:r>
        <w:rPr>
          <w:rFonts w:ascii="Times New Roman" w:cs="Times New Roman" w:eastAsia="Times New Roman" w:hAnsi="Times New Roman"/>
          <w:sz w:val="24"/>
          <w:szCs w:val="24"/>
        </w:rPr>
        <w:t xml:space="preserve">, e empréstimos do kimbundu são assim representados por sequências de fragmentos sem significado próprio, o que enfraquece a representação semântica da frase. O efeito não se resolve apenas com o ajuste fino, porque este parte das representações aprendidas no pré-treino. Gururangan et al. (2020) mostram que continuar o pré-treino com texto do domínio de aplicação (</w:t>
      </w:r>
      <w:r>
        <w:rPr>
          <w:rFonts w:ascii="Times New Roman" w:cs="Times New Roman" w:eastAsia="Times New Roman" w:hAnsi="Times New Roman"/>
          <w:i/>
          <w:iCs/>
          <w:sz w:val="24"/>
          <w:szCs w:val="24"/>
        </w:rPr>
        <w:t xml:space="preserve">domain-adaptive pretraining</w:t>
      </w:r>
      <w:r>
        <w:rPr>
          <w:rFonts w:ascii="Times New Roman" w:cs="Times New Roman" w:eastAsia="Times New Roman" w:hAnsi="Times New Roman"/>
          <w:sz w:val="24"/>
          <w:szCs w:val="24"/>
        </w:rPr>
        <w:t xml:space="preserve">) melhora o desempenho em domínios afastados do original, uma via que fica identificada como trabalho futuro.</w:t>
      </w:r>
    </w:p>
    <w:p>
      <w:pPr>
        <w:pStyle w:val="Heading2"/>
        <w:keepNext/>
        <w:keepLines/>
        <w:spacing w:after="160" w:before="360" w:line="300"/>
      </w:pPr>
      <w:r>
        <w:rPr>
          <w:rFonts w:ascii="Times New Roman" w:cs="Times New Roman" w:eastAsia="Times New Roman" w:hAnsi="Times New Roman"/>
          <w:b/>
          <w:bCs/>
          <w:sz w:val="26"/>
          <w:szCs w:val="26"/>
        </w:rPr>
        <w:t xml:space="preserve">2.5 Algoritmos de classificação de texto</w:t>
      </w:r>
    </w:p>
    <w:p>
      <w:pPr>
        <w:spacing w:after="120" w:before="0" w:line="360"/>
        <w:ind w:firstLine="567"/>
        <w:jc w:val="both"/>
      </w:pPr>
      <w:r>
        <w:rPr>
          <w:rFonts w:ascii="Times New Roman" w:cs="Times New Roman" w:eastAsia="Times New Roman" w:hAnsi="Times New Roman"/>
          <w:sz w:val="24"/>
          <w:szCs w:val="24"/>
        </w:rPr>
        <w:t xml:space="preserve">Foram comparados quatro algoritmos que representam três gerações de métodos. A Tabela 2.1 resume as suas características.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2.1 – Algoritmos de classificação comparados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00"/>
        <w:gridCol w:w="2320"/>
      </w:tblGrid>
      <w:tr>
        <w:trPr>
          <w:cantSplit/>
          <w:tblHeader/>
        </w:trPr>
        <w:tc>
          <w:tcPr>
            <w:tcW w:type="dxa" w:w="1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Algoritmo</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Representação do texto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Pontos fortes</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Limitações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SVM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 (saco de palavras e n-gramas)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Eficaz em espaços esparsos de alta dimensão; rápido em CPU</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e o contexto das palavras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Floresta Aleatória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Robusta ao sobreajuste; permite analisar a importância dos termos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menos eficaz em espaços muito esparsos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Bi-LSTM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Sequência de </w:t>
            </w:r>
            <w:r>
              <w:rPr>
                <w:rFonts w:ascii="Times New Roman" w:cs="Times New Roman" w:eastAsia="Times New Roman" w:hAnsi="Times New Roman"/>
                <w:b w:val="false"/>
                <w:bCs w:val="false"/>
                <w:i/>
                <w:iCs/>
                <w:sz w:val="18"/>
                <w:szCs w:val="18"/>
              </w:rPr>
              <w:t xml:space="preserve">embeddings</w:t>
            </w:r>
            <w:r>
              <w:rPr>
                <w:rFonts w:ascii="Times New Roman" w:cs="Times New Roman" w:eastAsia="Times New Roman" w:hAnsi="Times New Roman"/>
                <w:b w:val="false"/>
                <w:bCs w:val="false"/>
                <w:sz w:val="18"/>
                <w:szCs w:val="18"/>
              </w:rPr>
              <w:t xml:space="preserve"> aprendidos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Modela a ordem e dependências nos dois sentidos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Precisa de mais dados; sem pré-treino em grande escala</w:t>
            </w:r>
          </w:p>
        </w:tc>
      </w:tr>
      <w:tr>
        <w:trPr>
          <w:cantSplit/>
          <w:tblHeader w:val="false"/>
        </w:trPr>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Subpalavras com contexto (</w:t>
            </w:r>
            <w:r>
              <w:rPr>
                <w:rFonts w:ascii="Times New Roman" w:cs="Times New Roman" w:eastAsia="Times New Roman" w:hAnsi="Times New Roman"/>
                <w:b w:val="false"/>
                <w:bCs w:val="false"/>
                <w:i/>
                <w:iCs/>
                <w:sz w:val="18"/>
                <w:szCs w:val="18"/>
              </w:rPr>
              <w:t xml:space="preserve">Transformer</w:t>
            </w:r>
            <w:r>
              <w:rPr>
                <w:rFonts w:ascii="Times New Roman" w:cs="Times New Roman" w:eastAsia="Times New Roman" w:hAnsi="Times New Roman"/>
                <w:b w:val="false"/>
                <w:bCs w:val="false"/>
                <w:sz w:val="18"/>
                <w:szCs w:val="18"/>
              </w:rPr>
              <w:t xml:space="preserve">)</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em português; contexto bidireccional</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computacional; GPU recomendada para treino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Elaborado a partir de Cortes e Vapnik (1995), Joachims (1998), Breiman (2001), Hochreiter e Schmidhuber (1997), Schuster e Paliwal (1997) e Souza et al. (2020).</w:t>
      </w:r>
    </w:p>
    <w:p>
      <w:pPr>
        <w:spacing w:after="120" w:before="0" w:line="360"/>
        <w:ind w:firstLine="567"/>
        <w:jc w:val="both"/>
      </w:pPr>
      <w:r>
        <w:rPr>
          <w:rFonts w:ascii="Times New Roman" w:cs="Times New Roman" w:eastAsia="Times New Roman" w:hAnsi="Times New Roman"/>
          <w:sz w:val="24"/>
          <w:szCs w:val="24"/>
        </w:rPr>
        <w:t xml:space="preserve">As Máquinas de Vectores de Suporte (Cortes &amp; Vapnik, 1995) procuram o hiperplano que separa as classes com a maior margem e são, desde Joachims (1998), uma referência sólida para classificação de texto com representações TF-IDF. A Floresta Aleatória (Breiman, 2001) combina muitas árvores de decisão treinadas com amostras e subconjuntos de variáveis diferentes; é menos comum em texto, mas útil como segunda referência clássica e pela interpretabilidade da importância dos termos.</w:t>
      </w:r>
    </w:p>
    <w:p>
      <w:pPr>
        <w:spacing w:after="120" w:before="0" w:line="360"/>
        <w:ind w:firstLine="567"/>
        <w:jc w:val="both"/>
      </w:pPr>
      <w:r>
        <w:rPr>
          <w:rFonts w:ascii="Times New Roman" w:cs="Times New Roman" w:eastAsia="Times New Roman" w:hAnsi="Times New Roman"/>
          <w:sz w:val="24"/>
          <w:szCs w:val="24"/>
        </w:rPr>
        <w:t xml:space="preserve">As redes LSTM (Hochreiter &amp; Schmidhuber, 1997) foram concebidas para captar dependências longas em sequências; a versão bidireccional (Schuster &amp; Paliwal, 1997) lê a frase nos dois sentidos. Esta capacidade é relevante para a mobilização hostil, em que a informação decisiva (hora, local, apelo final) pode surgir em qualquer ponto do texto. O BERTimbau, por fim, combina o contexto bidireccional com o conhecimento linguístico adquirido no pré-treino. A comparação entre o Bi-LSTM e o BERTimbau permite, assim, separar em parte o efeito da arquitectura sequencial do efeito do pré-treino.</w:t>
      </w:r>
    </w:p>
    <w:p>
      <w:pPr>
        <w:spacing w:after="120" w:before="0" w:line="360"/>
        <w:ind w:firstLine="567"/>
        <w:jc w:val="both"/>
      </w:pPr>
      <w:r>
        <w:rPr>
          <w:rFonts w:ascii="Times New Roman" w:cs="Times New Roman" w:eastAsia="Times New Roman" w:hAnsi="Times New Roman"/>
          <w:sz w:val="24"/>
          <w:szCs w:val="24"/>
        </w:rPr>
        <w:t xml:space="preserve">A manutenção de modelos clássicos tem também uma razão prática. Num sistema operacional, um modelo leve que corre em CPU pode servir de contingência quando a GPU não está disponível, desde que se conheça e se aceite a perda de desempenho que isso implica.</w:t>
      </w:r>
    </w:p>
    <w:p>
      <w:pPr>
        <w:pStyle w:val="Heading2"/>
        <w:keepNext/>
        <w:keepLines/>
        <w:spacing w:after="160" w:before="360" w:line="300"/>
      </w:pPr>
      <w:r>
        <w:rPr>
          <w:rFonts w:ascii="Times New Roman" w:cs="Times New Roman" w:eastAsia="Times New Roman" w:hAnsi="Times New Roman"/>
          <w:b/>
          <w:bCs/>
          <w:sz w:val="26"/>
          <w:szCs w:val="26"/>
        </w:rPr>
        <w:t xml:space="preserve">2.6 Avaliação de classificadores</w:t>
      </w:r>
    </w:p>
    <w:p>
      <w:pPr>
        <w:spacing w:after="120" w:before="0" w:line="360"/>
        <w:ind w:firstLine="567"/>
        <w:jc w:val="both"/>
      </w:pPr>
      <w:r>
        <w:rPr>
          <w:rFonts w:ascii="Times New Roman" w:cs="Times New Roman" w:eastAsia="Times New Roman" w:hAnsi="Times New Roman"/>
          <w:sz w:val="24"/>
          <w:szCs w:val="24"/>
        </w:rPr>
        <w:t xml:space="preserve">Em problemas com classes desequilibradas, a exactidão é enganadora: um modelo que classifique tudo como Normal pode ter exactidão elevada e ser inútil. Sokolova e Lapalme (2009) mostram que a escolha da métrica deve reflectir os custos dos erros. Nesta dissertação, a métrica principal é o </w:t>
      </w: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a média simples do F1 de cada categoria, que dá à Mobilização Hostil, a categoria mais rara, o mesmo peso da categoria Normal. Reportam-se também o F1 ponderado, a exactidão, a AUC-ROC e o Kappa de Cohen entre as previsões e a referência (Cohen, 1960).</w:t>
      </w:r>
    </w:p>
    <w:p>
      <w:pPr>
        <w:spacing w:after="120" w:before="0" w:line="360"/>
        <w:ind w:firstLine="567"/>
        <w:jc w:val="both"/>
      </w:pPr>
      <w:r>
        <w:rPr>
          <w:rFonts w:ascii="Times New Roman" w:cs="Times New Roman" w:eastAsia="Times New Roman" w:hAnsi="Times New Roman"/>
          <w:sz w:val="24"/>
          <w:szCs w:val="24"/>
        </w:rPr>
        <w:t xml:space="preserve">Uma diferença de desempenho num conjunto de teste pode resultar do acaso. Para quantificar essa incerteza usam-se intervalos de confiança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que reamostram o conjunto de teste com reposição e recalculam a métrica (Efron &amp; Tibshirani, 1993). Para comparar dois classificadores no mesmo conjunto de teste, Dietterich (1998) recomenda o teste de McNemar (McNemar, 1947), que considera apenas os casos em que um modelo acerta e o outro erra. Quando se fazem várias comparações, a correcção de Bonferroni multiplica cada valor de p pelo número de comparações, controlando a probabilidade de encontrar pelo menos uma diferença espúria.</w:t>
      </w:r>
    </w:p>
    <w:p>
      <w:pPr>
        <w:spacing w:after="120" w:before="0" w:line="360"/>
        <w:ind w:firstLine="567"/>
        <w:jc w:val="both"/>
      </w:pPr>
      <w:r>
        <w:rPr>
          <w:rFonts w:ascii="Times New Roman" w:cs="Times New Roman" w:eastAsia="Times New Roman" w:hAnsi="Times New Roman"/>
          <w:sz w:val="24"/>
          <w:szCs w:val="24"/>
        </w:rPr>
        <w:t xml:space="preserve">O acordo entre anotadores mede a fiabilidade das etiquetas. O Kappa de Cohen (Cohen, 1960) aplica-se a pares de anotadores; o Kappa de Fleiss (Fleiss, 1971) generaliza-o para mais de dois. Ambos corrigem a concordância observada pela concordância esperada ao acaso. A escala de Landis e Koch (1977) é a referência habitual para a sua interpretação, embora os próprios autores a apresentem como indicativa.</w:t>
      </w:r>
    </w:p>
    <w:p>
      <w:pPr>
        <w:pStyle w:val="Heading2"/>
        <w:keepNext/>
        <w:keepLines/>
        <w:spacing w:after="160" w:before="360" w:line="300"/>
      </w:pPr>
      <w:r>
        <w:rPr>
          <w:rFonts w:ascii="Times New Roman" w:cs="Times New Roman" w:eastAsia="Times New Roman" w:hAnsi="Times New Roman"/>
          <w:b/>
          <w:bCs/>
          <w:sz w:val="26"/>
          <w:szCs w:val="26"/>
        </w:rPr>
        <w:t xml:space="preserve">2.7 Generalização entre domínios e aprendizagem de atalhos</w:t>
      </w:r>
    </w:p>
    <w:p>
      <w:pPr>
        <w:spacing w:after="120" w:before="0" w:line="360"/>
        <w:ind w:firstLine="567"/>
        <w:jc w:val="both"/>
      </w:pPr>
      <w:r>
        <w:rPr>
          <w:rFonts w:ascii="Times New Roman" w:cs="Times New Roman" w:eastAsia="Times New Roman" w:hAnsi="Times New Roman"/>
          <w:sz w:val="24"/>
          <w:szCs w:val="24"/>
        </w:rPr>
        <w:t xml:space="preserve">Um modelo treinado num corpus pode ter bom desempenho nesse corpus e falhar noutro. Fortuna, Soler-Company e Wanner (2021) mostram que os classificadores de discurso de ódio e de linguagem ofensiva generalizam mal entre conjuntos de dados, porque cada corpus reflecte as suas plataformas, os seus temas e as suas decisões de anotação. Geirhos et al. (2020) descrevem o fenómeno mais geral da aprendizagem de atalhos (</w:t>
      </w:r>
      <w:r>
        <w:rPr>
          <w:rFonts w:ascii="Times New Roman" w:cs="Times New Roman" w:eastAsia="Times New Roman" w:hAnsi="Times New Roman"/>
          <w:i/>
          <w:iCs/>
          <w:sz w:val="24"/>
          <w:szCs w:val="24"/>
        </w:rPr>
        <w:t xml:space="preserve">shortcut learning</w:t>
      </w:r>
      <w:r>
        <w:rPr>
          <w:rFonts w:ascii="Times New Roman" w:cs="Times New Roman" w:eastAsia="Times New Roman" w:hAnsi="Times New Roman"/>
          <w:sz w:val="24"/>
          <w:szCs w:val="24"/>
        </w:rPr>
        <w:t xml:space="preserve">): o modelo aprende uma regularidade que separa as classes no conjunto de treino, como o comprimento ou o estilo do texto, em vez da propriedade que se pretende detectar.</w:t>
      </w:r>
    </w:p>
    <w:p>
      <w:pPr>
        <w:spacing w:after="120" w:before="0" w:line="360"/>
        <w:ind w:firstLine="567"/>
        <w:jc w:val="both"/>
      </w:pPr>
      <w:r>
        <w:rPr>
          <w:rFonts w:ascii="Times New Roman" w:cs="Times New Roman" w:eastAsia="Times New Roman" w:hAnsi="Times New Roman"/>
          <w:sz w:val="24"/>
          <w:szCs w:val="24"/>
        </w:rPr>
        <w:t xml:space="preserve">Estes trabalhos têm duas consequências para esta investigação. Primeiro, o desempenho medido num teste dominado por dados brasileiros não pode ser tomado como desempenho em Angola. Segundo, quando uma categoria provém de uma única fonte com um estilo muito próprio, como a Desinformação do Fake.br, é de esperar que o modelo aprenda esse estilo. A H4 foi formulada para medir directamente o primeiro efeito, e a análise por categoria da Secção 4.6 procura indícios do segundo.</w:t>
      </w:r>
    </w:p>
    <w:p>
      <w:pPr>
        <w:pStyle w:val="Heading2"/>
        <w:keepNext/>
        <w:keepLines/>
        <w:spacing w:after="160" w:before="360" w:line="300"/>
      </w:pPr>
      <w:r>
        <w:rPr>
          <w:rFonts w:ascii="Times New Roman" w:cs="Times New Roman" w:eastAsia="Times New Roman" w:hAnsi="Times New Roman"/>
          <w:b/>
          <w:bCs/>
          <w:sz w:val="26"/>
          <w:szCs w:val="26"/>
        </w:rPr>
        <w:t xml:space="preserve">2.8 Aspectos éticos, legais e de direitos humanos</w:t>
      </w:r>
    </w:p>
    <w:p>
      <w:pPr>
        <w:spacing w:after="120" w:before="0" w:line="360"/>
        <w:ind w:firstLine="567"/>
        <w:jc w:val="both"/>
      </w:pPr>
      <w:r>
        <w:rPr>
          <w:rFonts w:ascii="Times New Roman" w:cs="Times New Roman" w:eastAsia="Times New Roman" w:hAnsi="Times New Roman"/>
          <w:sz w:val="24"/>
          <w:szCs w:val="24"/>
        </w:rPr>
        <w:t xml:space="preserve">A monitorização de redes sociais por entidades de segurança coloca em tensão a protecção da segurança colectiva e os direitos individuais de expressão, reunião e privacidade. A tecnologia, por si, não resolve essa tensão. Resolvem-na regras claras sobre o que se recolhe, sobre o modo como a informação é tratada e sobre quem decide.</w:t>
      </w:r>
    </w:p>
    <w:p>
      <w:pPr>
        <w:spacing w:after="120" w:before="0" w:line="360"/>
        <w:ind w:firstLine="567"/>
        <w:jc w:val="both"/>
      </w:pPr>
      <w:r>
        <w:rPr>
          <w:rFonts w:ascii="Times New Roman" w:cs="Times New Roman" w:eastAsia="Times New Roman" w:hAnsi="Times New Roman"/>
          <w:sz w:val="24"/>
          <w:szCs w:val="24"/>
        </w:rPr>
        <w:t xml:space="preserve">O quadro jurídico angolano relevante inclui a Constituição da República de Angola, que consagra a liberdade de expressão e de informação (artigo 40.º) e a liberdade de reunião e de manifestação (artigo 47.º) (República de Angola, 2010); a Lei n.º 22/11, de 17 de Junho, de Protecção de Dados Pessoais, que estabelece os princípios de finalidade, proporcionalidade, minimização e conservação limitada no tratamento de dados (República de Angola, 2011); e a Lei n.º 7/17, de 16 de Fevereiro, de Protecção das Redes e Sistemas Informáticos, relevante para a forma como os dados são obtidos (República de Angola, 2017). Os termos de utilização das plataformas acrescentam uma camada contratual que deve ser respeitada e declarada.</w:t>
      </w:r>
    </w:p>
    <w:p>
      <w:pPr>
        <w:spacing w:after="120" w:before="0" w:line="360"/>
        <w:ind w:firstLine="567"/>
        <w:jc w:val="both"/>
      </w:pPr>
      <w:r>
        <w:rPr>
          <w:rFonts w:ascii="Times New Roman" w:cs="Times New Roman" w:eastAsia="Times New Roman" w:hAnsi="Times New Roman"/>
          <w:sz w:val="24"/>
          <w:szCs w:val="24"/>
        </w:rPr>
        <w:t xml:space="preserve">A Recomendação da UNESCO sobre a Ética da Inteligência Artificial (UNESCO, 2021) pede que os sistemas usados em contextos de segurança pública sejam proporcionais, transparentes, auditáveis e sujeitos a supervisão humana, e que os seus erros sejam avaliados por grupos linguísticos e demográficos. O Regulamento Europeu da Inteligência Artificial (União Europeia, 2024) classifica, de forma semelhante, vários usos de IA em contextos de aplicação da lei como de risco elevado. Destes princípios decorrem as salvaguardas adoptadas no sistema (Secção 3.2): recolha apenas de conteúdo público, anonimização antes do armazenamento, ausência de perfis individuais, revisão humana obrigatória e auditoria de todas as acções.</w:t>
      </w:r>
    </w:p>
    <w:p>
      <w:pPr>
        <w:spacing w:after="120" w:before="0" w:line="360"/>
        <w:ind w:firstLine="567"/>
        <w:jc w:val="both"/>
      </w:pPr>
      <w:r>
        <w:rPr>
          <w:rFonts w:ascii="Times New Roman" w:cs="Times New Roman" w:eastAsia="Times New Roman" w:hAnsi="Times New Roman"/>
          <w:sz w:val="24"/>
          <w:szCs w:val="24"/>
        </w:rPr>
        <w:t xml:space="preserve">O risco mais imediato é o falso positivo na Mobilização Hostil. Uma convocatória para uma manifestação pacífica partilha com uma convocatória hostil muitos dos marcadores superficiais (urgência, data, local, apelo colectivo). Nenhum classificador actual resolve esta ambiguidade com a fiabilidade necessária para fundamentar uma acção institucional sem revisão humana.</w:t>
      </w:r>
    </w:p>
    <w:p>
      <w:pPr>
        <w:pStyle w:val="Heading2"/>
        <w:keepNext/>
        <w:keepLines/>
        <w:spacing w:after="160" w:before="360" w:line="300"/>
      </w:pPr>
      <w:r>
        <w:rPr>
          <w:rFonts w:ascii="Times New Roman" w:cs="Times New Roman" w:eastAsia="Times New Roman" w:hAnsi="Times New Roman"/>
          <w:b/>
          <w:bCs/>
          <w:sz w:val="26"/>
          <w:szCs w:val="26"/>
        </w:rPr>
        <w:t xml:space="preserve">2.9 Síntese e lacuna de investigação</w:t>
      </w:r>
    </w:p>
    <w:p>
      <w:pPr>
        <w:spacing w:after="120" w:before="0" w:line="360"/>
        <w:ind w:firstLine="567"/>
        <w:jc w:val="both"/>
      </w:pPr>
      <w:r>
        <w:rPr>
          <w:rFonts w:ascii="Times New Roman" w:cs="Times New Roman" w:eastAsia="Times New Roman" w:hAnsi="Times New Roman"/>
          <w:sz w:val="24"/>
          <w:szCs w:val="24"/>
        </w:rPr>
        <w:t xml:space="preserve">A literatura revista permite três conclusões. Os sistemas internacionais de monitorização não estão disponíveis, não cobrem o português de Angola ou implicam dependência externa. Os recursos de PLN para o português são brasileiros e, no caso da desinformação, pertencem a um género textual diferente das redes sociais. Por fim, sabe-se que os classificadores de conteúdo nocivo generalizam mal entre domínios, embora não exista uma medida dessa perda para Angola.</w:t>
      </w:r>
    </w:p>
    <w:p>
      <w:pPr>
        <w:spacing w:after="120" w:before="0" w:line="360"/>
        <w:ind w:firstLine="567"/>
        <w:jc w:val="both"/>
      </w:pPr>
      <w:r>
        <w:rPr>
          <w:rFonts w:ascii="Times New Roman" w:cs="Times New Roman" w:eastAsia="Times New Roman" w:hAnsi="Times New Roman"/>
          <w:sz w:val="24"/>
          <w:szCs w:val="24"/>
        </w:rPr>
        <w:t xml:space="preserve">Esta dissertação procura, por isso, fazer duas coisas: medir com dados angolanos anotados o desempenho real dos modelos disponíveis e propor um sistema que use esses modelos de forma compatível com as suas limitações, isto é, como apoio à triagem humana e não como mecanismo de decisão.</w:t>
      </w:r>
    </w:p>
    <w:p>
      <w:pPr>
        <w:sectPr>
          <w:headerReference w:type="default" r:id="rId15"/>
          <w:footerReference w:type="default" r:id="rId1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3 – METODOLOGIA</w:t>
      </w:r>
    </w:p>
    <w:p>
      <w:pPr>
        <w:spacing w:after="120" w:before="0" w:line="360"/>
        <w:ind w:firstLine="567"/>
        <w:jc w:val="both"/>
      </w:pPr>
      <w:r>
        <w:rPr>
          <w:rFonts w:ascii="Times New Roman" w:cs="Times New Roman" w:eastAsia="Times New Roman" w:hAnsi="Times New Roman"/>
          <w:sz w:val="24"/>
          <w:szCs w:val="24"/>
        </w:rPr>
        <w:t xml:space="preserve">Este capítulo descreve como a investigação foi conduzida: o desenho geral, as salvaguardas éticas, a recolha e a anotação dos dados, a construção do corpus de treino, os modelos, o protocolo de avaliação e, por fim, a arquitectura do sistema que põe o modelo seleccionado ao serviço do analista.</w:t>
      </w:r>
    </w:p>
    <w:p>
      <w:pPr>
        <w:pStyle w:val="Heading2"/>
        <w:keepNext/>
        <w:keepLines/>
        <w:spacing w:after="160" w:before="360" w:line="300"/>
      </w:pPr>
      <w:r>
        <w:rPr>
          <w:rFonts w:ascii="Times New Roman" w:cs="Times New Roman" w:eastAsia="Times New Roman" w:hAnsi="Times New Roman"/>
          <w:b/>
          <w:bCs/>
          <w:sz w:val="26"/>
          <w:szCs w:val="26"/>
        </w:rPr>
        <w:t xml:space="preserve">3.1 Paradigma e desenho da investigação</w:t>
      </w:r>
    </w:p>
    <w:p>
      <w:pPr>
        <w:spacing w:after="120" w:before="0" w:line="360"/>
        <w:ind w:firstLine="567"/>
        <w:jc w:val="both"/>
      </w:pPr>
      <w:r>
        <w:rPr>
          <w:rFonts w:ascii="Times New Roman" w:cs="Times New Roman" w:eastAsia="Times New Roman" w:hAnsi="Times New Roman"/>
          <w:sz w:val="24"/>
          <w:szCs w:val="24"/>
        </w:rPr>
        <w:t xml:space="preserve">A investigação segue um paradigma pragmático e aplicado, com abordagem predominantemente quantitativa. As hipóteses H1 e H4 são testadas com métricas de classificação e testes estatísticos; a H2 e a H3 dependem de medições do sistema em funcionamento, cujo protocolo se define neste capítulo. A componente de engenharia (o protótipo) é avaliada por testes automáticos e pela sua conformidade com requisitos explícitos.</w:t>
      </w:r>
    </w:p>
    <w:p>
      <w:pPr>
        <w:spacing w:after="120" w:before="0" w:line="360"/>
        <w:ind w:firstLine="567"/>
        <w:jc w:val="both"/>
      </w:pPr>
      <w:r>
        <w:rPr>
          <w:rFonts w:ascii="Times New Roman" w:cs="Times New Roman" w:eastAsia="Times New Roman" w:hAnsi="Times New Roman"/>
          <w:sz w:val="24"/>
          <w:szCs w:val="24"/>
        </w:rPr>
        <w:t xml:space="preserve">O trabalho decorreu em três fases, representadas na Figura 3.1. Na fase de dados recolheram-se e anotaram-se comentários angolanos e construiu-se o corpus híbrido. Na fase de modelos treinaram-se e compararam-se os quatro classificadores. Na fase de sistema desenvolveu-se o protótipo, cujas revisões humanas podem alimentar novos ciclos de treino.</w:t>
      </w:r>
    </w:p>
    <w:p>
      <w:pPr>
        <w:keepNext/>
        <w:spacing w:after="40" w:before="160"/>
        <w:jc w:val="center"/>
      </w:pPr>
      <w:r>
        <w:drawing>
          <wp:inline distT="0" distB="0" distL="0" distR="0">
            <wp:extent cx="5581650" cy="3333750"/>
            <wp:effectExtent t="0" r="0" b="0" l="0"/>
            <wp:docPr id="1" name="fig3_1_desenho.png" descr="fig3_1_desenho.png" title="fig3_1_desen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33337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3.1 – Desenho da investigação</w:t>
      </w:r>
    </w:p>
    <w:p>
      <w:pPr>
        <w:pStyle w:val="Heading2"/>
        <w:keepNext/>
        <w:keepLines/>
        <w:spacing w:after="160" w:before="360" w:line="300"/>
      </w:pPr>
      <w:r>
        <w:rPr>
          <w:rFonts w:ascii="Times New Roman" w:cs="Times New Roman" w:eastAsia="Times New Roman" w:hAnsi="Times New Roman"/>
          <w:b/>
          <w:bCs/>
          <w:sz w:val="26"/>
          <w:szCs w:val="26"/>
        </w:rPr>
        <w:t xml:space="preserve">3.2 Considerações éticas e protecção de dados</w:t>
      </w:r>
    </w:p>
    <w:p>
      <w:pPr>
        <w:spacing w:after="120" w:before="0" w:line="360"/>
        <w:ind w:firstLine="567"/>
        <w:jc w:val="both"/>
      </w:pPr>
      <w:r>
        <w:rPr>
          <w:rFonts w:ascii="Times New Roman" w:cs="Times New Roman" w:eastAsia="Times New Roman" w:hAnsi="Times New Roman"/>
          <w:sz w:val="24"/>
          <w:szCs w:val="24"/>
        </w:rPr>
        <w:t xml:space="preserve">O trabalho com conteúdos de redes sociais para fins de segurança exige salvaguardas definidas antes da recolha. As medidas adoptadas, que decorrem da Lei n.º 22/11 e dos princípios revistos na Secção 2.8, são 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Conteúdo público apenas.</w:t>
      </w:r>
      <w:r>
        <w:rPr>
          <w:rFonts w:ascii="Times New Roman" w:cs="Times New Roman" w:eastAsia="Times New Roman" w:hAnsi="Times New Roman"/>
          <w:sz w:val="24"/>
          <w:szCs w:val="24"/>
        </w:rPr>
        <w:t xml:space="preserve"> Recolheram-se apenas conteúdos públicos: comentários do YouTube, obtidos pela interface oficial, e publicações copiadas manualmente de páginas acessíveis sem autenticação. Não se acedeu a mensagens privadas, grupos fechados ou conteúdo que exija autenticação, nem se contornaram protecções técnicas das plataformas.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Anonimização antes do armazenamento.</w:t>
      </w:r>
      <w:r>
        <w:rPr>
          <w:rFonts w:ascii="Times New Roman" w:cs="Times New Roman" w:eastAsia="Times New Roman" w:hAnsi="Times New Roman"/>
          <w:sz w:val="24"/>
          <w:szCs w:val="24"/>
        </w:rPr>
        <w:t xml:space="preserve"> Os nomes dos autores são substituídos por pseudónimos irreversíveis e os identificadores directos no texto (endereços web, correio electrónico, números de telefone e menções a utilizadores) são mascarados. Para nomes de pessoas privadas referidos no texto, a regra adoptada é a sua substituição por descritores do papel ou da instituição; nomes de instituições e de figuras políticas são mantidos, por serem relevantes para a classificação. No lote temático de vídeos, a revisão foi feita depois do treino, com o script mascarar_nomes_lote_tema.py: em 24 dos 194 comentários, os nomes de comentadores de programas televisivos, de um activista e de uma outra pessoa foram substituídos por descritores (31 substituições), e mantiveram-se os de figuras políticas e históricas. O modelo foi treinado com o texto anterior a esta revisão. Como o lote só entra no treino, as métricas de teste não são afectadas.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Proveniência registada.</w:t>
      </w:r>
      <w:r>
        <w:rPr>
          <w:rFonts w:ascii="Times New Roman" w:cs="Times New Roman" w:eastAsia="Times New Roman" w:hAnsi="Times New Roman"/>
          <w:sz w:val="24"/>
          <w:szCs w:val="24"/>
        </w:rPr>
        <w:t xml:space="preserve"> Cada lote de dados fica associado à plataforma, à via de obtenção, à data e ao volume, o que permite declarar na metodologia a origem exacta de cada parte do corpus.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Sem perfis individuais.</w:t>
      </w:r>
      <w:r>
        <w:rPr>
          <w:rFonts w:ascii="Times New Roman" w:cs="Times New Roman" w:eastAsia="Times New Roman" w:hAnsi="Times New Roman"/>
          <w:sz w:val="24"/>
          <w:szCs w:val="24"/>
        </w:rPr>
        <w:t xml:space="preserve"> O sistema apresenta agregados por categoria, período e plataforma; não existem vistas por autor.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Revisão humana obrigatória.</w:t>
      </w:r>
      <w:r>
        <w:rPr>
          <w:rFonts w:ascii="Times New Roman" w:cs="Times New Roman" w:eastAsia="Times New Roman" w:hAnsi="Times New Roman"/>
          <w:sz w:val="24"/>
          <w:szCs w:val="24"/>
        </w:rPr>
        <w:t xml:space="preserve"> A classificação serve apenas para ordenar a revisão. Nenhuma acção sobre pessoas pode basear-se apenas no sistema.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Conservação limitada e auditoria.</w:t>
      </w:r>
      <w:r>
        <w:rPr>
          <w:rFonts w:ascii="Times New Roman" w:cs="Times New Roman" w:eastAsia="Times New Roman" w:hAnsi="Times New Roman"/>
          <w:sz w:val="24"/>
          <w:szCs w:val="24"/>
        </w:rPr>
        <w:t xml:space="preserve"> As publicações não revistas são apagadas após um prazo configurável, e todas as acções (importação, classificação, revisão, exportação, limpeza) ficam registadas.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Consentimento dos anotadores.</w:t>
      </w:r>
      <w:r>
        <w:rPr>
          <w:rFonts w:ascii="Times New Roman" w:cs="Times New Roman" w:eastAsia="Times New Roman" w:hAnsi="Times New Roman"/>
          <w:sz w:val="24"/>
          <w:szCs w:val="24"/>
        </w:rPr>
        <w:t xml:space="preserve"> Os anotadores assinaram uma declaração de consentimento e confidencialidade (Apêndice D).</w:t>
      </w:r>
    </w:p>
    <w:p>
      <w:pPr>
        <w:spacing w:after="120" w:before="0" w:line="360"/>
        <w:ind w:firstLine="567"/>
        <w:jc w:val="both"/>
      </w:pPr>
      <w:r>
        <w:rPr>
          <w:rFonts w:ascii="Times New Roman" w:cs="Times New Roman" w:eastAsia="Times New Roman" w:hAnsi="Times New Roman"/>
          <w:sz w:val="24"/>
          <w:szCs w:val="24"/>
        </w:rPr>
        <w:t xml:space="preserve">Os termos de utilização das plataformas e a Lei n.º 7/17 devem ser objecto de parecer jurídico antes de qualquer uso institucional do sistema, como se recomenda no Capítulo 5.</w:t>
      </w:r>
    </w:p>
    <w:p>
      <w:pPr>
        <w:pStyle w:val="Heading2"/>
        <w:keepNext/>
        <w:keepLines/>
        <w:spacing w:after="160" w:before="360" w:line="300"/>
      </w:pPr>
      <w:r>
        <w:rPr>
          <w:rFonts w:ascii="Times New Roman" w:cs="Times New Roman" w:eastAsia="Times New Roman" w:hAnsi="Times New Roman"/>
          <w:b/>
          <w:bCs/>
          <w:sz w:val="26"/>
          <w:szCs w:val="26"/>
        </w:rPr>
        <w:t xml:space="preserve">3.3 Recolha de dados do piloto angolano</w:t>
      </w:r>
    </w:p>
    <w:p>
      <w:pPr>
        <w:spacing w:after="120" w:before="0" w:line="360"/>
        <w:ind w:firstLine="567"/>
        <w:jc w:val="both"/>
      </w:pPr>
      <w:r>
        <w:rPr>
          <w:rFonts w:ascii="Times New Roman" w:cs="Times New Roman" w:eastAsia="Times New Roman" w:hAnsi="Times New Roman"/>
          <w:sz w:val="24"/>
          <w:szCs w:val="24"/>
        </w:rPr>
        <w:t xml:space="preserve">A maior parte dos dados angolanos foi recolhida no YouTube, plataforma onde os principais órgãos de comunicação e criadores de conteúdo angolanos publicam vídeos sobre política, economia e sociedade, e cujos comentários são públicos e acessíveis por uma interface oficial (YouTube Data API v3). A recolha seguiu quatro passos, implementados em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Python: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Descoberta.</w:t>
      </w:r>
      <w:r>
        <w:rPr>
          <w:rFonts w:ascii="Times New Roman" w:cs="Times New Roman" w:eastAsia="Times New Roman" w:hAnsi="Times New Roman"/>
          <w:sz w:val="24"/>
          <w:szCs w:val="24"/>
        </w:rPr>
        <w:t xml:space="preserve"> Pesquisa de vídeos por termos relacionados com a actualidade angolana, restrita a canais e conteúdos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Sondagem.</w:t>
      </w:r>
      <w:r>
        <w:rPr>
          <w:rFonts w:ascii="Times New Roman" w:cs="Times New Roman" w:eastAsia="Times New Roman" w:hAnsi="Times New Roman"/>
          <w:sz w:val="24"/>
          <w:szCs w:val="24"/>
        </w:rPr>
        <w:t xml:space="preserve"> Leitura de uma pequena amostra de comentários de cada vídeo para estimar a proporção de comentários angolanos e o volume disponível.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w:t>
      </w:r>
      <w:r>
        <w:rPr>
          <w:rFonts w:ascii="Times New Roman" w:cs="Times New Roman" w:eastAsia="Times New Roman" w:hAnsi="Times New Roman"/>
          <w:sz w:val="24"/>
          <w:szCs w:val="24"/>
        </w:rPr>
        <w:t xml:space="preserve"> Escolha dos vídeos a recolher, privilegiando a diversidade de canais e de temas e excluindo vídeos claramente não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Recolha.</w:t>
      </w:r>
      <w:r>
        <w:rPr>
          <w:rFonts w:ascii="Times New Roman" w:cs="Times New Roman" w:eastAsia="Times New Roman" w:hAnsi="Times New Roman"/>
          <w:sz w:val="24"/>
          <w:szCs w:val="24"/>
        </w:rPr>
        <w:t xml:space="preserve"> Obtenção dos comentários e respostas, com limite por vídeo para evitar que poucos vídeos dominassem o corpus, e anonimização dos autores antes da gravação.</w:t>
      </w:r>
    </w:p>
    <w:p>
      <w:pPr>
        <w:spacing w:after="120" w:before="0" w:line="360"/>
        <w:ind w:firstLine="567"/>
        <w:jc w:val="both"/>
      </w:pPr>
      <w:r>
        <w:rPr>
          <w:rFonts w:ascii="Times New Roman" w:cs="Times New Roman" w:eastAsia="Times New Roman" w:hAnsi="Times New Roman"/>
          <w:sz w:val="24"/>
          <w:szCs w:val="24"/>
        </w:rPr>
        <w:t xml:space="preserve">A quota diária da interface (10 000 unidades, com 100 unidades por pesquisa e 1 unidade por pedido de comentários) condicionou o ritmo da recolha. Para preservar a validade da comparação com os corpora brasileiros (H4), retiraram-se do piloto os casos explicitamente não angolanos, como comentários em vídeos de outros países ou de autores que se declaram de fora de Angola. Os casos duvidosos foram mantidos, o que torna a estimativa da lacuna de domínio, se alguma coisa, conservadora.</w:t>
      </w:r>
    </w:p>
    <w:p>
      <w:pPr>
        <w:spacing w:after="120" w:before="0" w:line="360"/>
        <w:ind w:firstLine="567"/>
        <w:jc w:val="both"/>
      </w:pPr>
      <w:r>
        <w:rPr>
          <w:rFonts w:ascii="Times New Roman" w:cs="Times New Roman" w:eastAsia="Times New Roman" w:hAnsi="Times New Roman"/>
          <w:sz w:val="24"/>
          <w:szCs w:val="24"/>
        </w:rPr>
        <w:t xml:space="preserve">Uma parte menor do piloto veio de recolha manual: 180 títulos e entradas de notícias de sete órgãos de comunicação angolanos e 194 publicações e comentários copiados de páginas públicas, incluindo o Facebook. Estes itens passaram pela mesma anonimização e pela mesma anotação que os comentários do YouTube. No corpus, o piloto aparece com três origens, registadas na coluna </w:t>
      </w:r>
      <w:r>
        <w:rPr>
          <w:rFonts w:ascii="Courier New" w:cs="Courier New" w:eastAsia="Courier New" w:hAnsi="Courier New"/>
          <w:sz w:val="21"/>
          <w:szCs w:val="21"/>
        </w:rPr>
        <w:t xml:space="preserve">origem</w:t>
      </w:r>
      <w:r>
        <w:rPr>
          <w:rFonts w:ascii="Times New Roman" w:cs="Times New Roman" w:eastAsia="Times New Roman" w:hAnsi="Times New Roman"/>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Amostras aleatórias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ate_v11</w:t>
      </w:r>
      <w:r>
        <w:rPr>
          <w:rFonts w:ascii="Times New Roman" w:cs="Times New Roman" w:eastAsia="Times New Roman" w:hAnsi="Times New Roman"/>
          <w:sz w:val="24"/>
          <w:szCs w:val="24"/>
        </w:rPr>
        <w:t xml:space="preserve">): 2.352 itens, dos quais 1.978 são comentários seleccionados aleatoriamente dos vídeos recolhidos e 374 vêm da recolha manual; formam a base do piloto e são os únicos dados angolanos usados na validação e no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temático de vídeos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enriquecido_video_tema</w:t>
      </w:r>
      <w:r>
        <w:rPr>
          <w:rFonts w:ascii="Times New Roman" w:cs="Times New Roman" w:eastAsia="Times New Roman" w:hAnsi="Times New Roman"/>
          <w:sz w:val="24"/>
          <w:szCs w:val="24"/>
        </w:rPr>
        <w:t xml:space="preserve">): 284 comentários de vídeos escolhidos por tratarem temas propícios a mobilização ou a discurso de ódio, dos quais se retiraram 90 por não serem de domínio angolano, restando 194.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orientado por léxico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enriquecido_lexico</w:t>
      </w:r>
      <w:r>
        <w:rPr>
          <w:rFonts w:ascii="Times New Roman" w:cs="Times New Roman" w:eastAsia="Times New Roman" w:hAnsi="Times New Roman"/>
          <w:sz w:val="24"/>
          <w:szCs w:val="24"/>
        </w:rPr>
        <w:t xml:space="preserve">): 91 comentários priorizados para anotação por conterem termos de um léxico de candidatos.</w:t>
      </w:r>
    </w:p>
    <w:p>
      <w:pPr>
        <w:spacing w:after="120" w:before="0" w:line="360"/>
        <w:ind w:firstLine="567"/>
        <w:jc w:val="both"/>
      </w:pPr>
      <w:r>
        <w:rPr>
          <w:rFonts w:ascii="Times New Roman" w:cs="Times New Roman" w:eastAsia="Times New Roman" w:hAnsi="Times New Roman"/>
          <w:sz w:val="24"/>
          <w:szCs w:val="24"/>
        </w:rPr>
        <w:t xml:space="preserve">Os dois lotes enriquecidos resultam de uma selecção não aleatória e foram anotados pelos mesmos anotadores. Por essa razão, foram usados </w:t>
      </w:r>
      <w:r>
        <w:rPr>
          <w:rFonts w:ascii="Times New Roman" w:cs="Times New Roman" w:eastAsia="Times New Roman" w:hAnsi="Times New Roman"/>
          <w:b/>
          <w:bCs/>
          <w:sz w:val="24"/>
          <w:szCs w:val="24"/>
        </w:rPr>
        <w:t xml:space="preserve">apenas no treino</w:t>
      </w:r>
      <w:r>
        <w:rPr>
          <w:rFonts w:ascii="Times New Roman" w:cs="Times New Roman" w:eastAsia="Times New Roman" w:hAnsi="Times New Roman"/>
          <w:sz w:val="24"/>
          <w:szCs w:val="24"/>
        </w:rPr>
        <w:t xml:space="preserve">: incluí-los na avaliação inflacionaria as métricas e enviesaria a comparação da H4.</w:t>
      </w:r>
    </w:p>
    <w:p>
      <w:pPr>
        <w:pStyle w:val="Heading2"/>
        <w:keepNext/>
        <w:keepLines/>
        <w:spacing w:after="160" w:before="360" w:line="300"/>
      </w:pPr>
      <w:r>
        <w:rPr>
          <w:rFonts w:ascii="Times New Roman" w:cs="Times New Roman" w:eastAsia="Times New Roman" w:hAnsi="Times New Roman"/>
          <w:b/>
          <w:bCs/>
          <w:sz w:val="26"/>
          <w:szCs w:val="26"/>
        </w:rPr>
        <w:t xml:space="preserve">3.4 Anotação e acordo entre anotadores</w:t>
      </w:r>
    </w:p>
    <w:p>
      <w:pPr>
        <w:spacing w:after="120" w:before="0" w:line="360"/>
        <w:ind w:firstLine="567"/>
        <w:jc w:val="both"/>
      </w:pPr>
      <w:r>
        <w:rPr>
          <w:rFonts w:ascii="Times New Roman" w:cs="Times New Roman" w:eastAsia="Times New Roman" w:hAnsi="Times New Roman"/>
          <w:sz w:val="24"/>
          <w:szCs w:val="24"/>
        </w:rPr>
        <w:t xml:space="preserve">A anotação foi feita por três anotadores independentes, dois angolanos e um com formação em processamento de linguagem natural, seguindo o Guia de Anotação Padronizado (Apêndice B). Cada anotador classificou cada publicação numa das quatro categorias, sem acesso às classificações dos outros nem às previsões de qualquer modelo. Nos casos de desacordo, aplicou-se o princípio da gravidade ascendente definido no guia (Mobilização Hostil &gt; Discurso de Ódio &gt; Desinformação &gt; Normal), por se considerar que, num contexto de segurança, um falso positivo sujeito a revisão é preferível a um falso negativo.</w:t>
      </w:r>
    </w:p>
    <w:p>
      <w:pPr>
        <w:spacing w:after="120" w:before="0" w:line="360"/>
        <w:ind w:firstLine="567"/>
        <w:jc w:val="both"/>
      </w:pPr>
      <w:r>
        <w:rPr>
          <w:rFonts w:ascii="Times New Roman" w:cs="Times New Roman" w:eastAsia="Times New Roman" w:hAnsi="Times New Roman"/>
          <w:sz w:val="24"/>
          <w:szCs w:val="24"/>
        </w:rPr>
        <w:t xml:space="preserve">O acordo foi medido com o Kappa de Fleiss para os três anotadores e com o Kappa de Cohen para cada par. Nas amostras aleatórias do piloto, obteve-se κ de Fleiss de 0,718 (IC 95%: 0,695–0,741), κ de Cohen médio de 0,719 e concordância observada de 81,3%, o que corresponde a acordo substancial na escala de Landis e Koch (1977). No lote temático de vídeos, o κ de Fleiss foi de 0,818 (IC 95%: 0,763–0,869); este valor não é comparável com o anterior, porque uma amostra seleccionada por tema tem uma distribuição de categorias diferente. Os detalhes constam do Apêndice C.</w:t>
      </w:r>
    </w:p>
    <w:p>
      <w:pPr>
        <w:spacing w:after="120" w:before="0" w:line="360"/>
        <w:ind w:firstLine="567"/>
        <w:jc w:val="both"/>
      </w:pPr>
      <w:r>
        <w:rPr>
          <w:rFonts w:ascii="Times New Roman" w:cs="Times New Roman" w:eastAsia="Times New Roman" w:hAnsi="Times New Roman"/>
          <w:sz w:val="24"/>
          <w:szCs w:val="24"/>
        </w:rPr>
        <w:t xml:space="preserve">O corpus anotado final tem 2.637 publicações, com a seguinte distribuição de etiquetas: Normal 1.664, Mobilização Hostil 364, Desinformação 326 e Discurso de Ódio 283. Após a harmonização e a remoção de duplicados (Secção 3.5), entram no corpus de treino 2.573 registos do piloto.</w:t>
      </w:r>
    </w:p>
    <w:p>
      <w:pPr>
        <w:spacing w:after="120" w:before="0" w:line="360"/>
        <w:ind w:firstLine="567"/>
        <w:jc w:val="both"/>
      </w:pPr>
      <w:r>
        <w:rPr>
          <w:rFonts w:ascii="Times New Roman" w:cs="Times New Roman" w:eastAsia="Times New Roman" w:hAnsi="Times New Roman"/>
          <w:sz w:val="24"/>
          <w:szCs w:val="24"/>
        </w:rPr>
        <w:t xml:space="preserve">O léxico de candidatos usado para priorizar a anotação foi avaliado nos próprios dados anotados. No lote temático, apenas 27% dos comentários que o léxico assinalava como possíveis casos de mobilização (33 em 123) foram classificados pelos anotadores como Mobilização Hostil, contra 61% (17 em 28) no caso do discurso de ódio; num controlo de 45 comentários sem termos do léxico, não houve nenhum caso de mobilização. O léxico é, por isso, útil para encontrar casos raros, mas insuficiente para os rotular, e não foi usado como fonte de etiquetas.</w:t>
      </w:r>
    </w:p>
    <w:p>
      <w:pPr>
        <w:pStyle w:val="Heading2"/>
        <w:keepNext/>
        <w:keepLines/>
        <w:spacing w:after="160" w:before="360" w:line="300"/>
      </w:pPr>
      <w:r>
        <w:rPr>
          <w:rFonts w:ascii="Times New Roman" w:cs="Times New Roman" w:eastAsia="Times New Roman" w:hAnsi="Times New Roman"/>
          <w:b/>
          <w:bCs/>
          <w:sz w:val="26"/>
          <w:szCs w:val="26"/>
        </w:rPr>
        <w:t xml:space="preserve">3.5 Construção do corpus híbrido</w:t>
      </w:r>
    </w:p>
    <w:p>
      <w:pPr>
        <w:spacing w:after="120" w:before="0" w:line="360"/>
        <w:ind w:firstLine="567"/>
        <w:jc w:val="both"/>
      </w:pPr>
      <w:r>
        <w:rPr>
          <w:rFonts w:ascii="Times New Roman" w:cs="Times New Roman" w:eastAsia="Times New Roman" w:hAnsi="Times New Roman"/>
          <w:sz w:val="24"/>
          <w:szCs w:val="24"/>
        </w:rPr>
        <w:t xml:space="preserve">O piloto angolano, por si só, é demasiado pequeno para treinar um classificador de quatro categorias. Combinou-se, por isso, com os três corpora públicos descritos na Secção 2.4.1. As etiquetas originais de cada corpus foram mapeadas para as quatro categorias da dissertação no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construção do corpus. No ToLD-BR, os tweets com marcação de ataque a uma identidade passaram a Odio, os tweets sem qualquer marcação a Normal, e os tweets tóxicos apenas por obscenidade ou insulto sem alvo identitário foram excluídos. No HateBR, os comentários marcados como linguagem ofensiva passaram a Odio e os restantes a Normal. No Fake.br, as notícias falsas passaram a Desinformacao e as verdadeiras a Normal. Depois da junção, removeram-se os duplicados exactos.</w:t>
      </w:r>
    </w:p>
    <w:p>
      <w:pPr>
        <w:spacing w:after="120" w:before="0" w:line="360"/>
        <w:ind w:firstLine="567"/>
        <w:jc w:val="both"/>
      </w:pPr>
      <w:r>
        <w:rPr>
          <w:rFonts w:ascii="Times New Roman" w:cs="Times New Roman" w:eastAsia="Times New Roman" w:hAnsi="Times New Roman"/>
          <w:sz w:val="24"/>
          <w:szCs w:val="24"/>
        </w:rPr>
        <w:t xml:space="preserve">O resultado é um corpus de 26.859 registos (238 duplicados removidos), cuja composição se apresenta na Tabela 4.1. A Figura 3.2 resume o processo e a divisão em treino, validação e teste.</w:t>
      </w:r>
    </w:p>
    <w:p>
      <w:pPr>
        <w:keepNext/>
        <w:spacing w:after="40" w:before="160"/>
        <w:jc w:val="center"/>
      </w:pPr>
      <w:r>
        <w:drawing>
          <wp:inline distT="0" distB="0" distL="0" distR="0">
            <wp:extent cx="5400675" cy="2895600"/>
            <wp:effectExtent t="0" r="0" b="0" l="0"/>
            <wp:docPr id="1" name="fig3_2_corpus.png" descr="fig3_2_corpus.png" title="fig3_2_corp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00675" cy="28956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3.2 – Construção do corpus híbrido e divisão em treino, validação e teste</w:t>
      </w:r>
    </w:p>
    <w:p>
      <w:pPr>
        <w:spacing w:after="120" w:before="0" w:line="360"/>
        <w:ind w:firstLine="567"/>
        <w:jc w:val="both"/>
      </w:pPr>
      <w:r>
        <w:rPr>
          <w:rFonts w:ascii="Times New Roman" w:cs="Times New Roman" w:eastAsia="Times New Roman" w:hAnsi="Times New Roman"/>
          <w:sz w:val="24"/>
          <w:szCs w:val="24"/>
        </w:rPr>
        <w:t xml:space="preserve">A divisão foi estratificada por categoria, com cerca de 70% dos dados para treino e 15% para cada um dos conjuntos de validação (3.986) e de teste (3.987). Os 285 itens dos lotes enriquecidos foram forçados para o treino. O conjunto de teste foi usado uma única vez, no fim, para cada modelo e variante.</w:t>
      </w:r>
    </w:p>
    <w:p>
      <w:pPr>
        <w:spacing w:after="120" w:before="0" w:line="360"/>
        <w:ind w:firstLine="567"/>
        <w:jc w:val="both"/>
      </w:pPr>
      <w:r>
        <w:rPr>
          <w:rFonts w:ascii="Times New Roman" w:cs="Times New Roman" w:eastAsia="Times New Roman" w:hAnsi="Times New Roman"/>
          <w:sz w:val="24"/>
          <w:szCs w:val="24"/>
        </w:rPr>
        <w:t xml:space="preserve">Note-se que, no HateBR, a etiqueta usada é a de linguagem ofensiva, que é mais ampla do que o discurso de ódio tal como definido no guia de anotação; parte dos exemplos públicos de Odio são, por isso, insultos sem alvo identitário. Dois desequilíbrios estruturais condicionam a interpretação dos resultados. A Mobilização Hostil existe apenas no piloto e conta com 47 exemplos no teste, o que torna as estimativas desta categoria instáveis. E cerca de 91% do teste provém de corpora brasileiros, de modo que as métricas globais descrevem sobretudo o desempenho em conteúdo brasileiro. A H4 foi formulada para separar estes dois domínios.</w:t>
      </w:r>
    </w:p>
    <w:p>
      <w:pPr>
        <w:pStyle w:val="Heading2"/>
        <w:keepNext/>
        <w:keepLines/>
        <w:spacing w:after="160" w:before="360" w:line="300"/>
      </w:pPr>
      <w:r>
        <w:rPr>
          <w:rFonts w:ascii="Times New Roman" w:cs="Times New Roman" w:eastAsia="Times New Roman" w:hAnsi="Times New Roman"/>
          <w:b/>
          <w:bCs/>
          <w:sz w:val="26"/>
          <w:szCs w:val="26"/>
        </w:rPr>
        <w:t xml:space="preserve">3.6 Modelos e treino</w:t>
      </w:r>
    </w:p>
    <w:p>
      <w:pPr>
        <w:pStyle w:val="Heading3"/>
        <w:keepNext/>
        <w:spacing w:after="120" w:before="240"/>
      </w:pPr>
      <w:r>
        <w:rPr>
          <w:rFonts w:ascii="Times New Roman" w:cs="Times New Roman" w:eastAsia="Times New Roman" w:hAnsi="Times New Roman"/>
          <w:b/>
          <w:bCs/>
          <w:sz w:val="24"/>
          <w:szCs w:val="24"/>
        </w:rPr>
        <w:t xml:space="preserve">3.6.1 Pré-processamento e representação</w:t>
      </w:r>
    </w:p>
    <w:p>
      <w:pPr>
        <w:spacing w:after="120" w:before="0" w:line="360"/>
        <w:ind w:firstLine="567"/>
        <w:jc w:val="both"/>
      </w:pPr>
      <w:r>
        <w:rPr>
          <w:rFonts w:ascii="Times New Roman" w:cs="Times New Roman" w:eastAsia="Times New Roman" w:hAnsi="Times New Roman"/>
          <w:sz w:val="24"/>
          <w:szCs w:val="24"/>
        </w:rPr>
        <w:t xml:space="preserve">O pré-processamento foi deliberadamente ligeiro. O BERTimbau recebe o texto original, com pontuação e capitalização, e usa o seu próprio tokenizador de subpalavras. O Bi-LSTM converte o texto em minúsculas, divide-o em palavras e aprende as suas representações durante o treino. Os modelos clássicos usam uma representação TF-IDF limitada aos 5.000 termos mais frequentes do treino.</w:t>
      </w:r>
    </w:p>
    <w:p>
      <w:pPr>
        <w:pStyle w:val="Heading3"/>
        <w:keepNext/>
        <w:spacing w:after="120" w:before="240"/>
      </w:pPr>
      <w:r>
        <w:rPr>
          <w:rFonts w:ascii="Times New Roman" w:cs="Times New Roman" w:eastAsia="Times New Roman" w:hAnsi="Times New Roman"/>
          <w:b/>
          <w:bCs/>
          <w:sz w:val="24"/>
          <w:szCs w:val="24"/>
        </w:rPr>
        <w:t xml:space="preserve">3.6.2 Configuração dos modelos</w:t>
      </w:r>
    </w:p>
    <w:p>
      <w:pPr>
        <w:spacing w:after="120" w:before="0" w:line="360"/>
        <w:ind w:firstLine="567"/>
        <w:jc w:val="both"/>
      </w:pPr>
      <w:r>
        <w:rPr>
          <w:rFonts w:ascii="Times New Roman" w:cs="Times New Roman" w:eastAsia="Times New Roman" w:hAnsi="Times New Roman"/>
          <w:sz w:val="24"/>
          <w:szCs w:val="24"/>
        </w:rPr>
        <w:t xml:space="preserve">O desequilíbrio entre classes foi tratado de duas formas, consoante o tipo de modelo. Nos modelos clássicos, aplicou-se SMOTE (Chawla et al., 2002) ao espaço TF-IDF do conjunto de treino, gerando exemplos sintéticos das classes minoritárias; a validação e o teste mantêm a distribuição original. Nos modelos neuronais, em vez de criar exemplos, usaram-se pesos na função de perda inversamente proporcionais à frequência de cada classe. A Tabela 3.1 resume a configuração.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3.1 – Configuração dos modelos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Configuração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SVM linear (LinearSVC);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300 árvores;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i/>
                <w:iCs/>
                <w:sz w:val="19"/>
                <w:szCs w:val="19"/>
              </w:rPr>
              <w:t xml:space="preserve">Embeddings</w:t>
            </w:r>
            <w:r>
              <w:rPr>
                <w:rFonts w:ascii="Times New Roman" w:cs="Times New Roman" w:eastAsia="Times New Roman" w:hAnsi="Times New Roman"/>
                <w:b w:val="false"/>
                <w:bCs w:val="false"/>
                <w:sz w:val="19"/>
                <w:szCs w:val="19"/>
              </w:rPr>
              <w:t xml:space="preserve"> de dimensão 100 treinados de raiz; LSTM bidireccional com 128 unidades; até 128 palavras por texto; lote 32; taxa de aprendizagem 10</w:t>
            </w:r>
            <w:r>
              <w:rPr>
                <w:rFonts w:ascii="Times New Roman" w:cs="Times New Roman" w:eastAsia="Times New Roman" w:hAnsi="Times New Roman"/>
                <w:b w:val="false"/>
                <w:bCs w:val="false"/>
                <w:sz w:val="19"/>
                <w:szCs w:val="19"/>
                <w:vertAlign w:val="superscript"/>
              </w:rPr>
              <w:t xml:space="preserve">-3</w:t>
            </w:r>
            <w:r>
              <w:rPr>
                <w:rFonts w:ascii="Times New Roman" w:cs="Times New Roman" w:eastAsia="Times New Roman" w:hAnsi="Times New Roman"/>
                <w:b w:val="false"/>
                <w:bCs w:val="false"/>
                <w:sz w:val="19"/>
                <w:szCs w:val="19"/>
              </w:rPr>
              <w:t xml:space="preserve">; até 15 épocas com paragem antecipada (3 épocas sem melhoria do F1-macro de validação); entropia cruzada ponderada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neuralmind/bert-base-portuguese-cased com ajuste fino completo e cabeça de 4 saídas; até 256 subpalavras; lote 16; taxa de aprendizagem 2 × 10</w:t>
            </w:r>
            <w:r>
              <w:rPr>
                <w:rFonts w:ascii="Times New Roman" w:cs="Times New Roman" w:eastAsia="Times New Roman" w:hAnsi="Times New Roman"/>
                <w:b w:val="false"/>
                <w:bCs w:val="false"/>
                <w:sz w:val="19"/>
                <w:szCs w:val="19"/>
                <w:vertAlign w:val="superscript"/>
              </w:rPr>
              <w:t xml:space="preserve">-5</w:t>
            </w:r>
            <w:r>
              <w:rPr>
                <w:rFonts w:ascii="Times New Roman" w:cs="Times New Roman" w:eastAsia="Times New Roman" w:hAnsi="Times New Roman"/>
                <w:b w:val="false"/>
                <w:bCs w:val="false"/>
                <w:sz w:val="19"/>
                <w:szCs w:val="19"/>
              </w:rPr>
              <w:t xml:space="preserve">; 3 épocas, retendo a época com melhor F1-macro de validação; entropia cruzada ponderada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por omissão dos </w:t>
      </w:r>
      <w:r>
        <w:rPr>
          <w:rFonts w:ascii="Times New Roman" w:cs="Times New Roman" w:eastAsia="Times New Roman" w:hAnsi="Times New Roman"/>
          <w:i/>
          <w:iCs/>
          <w:sz w:val="18"/>
          <w:szCs w:val="18"/>
        </w:rPr>
        <w:t xml:space="preserve">scripts</w:t>
      </w:r>
      <w:r>
        <w:rPr>
          <w:rFonts w:ascii="Times New Roman" w:cs="Times New Roman" w:eastAsia="Times New Roman" w:hAnsi="Times New Roman"/>
          <w:sz w:val="18"/>
          <w:szCs w:val="18"/>
        </w:rPr>
        <w:t xml:space="preserve"> train_baseline.py, train_bilstm.py e train_bertimbau.py, usados sem alteração na corrida de referência. A semente aleatória é 42 em todos os modelos.</w:t>
      </w:r>
    </w:p>
    <w:p>
      <w:pPr>
        <w:spacing w:after="120" w:before="0" w:line="360"/>
        <w:ind w:firstLine="567"/>
        <w:jc w:val="both"/>
      </w:pPr>
      <w:r>
        <w:rPr>
          <w:rFonts w:ascii="Times New Roman" w:cs="Times New Roman" w:eastAsia="Times New Roman" w:hAnsi="Times New Roman"/>
          <w:sz w:val="24"/>
          <w:szCs w:val="24"/>
        </w:rPr>
        <w:t xml:space="preserve">O BERTimbau foi treinado três vezes, com as sementes 42, 43 e 44, para medir a variabilidade devida à inicialização. A execução com a semente 42 foi definida, antes das restantes, como configuração de referência. Testaram-se ainda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temático de vídeos (ablação) e pesos de classe suavizados (expoente 0,5 sobre o inverso da frequência).</w:t>
      </w:r>
    </w:p>
    <w:p>
      <w:pPr>
        <w:pStyle w:val="Heading3"/>
        <w:keepNext/>
        <w:spacing w:after="120" w:before="240"/>
      </w:pPr>
      <w:r>
        <w:rPr>
          <w:rFonts w:ascii="Times New Roman" w:cs="Times New Roman" w:eastAsia="Times New Roman" w:hAnsi="Times New Roman"/>
          <w:b/>
          <w:bCs/>
          <w:sz w:val="24"/>
          <w:szCs w:val="24"/>
        </w:rPr>
        <w:t xml:space="preserve">3.6.3 Ambiente de desenvolvimento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3.2 – Ambiente de desenvolvimento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0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Componente</w:t>
            </w:r>
          </w:p>
        </w:tc>
        <w:tc>
          <w:tcPr>
            <w:tcW w:type="dxa" w:w="5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Especificação</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 operativo (desenvolvimento)</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Windows 11, 64 bits</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Linguagem</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Python 3.11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Treino dos modelos profundos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Google Colab com GPU NVIDIA T4 (16 GB)</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Aprendizagem automática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PyTorch, Hugging Face Transformers, scikit-learn</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Recolha de dados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YouTube Data API v3; leitura de páginas web e feeds RSS públicos (biblioteca padrão do Python, com respeito pelo robots.txt); recolha manual</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FastAPI, Jinja2 e Uvicorn (aplicação web sem dependências de compilação)</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Armazenamento</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SQLite 3 (base de dados num único ficheiro, com transacções e chaves estrangeiras)</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Controlo de versões</w:t>
            </w:r>
          </w:p>
        </w:tc>
        <w:tc>
          <w:tcPr>
            <w:tcW w:type="dxa" w:w="5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Git e GitHub (repositório dissertacao-uan-angola)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As versões exactas das bibliotecas do sistema constam do ficheiro requirements.txt do protótipo.</w:t>
      </w:r>
    </w:p>
    <w:p>
      <w:pPr>
        <w:pStyle w:val="Heading2"/>
        <w:keepNext/>
        <w:keepLines/>
        <w:spacing w:after="160" w:before="360" w:line="300"/>
      </w:pPr>
      <w:r>
        <w:rPr>
          <w:rFonts w:ascii="Times New Roman" w:cs="Times New Roman" w:eastAsia="Times New Roman" w:hAnsi="Times New Roman"/>
          <w:b/>
          <w:bCs/>
          <w:sz w:val="26"/>
          <w:szCs w:val="26"/>
        </w:rPr>
        <w:t xml:space="preserve">3.7 Protocolo de avaliação</w:t>
      </w:r>
    </w:p>
    <w:p>
      <w:pPr>
        <w:spacing w:after="120" w:before="0" w:line="360"/>
        <w:ind w:firstLine="567"/>
        <w:jc w:val="both"/>
      </w:pPr>
      <w:r>
        <w:rPr>
          <w:rFonts w:ascii="Times New Roman" w:cs="Times New Roman" w:eastAsia="Times New Roman" w:hAnsi="Times New Roman"/>
          <w:sz w:val="24"/>
          <w:szCs w:val="24"/>
        </w:rPr>
        <w:t xml:space="preserve">A avaliação foi definida antes de se conhecerem os resultados de teste, segundo as regras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 principal:</w:t>
      </w:r>
      <w:r>
        <w:rPr>
          <w:rFonts w:ascii="Times New Roman" w:cs="Times New Roman" w:eastAsia="Times New Roman" w:hAnsi="Times New Roman"/>
          <w:sz w:val="24"/>
          <w:szCs w:val="24"/>
        </w:rPr>
        <w:t xml:space="preserve"> F1-macro no conjunto de teste, com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(2.000 reamostragens).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Métricas complementares:</w:t>
      </w:r>
      <w:r>
        <w:rPr>
          <w:rFonts w:ascii="Times New Roman" w:cs="Times New Roman" w:eastAsia="Times New Roman" w:hAnsi="Times New Roman"/>
          <w:sz w:val="24"/>
          <w:szCs w:val="24"/>
        </w:rPr>
        <w:t xml:space="preserve"> F1 ponderado, exactidão, Kappa de Cohen entre previsões e referência, AUC-ROC média das quatro curvas um-contra-todos, e precisão, sensibilidade e F1 por categoria.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Comparação de modelos (H1):</w:t>
      </w:r>
      <w:r>
        <w:rPr>
          <w:rFonts w:ascii="Times New Roman" w:cs="Times New Roman" w:eastAsia="Times New Roman" w:hAnsi="Times New Roman"/>
          <w:sz w:val="24"/>
          <w:szCs w:val="24"/>
        </w:rPr>
        <w:t xml:space="preserve"> teste de McNemar com correcção de continuidade para cada um dos seis pares de modelos, com correcção de Bonferroni (α = 0,05/6 ≈ 0,0083), e IC 95% da diferença de F1-macro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 de variantes:</w:t>
      </w:r>
      <w:r>
        <w:rPr>
          <w:rFonts w:ascii="Times New Roman" w:cs="Times New Roman" w:eastAsia="Times New Roman" w:hAnsi="Times New Roman"/>
          <w:sz w:val="24"/>
          <w:szCs w:val="24"/>
        </w:rPr>
        <w:t xml:space="preserve"> feita no conjunto de validação. Uma variante só substitui a referência se se distinguir dela; caso contrário, mantém-se a referência. Os resultados de teste são reportados para todas as variantes, sem selecção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Ajuste de limiares:</w:t>
      </w:r>
      <w:r>
        <w:rPr>
          <w:rFonts w:ascii="Times New Roman" w:cs="Times New Roman" w:eastAsia="Times New Roman" w:hAnsi="Times New Roman"/>
          <w:sz w:val="24"/>
          <w:szCs w:val="24"/>
        </w:rPr>
        <w:t xml:space="preserve"> vieses por classe escolhidos na validação, com o ganho esperado estimado por validação cruzada dentro da validação; o resultado principal é sempre reportado sem ajuste.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Lacuna de domínio (H4):</w:t>
      </w:r>
      <w:r>
        <w:rPr>
          <w:rFonts w:ascii="Times New Roman" w:cs="Times New Roman" w:eastAsia="Times New Roman" w:hAnsi="Times New Roman"/>
          <w:sz w:val="24"/>
          <w:szCs w:val="24"/>
        </w:rPr>
        <w:t xml:space="preserve"> o teste é dividido em subconjunto do piloto angolano e subconjunto dos corpora públicos; compara-se o F1-macro (com IC 95%) e o Kappa do modelo seleccionado em cada um, e repete-se a comparação nas três categorias comuns para controlar a ausência de Mobilização Hostil no corpus público.</w:t>
      </w:r>
    </w:p>
    <w:p>
      <w:pPr>
        <w:spacing w:after="120" w:before="0" w:line="360"/>
        <w:ind w:firstLine="567"/>
        <w:jc w:val="both"/>
      </w:pPr>
      <w:r>
        <w:rPr>
          <w:rFonts w:ascii="Times New Roman" w:cs="Times New Roman" w:eastAsia="Times New Roman" w:hAnsi="Times New Roman"/>
          <w:sz w:val="24"/>
          <w:szCs w:val="24"/>
        </w:rPr>
        <w:t xml:space="preserve">O protocolo das hipóteses H2 e H3, que dependem do sistema, é descrito na Secção 3.9.</w:t>
      </w:r>
    </w:p>
    <w:p>
      <w:pPr>
        <w:pStyle w:val="Heading2"/>
        <w:keepNext/>
        <w:keepLines/>
        <w:spacing w:after="160" w:before="360" w:line="300"/>
      </w:pPr>
      <w:r>
        <w:rPr>
          <w:rFonts w:ascii="Times New Roman" w:cs="Times New Roman" w:eastAsia="Times New Roman" w:hAnsi="Times New Roman"/>
          <w:b/>
          <w:bCs/>
          <w:sz w:val="26"/>
          <w:szCs w:val="26"/>
        </w:rPr>
        <w:t xml:space="preserve">3.8 Arquitectura do sistema</w:t>
      </w:r>
    </w:p>
    <w:p>
      <w:pPr>
        <w:pStyle w:val="Heading3"/>
        <w:keepNext/>
        <w:spacing w:after="120" w:before="240"/>
      </w:pPr>
      <w:r>
        <w:rPr>
          <w:rFonts w:ascii="Times New Roman" w:cs="Times New Roman" w:eastAsia="Times New Roman" w:hAnsi="Times New Roman"/>
          <w:b/>
          <w:bCs/>
          <w:sz w:val="24"/>
          <w:szCs w:val="24"/>
        </w:rPr>
        <w:t xml:space="preserve">3.8.1 Requisitos</w:t>
      </w:r>
    </w:p>
    <w:p>
      <w:pPr>
        <w:spacing w:after="120" w:before="0" w:line="360"/>
        <w:ind w:firstLine="567"/>
        <w:jc w:val="both"/>
      </w:pPr>
      <w:r>
        <w:rPr>
          <w:rFonts w:ascii="Times New Roman" w:cs="Times New Roman" w:eastAsia="Times New Roman" w:hAnsi="Times New Roman"/>
          <w:sz w:val="24"/>
          <w:szCs w:val="24"/>
        </w:rPr>
        <w:t xml:space="preserve">A arquitectura foi desenhada depois de conhecidos os resultados do Capítulo 4. Um classificador com F1-macro de cerca de 0,80 no teste global, de cerca de 0,53 em conteúdo angolano e com precisão de cerca de 0,51 na Mobilização Hostil não deve tomar decisões, mas pode ajudar a ordenar o trabalho de quem decide. É desta constatação que partem os requisitos da Tabela 3.3.</w:t>
      </w:r>
    </w:p>
    <w:p>
      <w:pPr>
        <w:pStyle w:val="LegendaTabela"/>
        <w:keepNext/>
        <w:spacing w:after="80" w:before="240" w:line="240"/>
        <w:jc w:val="center"/>
      </w:pPr>
      <w:r>
        <w:rPr>
          <w:rFonts w:ascii="Times New Roman" w:cs="Times New Roman" w:eastAsia="Times New Roman" w:hAnsi="Times New Roman"/>
          <w:b/>
          <w:bCs/>
          <w:sz w:val="20"/>
          <w:szCs w:val="20"/>
        </w:rPr>
        <w:t xml:space="preserve">Tabela 3.3 – Requisitos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120"/>
      </w:tblGrid>
      <w:tr>
        <w:trPr>
          <w:cantSplit/>
          <w:tblHeader/>
        </w:trPr>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Código</w:t>
            </w:r>
          </w:p>
        </w:tc>
        <w:tc>
          <w:tcPr>
            <w:tcW w:type="dxa" w:w="7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Requisito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Recolher publicações de fontes públicas registadas: comentários do YouTube pela interface oficial e artigos de sítios de notícias e feeds RSS que não exigem conta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Importar lotes de ficheiros de outras vias, registando a proveniência de cada lote</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Anonimizar autores e identificadores directos antes de gravar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RF4</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Guardar lotes, publicações, classificações, revisões e auditoria numa base de dados relacional</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RF5</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Classificar as publicações em lote com o modelo seleccionado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RF6</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Apresentar uma fila de revisão ordenada por prioridade</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RF7</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Registar a decisão do analista e exportá-la para novo treino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RF8</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Calcular métricas operacionais: precisão nos primeiros K, κ analista–sistema e entre analistas, sensibilidade estimada, latência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RF9</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Controlar o acesso por contas individuais com dois papéis (analista e supervisor)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RF10</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Permitir a avaliação independente por vários analistas, com revisão cega e amostra de controlo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Gerar alertas a partir de ameaças confirmadas por analistas e de tendências de crescimento, na aplicação e por e-mail</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Mostrar num mapa, por província, a concentração e a evolução das ameaças no período escolhido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Produzir o relatório de alertas de ameaças de um período, para impressão, exportação e envio por e-mail</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RF14</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Mostrar a ficha do modelo em uso: desempenho global, por categoria e em conteúdo angolano, limitações e acordo observado com os analistas</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RF15</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Oferecer um modo de demonstração com dados fictícios, numa base de dados separada da real</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Funcionar num único servidor, com software livre e sem serviços externos obrigatórios</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Conformidade com a Lei n.º 22/11: minimização, pseudonimização, conservação limitada, auditoria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Substituir o modelo sem alterar o resto do sistema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RNF4</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Código modular, testado e documentado, para replicação e manutenção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RNF5</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Recolher apenas conteúdo público, sem contornar protecções técnicas nem condições de acesso dos sítios</w:t>
            </w:r>
          </w:p>
        </w:tc>
      </w:tr>
      <w:tr>
        <w:trPr>
          <w:cantSplit/>
          <w:tblHeader w:val="false"/>
        </w:trPr>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RNF6</w:t>
            </w:r>
          </w:p>
        </w:tc>
        <w:tc>
          <w:tcPr>
            <w:tcW w:type="dxa" w:w="7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Interface utilizável sem acesso à Internet, sem bibliotecas nem recursos externos, operável por teclado e legível em ecrãs estreitos e em papel</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RF: requisito funcional; RNF: requisito não funcional.</w:t>
      </w:r>
    </w:p>
    <w:p>
      <w:pPr>
        <w:pStyle w:val="Heading3"/>
        <w:keepNext/>
        <w:spacing w:after="120" w:before="240"/>
      </w:pPr>
      <w:r>
        <w:rPr>
          <w:rFonts w:ascii="Times New Roman" w:cs="Times New Roman" w:eastAsia="Times New Roman" w:hAnsi="Times New Roman"/>
          <w:b/>
          <w:bCs/>
          <w:sz w:val="24"/>
          <w:szCs w:val="24"/>
        </w:rPr>
        <w:t xml:space="preserve">3.8.2 Alternativas e decisão</w:t>
      </w:r>
    </w:p>
    <w:p>
      <w:pPr>
        <w:spacing w:after="120" w:before="0" w:line="360"/>
        <w:ind w:firstLine="567"/>
        <w:jc w:val="both"/>
      </w:pPr>
      <w:r>
        <w:rPr>
          <w:rFonts w:ascii="Times New Roman" w:cs="Times New Roman" w:eastAsia="Times New Roman" w:hAnsi="Times New Roman"/>
          <w:sz w:val="24"/>
          <w:szCs w:val="24"/>
        </w:rPr>
        <w:t xml:space="preserve">Consideraram-se duas arquitecturas. A primeira, de processamento distribuído em fluxo contínuo, combinaria recolha massiva por automatização de navegadores, uma fila de mensagens (Kafka), processamento distribuído (Spark), uma base de dados documental na nuvem e um painel comercial de inteligência empresarial. A segunda, adoptada, é uma arquitectura em camadas, leve, que corre num único servidor e cresce por substituição de componentes. A Tabela 3.4 compara as duas.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3.4 – Comparação das arquitecturas consideradas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33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Critério</w:t>
            </w:r>
          </w:p>
        </w:tc>
        <w:tc>
          <w:tcPr>
            <w:tcW w:type="dxa" w:w="3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Distribuída em fluxo contínuo</w:t>
            </w:r>
          </w:p>
        </w:tc>
        <w:tc>
          <w:tcPr>
            <w:tcW w:type="dxa" w:w="3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Em camadas, leve (adoptada)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Volume suportado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Muito elevado</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Adequado ao volume de recolha pela via oficial; escalável por substituição de componentes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Infra-estrutura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Vários serviços em cluster; operação especializada</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Um servidor; Python, SQLite (ou PostgreSQL)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e dependências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Licenças e/ou serviços em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Apenas software livre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Soberania dos dados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Depende do fornecedor de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Dados em infra-estrutura própria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Vias de recolha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Tendência para automatizar páginas que exigem contornar protecções</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Interfaces oficiais, sítios públicos sem conta (respeitando o robots.txt), recolha manual e exportações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Adequação ao modelo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Pressupõe decisões em tempo real</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Pensada para triagem com revisão humana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Reprodutibilidade</w:t>
            </w:r>
          </w:p>
        </w:tc>
        <w:tc>
          <w:tcPr>
            <w:tcW w:type="dxa" w:w="3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Difícil fora do ambiente original</w:t>
            </w:r>
          </w:p>
        </w:tc>
        <w:tc>
          <w:tcPr>
            <w:tcW w:type="dxa" w:w="3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com um ficheiro de dependências; testes automáticos</w:t>
            </w:r>
          </w:p>
        </w:tc>
      </w:tr>
    </w:tbl>
    <w:p>
      <w:pPr>
        <w:spacing w:after="240" w:before="60" w:line="240"/>
        <w:jc w:val="both"/>
      </w:pPr>
    </w:p>
    <w:p>
      <w:pPr>
        <w:spacing w:after="120" w:before="0" w:line="360"/>
        <w:ind w:firstLine="567"/>
        <w:jc w:val="both"/>
      </w:pPr>
      <w:r>
        <w:rPr>
          <w:rFonts w:ascii="Times New Roman" w:cs="Times New Roman" w:eastAsia="Times New Roman" w:hAnsi="Times New Roman"/>
          <w:sz w:val="24"/>
          <w:szCs w:val="24"/>
        </w:rPr>
        <w:t xml:space="preserve">A arquitectura distribuída faria sentido se o problema fosse o volume de dados. Aqui, o que limita o sistema é a capacidade humana de rever o que o modelo sinaliza e a fiabilidade do modelo em conteúdo angolano. Uma arquitectura que processasse milhões de publicações por hora produziria alertas que ninguém conseguiria rever, com uma precisão que não justificaria a confiança. Com a arquitectura leve, o esforço vai para a qualidade da fila de revisão, para a protecção dos dados e para a facilidade de trocar o modelo quando houver uma versão melhor. Se o volume crescer, a base de dados pode passar para PostgreSQL e o serviço de inferência pode ser replicado, sem alterar o desenho.</w:t>
      </w:r>
    </w:p>
    <w:p>
      <w:pPr>
        <w:pStyle w:val="Heading3"/>
        <w:keepNext/>
        <w:spacing w:after="120" w:before="240"/>
      </w:pPr>
      <w:r>
        <w:rPr>
          <w:rFonts w:ascii="Times New Roman" w:cs="Times New Roman" w:eastAsia="Times New Roman" w:hAnsi="Times New Roman"/>
          <w:b/>
          <w:bCs/>
          <w:sz w:val="24"/>
          <w:szCs w:val="24"/>
        </w:rPr>
        <w:t xml:space="preserve">3.8.3 Camadas e componentes</w:t>
      </w:r>
    </w:p>
    <w:p>
      <w:pPr>
        <w:spacing w:after="120" w:before="0" w:line="360"/>
        <w:ind w:firstLine="567"/>
        <w:jc w:val="both"/>
      </w:pPr>
      <w:r>
        <w:rPr>
          <w:rFonts w:ascii="Times New Roman" w:cs="Times New Roman" w:eastAsia="Times New Roman" w:hAnsi="Times New Roman"/>
          <w:sz w:val="24"/>
          <w:szCs w:val="24"/>
        </w:rPr>
        <w:t xml:space="preserve">A Figura 3.3 apresenta a arquitectura adoptada, organizada em seis camadas.</w:t>
      </w:r>
    </w:p>
    <w:p>
      <w:pPr>
        <w:keepNext/>
        <w:spacing w:after="40" w:before="160"/>
        <w:jc w:val="center"/>
      </w:pPr>
      <w:r>
        <w:drawing>
          <wp:inline distT="0" distB="0" distL="0" distR="0">
            <wp:extent cx="5581650" cy="4381500"/>
            <wp:effectExtent t="0" r="0" b="0" l="0"/>
            <wp:docPr id="1" name="fig3_3_arquitectura.png" descr="fig3_3_arquitectura.png" title="fig3_3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43815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3.3 – Arquitectura em camadas do sistema de triagem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Fontes públicas.</w:t>
      </w:r>
      <w:r>
        <w:rPr>
          <w:rFonts w:ascii="Times New Roman" w:cs="Times New Roman" w:eastAsia="Times New Roman" w:hAnsi="Times New Roman"/>
          <w:sz w:val="24"/>
          <w:szCs w:val="24"/>
        </w:rPr>
        <w:t xml:space="preserve"> O sistema recolhe ele próprio de duas origens. A primeira é o YouTube, pela interface oficial (YouTube Data API v3): para um vídeo ou para os vídeos mais recentes de um canal, obtém os comentários e as respostas. A segunda são sítios da internet de acesso livre, que não exigem conta nem estão protegidos por barreiras de acesso, como os portais dos órgãos de comunicação angolanos: o sistema lê feeds RSS, artigos isolados ou a página inicial de uma secção, a partir da qual segue as ligações para artigos do mesmo sítio. Das redes que exigem conta, como o Facebook, o conteúdo público entra por importação de ficheiros, tal como os conjuntos de dados doados ou de terceiros. Cada fonte e cada via ficam registadas com o lote.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Recolha.</w:t>
      </w:r>
      <w:r>
        <w:rPr>
          <w:rFonts w:ascii="Times New Roman" w:cs="Times New Roman" w:eastAsia="Times New Roman" w:hAnsi="Times New Roman"/>
          <w:sz w:val="24"/>
          <w:szCs w:val="24"/>
        </w:rPr>
        <w:t xml:space="preserve"> O supervisor regista as fontes na aplicação, indicando o tipo, o endereço e o número máximo de itens, e lança a recolha a pedido ou por tarefa agendada. Antes de cada pedido a um sítio, o módulo de recolha consulta o ficheiro robots.txt e respeita as exclusões; identifica-se como ferramenta de investigação, espera alguns segundos entre pedidos ao mesmo sítio e não guarda </w:t>
      </w:r>
      <w:r>
        <w:rPr>
          <w:rFonts w:ascii="Times New Roman" w:cs="Times New Roman" w:eastAsia="Times New Roman" w:hAnsi="Times New Roman"/>
          <w:i/>
          <w:iCs/>
          <w:sz w:val="24"/>
          <w:szCs w:val="24"/>
        </w:rPr>
        <w:t xml:space="preserve">cookies</w:t>
      </w:r>
      <w:r>
        <w:rPr>
          <w:rFonts w:ascii="Times New Roman" w:cs="Times New Roman" w:eastAsia="Times New Roman" w:hAnsi="Times New Roman"/>
          <w:sz w:val="24"/>
          <w:szCs w:val="24"/>
        </w:rPr>
        <w:t xml:space="preserve">. Páginas com formulário de palavra-passe ou respostas de acesso negado são ignoradas. Não há rotação de endereços IP, identidades falsas nem resolução de </w:t>
      </w:r>
      <w:r>
        <w:rPr>
          <w:rFonts w:ascii="Times New Roman" w:cs="Times New Roman" w:eastAsia="Times New Roman" w:hAnsi="Times New Roman"/>
          <w:i/>
          <w:iCs/>
          <w:sz w:val="24"/>
          <w:szCs w:val="24"/>
        </w:rPr>
        <w:t xml:space="preserve">captchas</w:t>
      </w:r>
      <w:r>
        <w:rPr>
          <w:rFonts w:ascii="Times New Roman" w:cs="Times New Roman" w:eastAsia="Times New Roman" w:hAnsi="Times New Roman"/>
          <w:sz w:val="24"/>
          <w:szCs w:val="24"/>
        </w:rPr>
        <w:t xml:space="preserve">. De cada artigo guarda-se o título, a data e os primeiros parágrafos, o suficiente para a classificação, sem copiar o artigo inteiro. Cada recolha cria um lote e entrega os registos à camada de ingestão.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Ingestão.</w:t>
      </w:r>
      <w:r>
        <w:rPr>
          <w:rFonts w:ascii="Times New Roman" w:cs="Times New Roman" w:eastAsia="Times New Roman" w:hAnsi="Times New Roman"/>
          <w:sz w:val="24"/>
          <w:szCs w:val="24"/>
        </w:rPr>
        <w:t xml:space="preserve"> Os registos recolhidos e os ficheiros importados passam pelo mesmo módulo. Este lê ficheiros CSV ou JSON, reconhece os nomes de colunas habituais dos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de recolha, mascara identificadores no texto e substitui o autor por um pseudónimo HMAC-SHA-256 com um segredo guardado fora do código. Sem esse segredo, o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de um nome de utilizador podia ser revertido por dicionário. O ficheiro original não é guardado.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Dados.</w:t>
      </w:r>
      <w:r>
        <w:rPr>
          <w:rFonts w:ascii="Times New Roman" w:cs="Times New Roman" w:eastAsia="Times New Roman" w:hAnsi="Times New Roman"/>
          <w:sz w:val="24"/>
          <w:szCs w:val="24"/>
        </w:rPr>
        <w:t xml:space="preserve"> O armazenamento usa SQLite, um motor de base de dados relacional que guarda tudo num único ficheiro (por omissão, dados\sistema.db), não precisa de servidor próprio e suporta transacções e chaves estrangeiras. A base de dados guarda as fontes de recolha, os lotes, as publicações, as classificações, as revisões (uma por analista e publicação), a amostra de controlo, os utilizadores e as sessões, as definições e o registo de auditoria (Figura 3.4). Duas tabelas servem os alertas: uma liga cada publicação às províncias que menciona e outra guarda os alertas e quem já os viu. O modo de diário WAL permite que a classificação em segundo plano grave enquanto os analistas consultam a fila. A cópia de segurança é feita com a função de cópia em linha do SQLite, sem parar o serviço. Para vários servidores ou volumes maiores, o mesmo esquema pode passar para PostgreSQL.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Inferência.</w:t>
      </w:r>
      <w:r>
        <w:rPr>
          <w:rFonts w:ascii="Times New Roman" w:cs="Times New Roman" w:eastAsia="Times New Roman" w:hAnsi="Times New Roman"/>
          <w:sz w:val="24"/>
          <w:szCs w:val="24"/>
        </w:rPr>
        <w:t xml:space="preserve"> O serviço carrega o BERTimbau afinado uma única vez e classifica as publicações pendentes em segundo plano, gravando os resultados por sublotes de 32, para que as primeiras publicações cheguem à fila sem esperar pelo lote inteiro. A prioridade de cada publicação é a probabilidade de não ser Normal, 1 − P(Normal). Esta escolha faz subir na fila uma publicação com 45% de probabilidade de Mobilização Hostil, mesmo que a categoria mais provável seja Normal.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Apresentação.</w:t>
      </w:r>
      <w:r>
        <w:rPr>
          <w:rFonts w:ascii="Times New Roman" w:cs="Times New Roman" w:eastAsia="Times New Roman" w:hAnsi="Times New Roman"/>
          <w:sz w:val="24"/>
          <w:szCs w:val="24"/>
        </w:rPr>
        <w:t xml:space="preserve"> Uma aplicação web, acedida pelo navegador, mostra a fila de revisão, a amostra de controlo, o panorama agregado, os alertas, o mapa por província, o relatório de alertas, a ficha do modelo e os lotes e, para o supervisor, as métricas, as contas e a auditoria. As métricas podem ser exportadas para relatórios, incluindo ferramentas como o Power BI, sem que estas tenham acesso aos textos.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Alertas e relatório.</w:t>
      </w:r>
      <w:r>
        <w:rPr>
          <w:rFonts w:ascii="Times New Roman" w:cs="Times New Roman" w:eastAsia="Times New Roman" w:hAnsi="Times New Roman"/>
          <w:sz w:val="24"/>
          <w:szCs w:val="24"/>
        </w:rPr>
        <w:t xml:space="preserve"> Os alertas nascem apenas de decisões humanas. Um alerta de ameaça confirmada surge quando o número de analistas definido pelo supervisor (um, por omissão) escolhe uma categoria de ameaça e há mais decisões de ameaça do que de Normal. Um alerta de tendência surge quando as ameaças confirmadas numa província, ou no país, chegam a um mínimo de casos numa janela (cinco em sete dias, por omissão), crescem pelo menos 50% face à janela anterior e ganham peso no total de publicações recolhidas; esta última condição impede que um simples aumento da recolha pareça um aumento de ameaça. Os alertas aparecem na aplicação e são enviados por e-mail aos destinatários definidos pelo supervisor, sem o texto da publicação nem o pseudónimo do autor, apenas com a categoria, a província, a data e a ligação para o sistema. Nunca são enviados automaticamente a terceiros. O relatório de alertas de ameaças reúne, para o período escolhido, os indicadores, o mapa, as categorias, os alertas e as ameaças confirmadas, e pode ser impresso, guardado em PDF, exportado em CSV ou enviado por e-mail.</w:t>
      </w:r>
    </w:p>
    <w:p>
      <w:pPr>
        <w:spacing w:after="120" w:before="0" w:line="360"/>
        <w:ind w:firstLine="567"/>
        <w:jc w:val="both"/>
      </w:pPr>
      <w:r>
        <w:rPr>
          <w:rFonts w:ascii="Times New Roman" w:cs="Times New Roman" w:eastAsia="Times New Roman" w:hAnsi="Times New Roman"/>
          <w:sz w:val="24"/>
          <w:szCs w:val="24"/>
        </w:rPr>
        <w:t xml:space="preserve">A localização usada nos alertas e no mapa é o lugar mencionado na publicação, não a localização de quem a escreveu, que os dados públicos não revelam. À entrada, o texto e o contexto são comparados com uma lista de topónimos (nomes das províncias, capitais e municípios mais citados), da qual se excluíram nomes com outro significado corrente, como Belas ou Cela, e termos ambíguos, como Kwanza sem Norte ou Sul. A localização fica ao nível da província, para não se aproximar de um perfil de pessoas, e as publicações sem lugar mencionado contam como «sem localização». O mapa usa as 18 províncias com os limites em vigor de 2011 a 2024, anteriores à divisão político-administrativa que entrou em vigor em Janeiro de 2025, a partir dos limites do geoBoundaries, de domínio público (Runfola et al., 2020). A cor de cada província é a taxa de ameaças confirmadas sobre as publicações que a mencionam, de modo que falar muito de Luanda não a torne, por si só, a província mais ameaçada; abaixo de cinco publicações, a taxa não é calculada. Setas indicam a variação face ao período anterior com a mesma duração (Figura 3.8).</w:t>
      </w:r>
    </w:p>
    <w:p>
      <w:pPr>
        <w:spacing w:after="120" w:before="0" w:line="360"/>
        <w:ind w:firstLine="567"/>
        <w:jc w:val="both"/>
      </w:pPr>
      <w:r>
        <w:rPr>
          <w:rFonts w:ascii="Times New Roman" w:cs="Times New Roman" w:eastAsia="Times New Roman" w:hAnsi="Times New Roman"/>
          <w:sz w:val="24"/>
          <w:szCs w:val="24"/>
        </w:rPr>
        <w:t xml:space="preserve">As revisões do analista são exportadas com a origem </w:t>
      </w:r>
      <w:r>
        <w:rPr>
          <w:rFonts w:ascii="Courier New" w:cs="Courier New" w:eastAsia="Courier New" w:hAnsi="Courier New"/>
          <w:sz w:val="21"/>
          <w:szCs w:val="21"/>
        </w:rPr>
        <w:t xml:space="preserve">revisao_sistema</w:t>
      </w:r>
      <w:r>
        <w:rPr>
          <w:rFonts w:ascii="Times New Roman" w:cs="Times New Roman" w:eastAsia="Times New Roman" w:hAnsi="Times New Roman"/>
          <w:sz w:val="24"/>
          <w:szCs w:val="24"/>
        </w:rPr>
        <w:t xml:space="preserve"> e podem ser usadas num novo ciclo de treino. Como são etiquetas de um só analista sobre itens escolhidos pelo modelo, entram apenas no treino e nunca no teste.</w:t>
      </w:r>
    </w:p>
    <w:p>
      <w:pPr>
        <w:keepNext/>
        <w:spacing w:after="40" w:before="160"/>
        <w:jc w:val="center"/>
      </w:pPr>
      <w:r>
        <w:drawing>
          <wp:inline distT="0" distB="0" distL="0" distR="0">
            <wp:extent cx="5400675" cy="4667250"/>
            <wp:effectExtent t="0" r="0" b="0" l="0"/>
            <wp:docPr id="1" name="fig3_4_dados.png" descr="fig3_4_dados.png" title="fig3_4_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00675" cy="46672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3.4 – Modelo de dados do sistema</w:t>
      </w:r>
    </w:p>
    <w:p>
      <w:pPr>
        <w:pStyle w:val="Heading3"/>
        <w:keepNext/>
        <w:spacing w:after="120" w:before="240"/>
      </w:pPr>
      <w:r>
        <w:rPr>
          <w:rFonts w:ascii="Times New Roman" w:cs="Times New Roman" w:eastAsia="Times New Roman" w:hAnsi="Times New Roman"/>
          <w:b/>
          <w:bCs/>
          <w:sz w:val="24"/>
          <w:szCs w:val="24"/>
        </w:rPr>
        <w:t xml:space="preserve">3.8.4 Casos de uso e fluxo de processamento</w:t>
      </w:r>
    </w:p>
    <w:p>
      <w:pPr>
        <w:spacing w:after="120" w:before="0" w:line="360"/>
        <w:ind w:firstLine="567"/>
        <w:jc w:val="both"/>
      </w:pPr>
      <w:r>
        <w:rPr>
          <w:rFonts w:ascii="Times New Roman" w:cs="Times New Roman" w:eastAsia="Times New Roman" w:hAnsi="Times New Roman"/>
          <w:sz w:val="24"/>
          <w:szCs w:val="24"/>
        </w:rPr>
        <w:t xml:space="preserve">O sistema tem cinco actores (Figura 3.5). O analista revê a sua fila e a amostra de controlo, consulta o panorama, os alertas e o mapa e gera o relatório de alertas. O supervisor, que também pode rever, regista as fontes públicas e lança a recolha, importa lotes, define as regras e os destinatários dos alertas, envia o relatório por e-mail, sorteia a amostra de controlo, gere as contas, consulta métricas e auditoria, activa a revisão cega e aplica o prazo de conservação. O serviço de inferência classifica em segundo plano cada lote recolhido ou importado. O investigador exporta as revisões e treina novas versões do modelo. O destinatário do e-mail, designado pelo supervisor, recebe os alertas e o resumo do relatório sem ter acesso ao sistema.</w:t>
      </w:r>
    </w:p>
    <w:p>
      <w:pPr>
        <w:keepNext/>
        <w:spacing w:after="40" w:before="160"/>
        <w:jc w:val="center"/>
      </w:pPr>
      <w:r>
        <w:drawing>
          <wp:inline distT="0" distB="0" distL="0" distR="0">
            <wp:extent cx="5038725" cy="4305300"/>
            <wp:effectExtent t="0" r="0" b="0" l="0"/>
            <wp:docPr id="1" name="fig3_5_casos_uso.png" descr="fig3_5_casos_uso.png" title="fig3_5_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38725" cy="43053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3.5 – Diagrama de casos de uso (UML)</w:t>
      </w:r>
    </w:p>
    <w:p>
      <w:pPr>
        <w:spacing w:after="120" w:before="0" w:line="360"/>
        <w:ind w:firstLine="567"/>
        <w:jc w:val="both"/>
      </w:pPr>
      <w:r>
        <w:rPr>
          <w:rFonts w:ascii="Times New Roman" w:cs="Times New Roman" w:eastAsia="Times New Roman" w:hAnsi="Times New Roman"/>
          <w:sz w:val="24"/>
          <w:szCs w:val="24"/>
        </w:rPr>
        <w:t xml:space="preserve">A Figura 3.6 mostra a sequência de operações desde a recolha ou importação de um lote até à gravação da decisão do analista e aos alertas que dela resultam.</w:t>
      </w:r>
    </w:p>
    <w:p>
      <w:pPr>
        <w:keepNext/>
        <w:spacing w:after="40" w:before="160"/>
        <w:jc w:val="center"/>
      </w:pPr>
      <w:r>
        <w:drawing>
          <wp:inline distT="0" distB="0" distL="0" distR="0">
            <wp:extent cx="5581650" cy="3981450"/>
            <wp:effectExtent t="0" r="0" b="0" l="0"/>
            <wp:docPr id="1" name="fig3_6_sequencia.png" descr="fig3_6_sequencia.png" title="fig3_6_seq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39814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3.6 – Diagrama de sequência (UML): da recolha à revisão</w:t>
      </w:r>
    </w:p>
    <w:p>
      <w:pPr>
        <w:pStyle w:val="Heading3"/>
        <w:keepNext/>
        <w:spacing w:after="120" w:before="240"/>
      </w:pPr>
      <w:r>
        <w:rPr>
          <w:rFonts w:ascii="Times New Roman" w:cs="Times New Roman" w:eastAsia="Times New Roman" w:hAnsi="Times New Roman"/>
          <w:b/>
          <w:bCs/>
          <w:sz w:val="24"/>
          <w:szCs w:val="24"/>
        </w:rPr>
        <w:t xml:space="preserve">3.8.5 Interface do analista</w:t>
      </w:r>
    </w:p>
    <w:p>
      <w:pPr>
        <w:spacing w:after="120" w:before="0" w:line="360"/>
        <w:ind w:firstLine="567"/>
        <w:jc w:val="both"/>
      </w:pPr>
      <w:r>
        <w:rPr>
          <w:rFonts w:ascii="Times New Roman" w:cs="Times New Roman" w:eastAsia="Times New Roman" w:hAnsi="Times New Roman"/>
          <w:sz w:val="24"/>
          <w:szCs w:val="24"/>
        </w:rPr>
        <w:t xml:space="preserve">A interface é uma aplicação web servida pelo próprio sistema (FastAPI com modelos Jinja2), acedida pelo navegador, sem instalação nos postos dos analistas nem dependências de compilação. Cada pessoa entra com uma conta individual. As palavras-passe são guardadas com PBKDF2-SHA-256, a conta é bloqueada temporariamente após cinco tentativas falhadas, as sessões são mantidas no servidor e todos os formulários estão protegidos contra pedidos forjados (CSRF). Há dois papéis: o analista revê; o supervisor importa lotes, gere contas, consulta métricas e auditoria e define as opções de avaliação.</w:t>
      </w:r>
    </w:p>
    <w:p>
      <w:pPr>
        <w:spacing w:after="120" w:before="0" w:line="360"/>
        <w:ind w:firstLine="567"/>
        <w:jc w:val="both"/>
      </w:pPr>
      <w:r>
        <w:rPr>
          <w:rFonts w:ascii="Times New Roman" w:cs="Times New Roman" w:eastAsia="Times New Roman" w:hAnsi="Times New Roman"/>
          <w:sz w:val="24"/>
          <w:szCs w:val="24"/>
        </w:rPr>
        <w:t xml:space="preserve">O desenho da interface obedeceu a quatro princípios. O primeiro é a autonomia: a folha de estilo, o código JavaScript, os ícones e as ilustrações são próprios do sistema, sem bibliotecas, tipos de letra ou serviços externos, e a política de segurança de conteúdo do navegador (CSP) só admite recursos do próprio servidor. A aplicação funciona, por isso, numa rede sem acesso à Internet, e nenhum terceiro fica a saber que páginas são consultadas. O segundo é a melhoria progressiva: todas as páginas são geradas no servidor e funcionam sem JavaScript; o código do navegador apenas acrescenta rapidez e conforto. O terceiro é a acessibilidade: todas as acções têm atalho de teclado, o foco é sempre visível, os números usam algarismos de largura fixa para se alinharem nas tabelas, as animações são desligadas quando o sistema operativo o pede, há um tema escuro, automático ou escolhido pelo utilizador, e as páginas adaptam-se a ecrãs estreitos e à impressão em A4. O quarto é a honestidade sobre o modelo: as probabilidades estão sempre visíveis e a ficha do modelo explica onde ele falha.</w:t>
      </w:r>
    </w:p>
    <w:p>
      <w:pPr>
        <w:spacing w:after="120" w:before="0" w:line="360"/>
        <w:ind w:firstLine="567"/>
        <w:jc w:val="both"/>
      </w:pPr>
      <w:r>
        <w:rPr>
          <w:rFonts w:ascii="Times New Roman" w:cs="Times New Roman" w:eastAsia="Times New Roman" w:hAnsi="Times New Roman"/>
          <w:sz w:val="24"/>
          <w:szCs w:val="24"/>
        </w:rPr>
        <w:t xml:space="preserve">Na fila (Figura 3.7), cada publicação aparece com a categoria prevista, uma barra com as probabilidades das quatro categorias e quatro botões de decisão, que também respondem às teclas 1 a 4. No texto, os lugares reconhecidos e os dados anonimizados (telefones, endereços, menções) aparecem realçados, para que o analista veja de imediato a província atribuída e o que foi mascarado. A decisão é gravada sem recarregar a página, com a posição que o item ocupava na fila, e pode ser desfeita durante cinco segundos; o e-mail de um alerta só sai depois desse prazo, para que uma decisão desfeita anule o alerta antes de ele sair do sistema. O detalhe de uma publicação abre num painel lateral, sem perder o lugar na fila. Cada analista tem a sua própria fila: um item revisto por um analista continua na fila dos outros, o que permite medir o acordo entre analistas de forma independente. Duas funções servem directamente a avaliação da Secção 3.9. A revisão cega, activada pelo supervisor, esconde a sugestão do modelo, para que a concordância entre analista e sistema não seja inflacionada pela própria sugestão. A amostra de controlo sorteia, com semente registada, publicações classificadas como Normal, que os analistas revêem sem sugestão; a fracção que considerem ameaça estima o que a fila deixa passar. O ecrã de entrada lembra que as classificações servem apenas para ordenar a revisão, e a fila lembra que a convocatória pacífica é exercício de direitos.</w:t>
      </w:r>
    </w:p>
    <w:p>
      <w:pPr>
        <w:keepNext/>
        <w:spacing w:after="40" w:before="160"/>
        <w:jc w:val="center"/>
      </w:pPr>
      <w:r>
        <w:drawing>
          <wp:inline distT="0" distB="0" distL="0" distR="0">
            <wp:extent cx="5219700" cy="2781300"/>
            <wp:effectExtent t="0" r="0" b="0" l="0"/>
            <wp:docPr id="1" name="fig3_7_painel.png" descr="fig3_7_painel.png" title="fig3_7_pai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219700" cy="27813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3.7 – Fila de revisão na aplicação web</w:t>
      </w:r>
    </w:p>
    <w:p>
      <w:pPr>
        <w:spacing w:after="240" w:before="0" w:line="240"/>
        <w:jc w:val="center"/>
      </w:pPr>
      <w:r>
        <w:rPr>
          <w:rFonts w:ascii="Times New Roman" w:cs="Times New Roman" w:eastAsia="Times New Roman" w:hAnsi="Times New Roman"/>
          <w:i/>
          <w:iCs/>
          <w:sz w:val="18"/>
          <w:szCs w:val="18"/>
        </w:rPr>
        <w:t xml:space="preserve">Nota: modo de demonstração, com dados fictícios e classificador por palavras-chave.</w:t>
      </w:r>
    </w:p>
    <w:p>
      <w:pPr>
        <w:spacing w:after="120" w:before="0" w:line="360"/>
        <w:ind w:firstLine="567"/>
        <w:jc w:val="both"/>
      </w:pPr>
      <w:r>
        <w:rPr>
          <w:rFonts w:ascii="Times New Roman" w:cs="Times New Roman" w:eastAsia="Times New Roman" w:hAnsi="Times New Roman"/>
          <w:sz w:val="24"/>
          <w:szCs w:val="24"/>
        </w:rPr>
        <w:t xml:space="preserve">Os alertas chegam ao analista sem que tenha de recarregar a página. O navegador consulta o servidor a cada 20 segundos, apenas enquanto a página está visível; quando surge um alerta novo, o contador do menu e o sino no topo da página são actualizados e aparece uma notificação com ligação para a publicação. O sino mostra os cinco alertas mais recentes, sem o texto das publicações. Uma paleta de comandos, aberta com Ctrl+K, permite chegar a qualquer página ou acção escrevendo parte do nome, por exemplo «rel 7» para o relatório dos últimos sete dias.</w:t>
      </w:r>
    </w:p>
    <w:p>
      <w:pPr>
        <w:spacing w:after="120" w:before="0" w:line="360"/>
        <w:ind w:firstLine="567"/>
        <w:jc w:val="both"/>
      </w:pPr>
      <w:r>
        <w:rPr>
          <w:rFonts w:ascii="Times New Roman" w:cs="Times New Roman" w:eastAsia="Times New Roman" w:hAnsi="Times New Roman"/>
          <w:sz w:val="24"/>
          <w:szCs w:val="24"/>
        </w:rPr>
        <w:t xml:space="preserve">O mapa (Figura 3.8) é interactivo. Ao passar o cursor sobre uma província, um cartão mostra o número de publicações que a mencionam, as ameaças, a taxa, o valor do período anterior e a variação; um clique destaca a linha correspondente na tabela por província e um clique na tabela destaca a província no mapa. O botão de reprodução percorre o período semana a semana (dia a dia em períodos até 14 dias), colorindo cada província pelo número de ameaças nessa semana, o que mostra onde e quando a concentração cresceu. Cada linha da tabela e os indicadores nacionais têm uma pequena linha de tendência, desenhada no servidor em SVG. As tabelas do mapa e do relatório ordenam-se pelo cabeçalho, que fica fixo ao percorrer listas longas. O mapa pode ser descarregado em SVG ou em PNG, já com título, período, legenda e fonte dos limites, para ser usado em relatórios.</w:t>
      </w:r>
    </w:p>
    <w:p>
      <w:pPr>
        <w:keepNext/>
        <w:spacing w:after="40" w:before="160"/>
        <w:jc w:val="center"/>
      </w:pPr>
      <w:r>
        <w:drawing>
          <wp:inline distT="0" distB="0" distL="0" distR="0">
            <wp:extent cx="4143375" cy="3257550"/>
            <wp:effectExtent t="0" r="0" b="0" l="0"/>
            <wp:docPr id="1" name="fig3_8_mapa.png" descr="fig3_8_mapa.png" title="fig3_8_ma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43375" cy="32575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3.8 – Mapa por província na aplicação web</w:t>
      </w:r>
    </w:p>
    <w:p>
      <w:pPr>
        <w:spacing w:after="240" w:before="0" w:line="240"/>
        <w:jc w:val="center"/>
      </w:pPr>
      <w:r>
        <w:rPr>
          <w:rFonts w:ascii="Times New Roman" w:cs="Times New Roman" w:eastAsia="Times New Roman" w:hAnsi="Times New Roman"/>
          <w:i/>
          <w:iCs/>
          <w:sz w:val="18"/>
          <w:szCs w:val="18"/>
        </w:rPr>
        <w:t xml:space="preserve">Nota: modo de demonstração, com dados fictícios; cartão de Benguela ao passar o cursor.</w:t>
      </w:r>
    </w:p>
    <w:p>
      <w:pPr>
        <w:spacing w:after="120" w:before="0" w:line="360"/>
        <w:ind w:firstLine="567"/>
        <w:jc w:val="both"/>
      </w:pPr>
      <w:r>
        <w:rPr>
          <w:rFonts w:ascii="Times New Roman" w:cs="Times New Roman" w:eastAsia="Times New Roman" w:hAnsi="Times New Roman"/>
          <w:sz w:val="24"/>
          <w:szCs w:val="24"/>
        </w:rPr>
        <w:t xml:space="preserve">A página Sobre o modelo (Figura 3.9) é a ficha do modelo em uso, no espírito das fichas de modelo propostas por Mitchell et al. (2019). Mostra a identificação, a data de treino e a configuração, o desempenho no teste por categoria ao lado do desempenho em conteúdo angolano (Secção 4.6) e as limitações conhecidas, escritas em linguagem corrente: a queda de cerca de 39 pontos percentuais em conteúdo angolano, a falha quase sistemática na Desinformação em comentários e a baixa precisão na Mobilização Hostil. Abaixo, a mesma página calcula o acordo observado entre analistas e modelo nessa instalação. A ficha é lida de um ficheiro que acompanha o modelo, de modo que um modelo novo traz a sua própria ficha. O objectivo é que o analista leia cada sugestão com a confiança que ela merece, e não com a que um número global de 0,81 sugeriria.</w:t>
      </w:r>
    </w:p>
    <w:p>
      <w:pPr>
        <w:keepNext/>
        <w:spacing w:after="40" w:before="160"/>
        <w:jc w:val="center"/>
      </w:pPr>
      <w:r>
        <w:drawing>
          <wp:inline distT="0" distB="0" distL="0" distR="0">
            <wp:extent cx="5219700" cy="5457825"/>
            <wp:effectExtent t="0" r="0" b="0" l="0"/>
            <wp:docPr id="1" name="fig3_9_modelo.png" descr="fig3_9_modelo.png" title="fig3_9_mod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219700" cy="54578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3.9 – Ficha do modelo na aplicação web</w:t>
      </w:r>
    </w:p>
    <w:p>
      <w:pPr>
        <w:spacing w:after="240" w:before="0" w:line="240"/>
        <w:jc w:val="center"/>
      </w:pPr>
      <w:r>
        <w:rPr>
          <w:rFonts w:ascii="Times New Roman" w:cs="Times New Roman" w:eastAsia="Times New Roman" w:hAnsi="Times New Roman"/>
          <w:i/>
          <w:iCs/>
          <w:sz w:val="18"/>
          <w:szCs w:val="18"/>
        </w:rPr>
        <w:t xml:space="preserve">Nota: os valores são os do Capítulo 4; o aviso no topo indica que o servidor da captura usava o classificador de demonstração.</w:t>
      </w:r>
    </w:p>
    <w:p>
      <w:pPr>
        <w:spacing w:after="120" w:before="0" w:line="360"/>
        <w:ind w:firstLine="567"/>
        <w:jc w:val="both"/>
      </w:pPr>
      <w:r>
        <w:rPr>
          <w:rFonts w:ascii="Times New Roman" w:cs="Times New Roman" w:eastAsia="Times New Roman" w:hAnsi="Times New Roman"/>
          <w:sz w:val="24"/>
          <w:szCs w:val="24"/>
        </w:rPr>
        <w:t xml:space="preserve">Duas funções servem a formação e a apresentação do sistema. Na primeira entrada de cada utilizador, uma visita guiada de quatro passos apresenta a fila, os alertas, o mapa e a ficha do modelo, e pode ser repetida a partir do menu. O modo de demonstração arranca o sistema com uma base de dados separada, preenchida com cerca de 1 500 publicações fictícias geradas a partir de modelos de frase, decisões de analistas e alertas, e com o classificador de palavras-chave; todas as páginas mostram a faixa «Demonstração» e nenhum e-mail é enviado, mesmo com o servidor de e-mail configurado. Permite mostrar o sistema em aulas, reuniões ou na defesa sem expor dados reais e sem risco de os alterar.</w:t>
      </w:r>
    </w:p>
    <w:p>
      <w:pPr>
        <w:spacing w:after="120" w:before="0" w:line="360"/>
        <w:ind w:firstLine="567"/>
        <w:jc w:val="both"/>
      </w:pPr>
      <w:r>
        <w:rPr>
          <w:rFonts w:ascii="Times New Roman" w:cs="Times New Roman" w:eastAsia="Times New Roman" w:hAnsi="Times New Roman"/>
          <w:sz w:val="24"/>
          <w:szCs w:val="24"/>
        </w:rPr>
        <w:t xml:space="preserve">As principais funções estão também disponíveis numa interface de programação JSON, protegida por chave, para integração com outros componentes, e numa linha de comandos, para tarefas agendadas como a recolha periódica das fontes, a importação, a verificação de tendências, o relatório periódico, a limpeza e as cópias de segurança. O manual de instalação e utilização consta do Apêndice F.</w:t>
      </w:r>
    </w:p>
    <w:p>
      <w:pPr>
        <w:pStyle w:val="Heading2"/>
        <w:keepNext/>
        <w:keepLines/>
        <w:spacing w:after="160" w:before="360" w:line="300"/>
      </w:pPr>
      <w:r>
        <w:rPr>
          <w:rFonts w:ascii="Times New Roman" w:cs="Times New Roman" w:eastAsia="Times New Roman" w:hAnsi="Times New Roman"/>
          <w:b/>
          <w:bCs/>
          <w:sz w:val="26"/>
          <w:szCs w:val="26"/>
        </w:rPr>
        <w:t xml:space="preserve">3.9 Plano de testes e avaliação operacional</w:t>
      </w:r>
    </w:p>
    <w:p>
      <w:pPr>
        <w:spacing w:after="120" w:before="0" w:line="360"/>
        <w:ind w:firstLine="567"/>
        <w:jc w:val="both"/>
      </w:pPr>
      <w:r>
        <w:rPr>
          <w:rFonts w:ascii="Times New Roman" w:cs="Times New Roman" w:eastAsia="Times New Roman" w:hAnsi="Times New Roman"/>
          <w:sz w:val="24"/>
          <w:szCs w:val="24"/>
        </w:rPr>
        <w:t xml:space="preserve">O sistema tem 74 testes automáticos. Cobrem a anonimização (máscaras e pseudónimos), a importação (deduplicação e rejeição de vias não previstas), a recolha (com um sítio de notícias simulado localmente, verifica-se que o robots.txt é respeitado, que as páginas com início de sessão e as de outros sítios ficam de fora, que os feeds RSS são lidos e que os comentários do YouTube, obtidos de um cliente simulado, chegam anonimizados à base de dados), os alertas (o número mínimo de confirmações, a ausência de alertas repetidos, o alerta de tendência e a sua normalização pelo volume recolhido, o conteúdo dos e-mails, sem texto nem autor, e o registo de falhas de envio sem perda da decisão), a detecção de províncias e os seus casos ambíguos, o mapa e o relatório, o fluxo completo de importação, classificação, revisão, métricas e exportação, a gravação por sublotes, o prazo de conservação e as cópias de segurança, o carregamento de um modelo BERT guardado em disco e a interface de programação. Do lado da aplicação web, testam o controlo de acesso por papel, o bloqueio após tentativas falhadas, a protecção CSRF, o escape de texto malicioso, a revisão independente por dois analistas, a revisão cega, a amostra de controlo reprodutível, a migração automática do esquema da base de dados, a decisão sem recarregar e o seu desfazer (que anula o alerta gerado), o realce de lugares e máscaras com escape do texto, a série semanal do mapa e a sua exportação em SVG, a ficha do modelo, os alertas mostrados em tempo real e no sino sem o texto das publicações, a visita guiada e o modo de demonstração, que não toca na base de dados real nem envia e-mails. Os testes são executados com o comando </w:t>
      </w:r>
      <w:r>
        <w:rPr>
          <w:rFonts w:ascii="Courier New" w:cs="Courier New" w:eastAsia="Courier New" w:hAnsi="Courier New"/>
          <w:sz w:val="21"/>
          <w:szCs w:val="21"/>
        </w:rPr>
        <w:t xml:space="preserve">python -m pytest -q</w:t>
      </w:r>
      <w:r>
        <w:rPr>
          <w:rFonts w:ascii="Times New Roman" w:cs="Times New Roman" w:eastAsia="Times New Roman" w:hAnsi="Times New Roman"/>
          <w:sz w:val="24"/>
          <w:szCs w:val="24"/>
        </w:rPr>
        <w:t xml:space="preserve">.</w:t>
      </w:r>
    </w:p>
    <w:p>
      <w:pPr>
        <w:spacing w:after="120" w:before="0" w:line="360"/>
        <w:ind w:firstLine="567"/>
        <w:jc w:val="both"/>
      </w:pPr>
      <w:r>
        <w:rPr>
          <w:rFonts w:ascii="Times New Roman" w:cs="Times New Roman" w:eastAsia="Times New Roman" w:hAnsi="Times New Roman"/>
          <w:sz w:val="24"/>
          <w:szCs w:val="24"/>
        </w:rPr>
        <w:t xml:space="preserve">A avaliação operacional, que corresponde às hipóteses H2 e H3, segue o protocolo seguinte: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Latência (H2).</w:t>
      </w:r>
      <w:r>
        <w:rPr>
          <w:rFonts w:ascii="Times New Roman" w:cs="Times New Roman" w:eastAsia="Times New Roman" w:hAnsi="Times New Roman"/>
          <w:sz w:val="24"/>
          <w:szCs w:val="24"/>
        </w:rPr>
        <w:t xml:space="preserve"> O comando </w:t>
      </w:r>
      <w:r>
        <w:rPr>
          <w:rFonts w:ascii="Courier New" w:cs="Courier New" w:eastAsia="Courier New" w:hAnsi="Courier New"/>
          <w:sz w:val="21"/>
          <w:szCs w:val="21"/>
        </w:rPr>
        <w:t xml:space="preserve">medir-latencia</w:t>
      </w:r>
      <w:r>
        <w:rPr>
          <w:rFonts w:ascii="Times New Roman" w:cs="Times New Roman" w:eastAsia="Times New Roman" w:hAnsi="Times New Roman"/>
          <w:sz w:val="24"/>
          <w:szCs w:val="24"/>
        </w:rPr>
        <w:t xml:space="preserve"> importa, anonimiza e classifica um lote numa base de dados temporária e reporta a mediana do tempo total e por publicação. O sistema regista ainda, para cada publicação, o intervalo entre a importação e a classificação (mediana e percentil 95). Estas medidas cobrem o processamento interno; o intervalo entre a publicação original e a recolha depende da frequência de recolha e deve ser reportado à parte.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Utilidade da fila.</w:t>
      </w:r>
      <w:r>
        <w:rPr>
          <w:rFonts w:ascii="Times New Roman" w:cs="Times New Roman" w:eastAsia="Times New Roman" w:hAnsi="Times New Roman"/>
          <w:sz w:val="24"/>
          <w:szCs w:val="24"/>
        </w:rPr>
        <w:t xml:space="preserve"> Num lote novo, nunca usado no treino, e com a revisão cega activa, pelo menos dois analistas revêem a fila por ordem, de forma independente. Calcula-se a precisão nos primeiros K itens (K = 10, 25, 50, 100), a concordância e o κ entre cada analista e o sistema, e o κ entre analistas. Para estimar a sensibilidade, os analistas revêem também a amostra de controlo de itens classificados como Normal; a fracção considerada ameaça é reportada com IC 95% de Wilson.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Antecedência (H3).</w:t>
      </w:r>
      <w:r>
        <w:rPr>
          <w:rFonts w:ascii="Times New Roman" w:cs="Times New Roman" w:eastAsia="Times New Roman" w:hAnsi="Times New Roman"/>
          <w:sz w:val="24"/>
          <w:szCs w:val="24"/>
        </w:rPr>
        <w:t xml:space="preserve"> Exige um corpus com datas de publicação em torno de eventos documentados, dividido cronologicamente (treino anterior ao período de teste), e uma lista de eventos de referência independente do corpus. Sem estes elementos, qualquer medida de antecedência seria circular.</w:t>
      </w:r>
    </w:p>
    <w:p>
      <w:pPr>
        <w:pStyle w:val="Heading2"/>
        <w:keepNext/>
        <w:keepLines/>
        <w:spacing w:after="160" w:before="360" w:line="300"/>
      </w:pPr>
      <w:r>
        <w:rPr>
          <w:rFonts w:ascii="Times New Roman" w:cs="Times New Roman" w:eastAsia="Times New Roman" w:hAnsi="Times New Roman"/>
          <w:b/>
          <w:bCs/>
          <w:sz w:val="26"/>
          <w:szCs w:val="26"/>
        </w:rPr>
        <w:t xml:space="preserve">3.10 Plano de implementação faseada</w:t>
      </w:r>
    </w:p>
    <w:p>
      <w:pPr>
        <w:spacing w:after="120" w:before="0" w:line="360"/>
        <w:ind w:firstLine="567"/>
        <w:jc w:val="both"/>
      </w:pPr>
      <w:r>
        <w:rPr>
          <w:rFonts w:ascii="Times New Roman" w:cs="Times New Roman" w:eastAsia="Times New Roman" w:hAnsi="Times New Roman"/>
          <w:sz w:val="24"/>
          <w:szCs w:val="24"/>
        </w:rPr>
        <w:t xml:space="preserve">A passagem do protótipo a uma ferramenta institucional deve ser gradual e condicionada a resultados. A Tabela 3.5 propõe três fases.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3.5 – Plano de implementação faseada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8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Fase</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Actividades</w:t>
            </w:r>
          </w:p>
        </w:tc>
        <w:tc>
          <w:tcPr>
            <w:tcW w:type="dxa" w:w="2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Condição para avançar</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Piloto académico</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Novo treino do BERTimbau; medição da latência; avaliação da fila com analistas num lote novo; parecer jurídico</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 nos primeiros 50 itens e κ analista–sistema aceites pela instituição; parecer favorável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 Piloto institucional</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em servidor próprio; formação de analistas; recolha agendada; ampliação do corpus angolano com revisões</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 independente; desempenho em conteúdo angolano medido e reportado por categoria</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 Consolidação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adaptado ao domínio angolano; extensão a outras plataformas por vias oficiais; procedimentos de supervisão</w:t>
            </w:r>
          </w:p>
        </w:tc>
        <w:tc>
          <w:tcPr>
            <w:tcW w:type="dxa" w:w="2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Quadro normativo para uso de IA em segurança; revisão periódica do impacto</w:t>
            </w:r>
          </w:p>
        </w:tc>
      </w:tr>
    </w:tbl>
    <w:p>
      <w:pPr>
        <w:spacing w:after="240" w:before="60" w:line="240"/>
        <w:jc w:val="both"/>
      </w:pPr>
    </w:p>
    <w:p>
      <w:pPr>
        <w:sectPr>
          <w:headerReference w:type="default" r:id="rId17"/>
          <w:footerReference w:type="default" r:id="rId18"/>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4 – RESULTADOS E DISCUSSÃO</w:t>
      </w:r>
    </w:p>
    <w:p>
      <w:pPr>
        <w:spacing w:after="120" w:before="0" w:line="360"/>
        <w:ind w:firstLine="567"/>
        <w:jc w:val="both"/>
      </w:pPr>
      <w:r>
        <w:rPr>
          <w:rFonts w:ascii="Times New Roman" w:cs="Times New Roman" w:eastAsia="Times New Roman" w:hAnsi="Times New Roman"/>
          <w:sz w:val="24"/>
          <w:szCs w:val="24"/>
        </w:rPr>
        <w:t xml:space="preserve">Este capítulo apresenta os resultados experimentais obtidos com o corpus híbrido harmonizado e verifica formalmente as hipóteses formuladas na Secção 1.3. Todos os valores foram recalculados a partir das previsões guardadas de cada modelo no conjunto de teste e reproduzem os ficheiros de métricas gerados pelo pipeline. A Secção 4.1 descreve o protocolo de avaliação. As Secções 4.2 a 4.5 tratam do desempenho global, da significância estatística, do desempenho por categoria e da estabilidade dos resultados. A Secção 4.6 testa a lacuna de domínio entre o piloto angolano e o corpus público (H4), a Secção 4.7 trata da avaliação operacional (H2 e H3) e a Secção 4.8 reúne a verificação das hipóteses.</w:t>
      </w:r>
    </w:p>
    <w:p>
      <w:pPr>
        <w:spacing w:after="120" w:before="0" w:line="360"/>
        <w:ind w:firstLine="567"/>
        <w:jc w:val="both"/>
      </w:pPr>
      <w:r>
        <w:rPr>
          <w:rFonts w:ascii="Times New Roman" w:cs="Times New Roman" w:eastAsia="Times New Roman" w:hAnsi="Times New Roman"/>
          <w:sz w:val="24"/>
          <w:szCs w:val="24"/>
        </w:rPr>
        <w:t xml:space="preserve">As categorias são designadas, em tabelas e figuras, pelos rótulos usados no pipeline: Normal, Desinformacao, Odio (Discurso de Ódio) e Mobilizacao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4.1 Corpus de avaliação e protocolo experimental</w:t>
      </w:r>
    </w:p>
    <w:p>
      <w:pPr>
        <w:spacing w:after="120" w:before="0" w:line="360"/>
        <w:ind w:firstLine="567"/>
        <w:jc w:val="both"/>
      </w:pPr>
      <w:r>
        <w:rPr>
          <w:rFonts w:ascii="Times New Roman" w:cs="Times New Roman" w:eastAsia="Times New Roman" w:hAnsi="Times New Roman"/>
          <w:sz w:val="24"/>
          <w:szCs w:val="24"/>
        </w:rPr>
        <w:t xml:space="preserve">O corpus de treino e avaliação resulta da harmonização de três corpora públicos em português (ToLD-BR, Fake.br e HateBR) com o piloto angolano anotado nesta investigação. Após a remoção de 238 duplicados, o corpus contém 26.859 registos, distribuídos conforme a Tabela 4.1.</w:t>
      </w:r>
    </w:p>
    <w:p>
      <w:pPr>
        <w:pStyle w:val="LegendaTabela"/>
        <w:keepNext/>
        <w:spacing w:after="80" w:before="240" w:line="240"/>
        <w:jc w:val="center"/>
      </w:pPr>
      <w:r>
        <w:rPr>
          <w:rFonts w:ascii="Times New Roman" w:cs="Times New Roman" w:eastAsia="Times New Roman" w:hAnsi="Times New Roman"/>
          <w:b/>
          <w:bCs/>
          <w:sz w:val="20"/>
          <w:szCs w:val="20"/>
        </w:rPr>
        <w:t xml:space="preserve">Tabela 4.1 – Composição do corpus harmonizado por fonte e categoria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1100"/>
        <w:gridCol w:w="1300"/>
        <w:gridCol w:w="12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Fonte</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Normal</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Desinformacao</w:t>
            </w:r>
          </w:p>
        </w:tc>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Odio</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Mobilizacao</w:t>
            </w:r>
          </w:p>
        </w:tc>
        <w:tc>
          <w:tcPr>
            <w:tcW w:type="dxa" w:w="1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Total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ToLD-BR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11.682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1.027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12.709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Fake.br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3.599</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7.199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HateBR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2.195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4.378</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1.613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318</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2.573</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19.090</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3.917</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3.493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359</w:t>
            </w:r>
          </w:p>
        </w:tc>
        <w:tc>
          <w:tcPr>
            <w:tcW w:type="dxa" w:w="1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26.859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após deduplicação (27.097 → 26.859). A categoria Mobilizacao existe apenas no piloto angolano. O piloto inclui 2.288 comentários públicos obtidos por amostragem aleatória e 285 itens de lotes enriquecidos (194 por selecção temática de vídeos e 91 por léxico), usados exclusivamente no treino.</w:t>
      </w:r>
    </w:p>
    <w:p>
      <w:pPr>
        <w:spacing w:after="120" w:before="0" w:line="360"/>
        <w:ind w:firstLine="567"/>
        <w:jc w:val="both"/>
      </w:pPr>
      <w:r>
        <w:rPr>
          <w:rFonts w:ascii="Times New Roman" w:cs="Times New Roman" w:eastAsia="Times New Roman" w:hAnsi="Times New Roman"/>
          <w:sz w:val="24"/>
          <w:szCs w:val="24"/>
        </w:rPr>
        <w:t xml:space="preserve">Três decisões de protocolo condicionam a leitura dos resultados. Primeiro, os lotes enriquecidos do piloto entraram apenas no treino: a sua selecção não foi aleatória e a sua inclusão nos conjuntos de avaliação inflacionaria as métricas. Segundo, a escolha de configurações e variantes foi feita no conjunto de validação, nunca no de teste. Terceiro, os resultados são reportados tal como saíram de cada execução, sem selecção de sementes ou de variantes pelo desempenho no teste.</w:t>
      </w:r>
    </w:p>
    <w:p>
      <w:pPr>
        <w:spacing w:after="120" w:before="0" w:line="360"/>
        <w:ind w:firstLine="567"/>
        <w:jc w:val="both"/>
      </w:pPr>
      <w:r>
        <w:rPr>
          <w:rFonts w:ascii="Times New Roman" w:cs="Times New Roman" w:eastAsia="Times New Roman" w:hAnsi="Times New Roman"/>
          <w:sz w:val="24"/>
          <w:szCs w:val="24"/>
        </w:rPr>
        <w:t xml:space="preserve">O conjunto de validação contém 3.986 itens e o de teste 3.987 itens (Normal 2.843; Desinformacao 580; Odio 517; Mobilizacao 47). Dos itens de teste, 355 (8,9%) provêm do piloto angolano e 3.632 (91,1%) dos corpora públicos brasileiros. Esta composição significa que as métricas globais descrevem sobretudo o desempenho em conteúdo brasileiro; o desempenho em conteúdo angolano é analisado separadamente na Secção 4.6.</w:t>
      </w:r>
    </w:p>
    <w:p>
      <w:pPr>
        <w:spacing w:after="120" w:before="0" w:line="360"/>
        <w:ind w:firstLine="567"/>
        <w:jc w:val="both"/>
      </w:pPr>
      <w:r>
        <w:rPr>
          <w:rFonts w:ascii="Times New Roman" w:cs="Times New Roman" w:eastAsia="Times New Roman" w:hAnsi="Times New Roman"/>
          <w:sz w:val="24"/>
          <w:szCs w:val="24"/>
        </w:rPr>
        <w:t xml:space="preserve">A métrica principal é o F1-macro, que atribui o mesmo peso às quatro categorias e, por isso, não é dominada pela classe Normal. Reportam-se também o F1 ponderado, a exactidão, o Kappa de Cohen entre as previsões e a referência, e a AUC-ROC média das quatro curvas um-contra-todos. Os intervalos de confiança a 95% (IC 95%) foram obtidos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com 2.000 reamostragens do conjunto de teste. As comparações entre modelos usam o teste de McNemar com correcção de continuidade sobre os acertos e erros emparelhados, com correcção de Bonferroni para as seis comparações entre os quatro modelos (α corrigido = 0,0083); a diferença de F1-macro entre pares é acompanhada do respectivo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Heading2"/>
        <w:keepNext/>
        <w:keepLines/>
        <w:spacing w:after="160" w:before="360" w:line="300"/>
      </w:pPr>
      <w:r>
        <w:rPr>
          <w:rFonts w:ascii="Times New Roman" w:cs="Times New Roman" w:eastAsia="Times New Roman" w:hAnsi="Times New Roman"/>
          <w:b/>
          <w:bCs/>
          <w:sz w:val="26"/>
          <w:szCs w:val="26"/>
        </w:rPr>
        <w:t xml:space="preserve">4.2 Desempenho global dos modelos</w:t>
      </w:r>
    </w:p>
    <w:p>
      <w:pPr>
        <w:spacing w:after="120" w:before="0" w:line="360"/>
        <w:ind w:firstLine="567"/>
        <w:jc w:val="both"/>
      </w:pPr>
      <w:r>
        <w:rPr>
          <w:rFonts w:ascii="Times New Roman" w:cs="Times New Roman" w:eastAsia="Times New Roman" w:hAnsi="Times New Roman"/>
          <w:sz w:val="24"/>
          <w:szCs w:val="24"/>
        </w:rPr>
        <w:t xml:space="preserve">A Tabela 4.2 apresenta o desempenho dos quatro modelos no conjunto de teste, sem ajuste de limiares de decisão.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4.2 – Desempenho dos modelos no conjunto de teste</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050"/>
        <w:gridCol w:w="1000"/>
        <w:gridCol w:w="900"/>
        <w:gridCol w:w="1770"/>
      </w:tblGrid>
      <w:tr>
        <w:trPr>
          <w:cantSplit/>
          <w:tblHeader/>
        </w:trPr>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10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ponderado</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Exactidão</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Kappa (κ)</w:t>
            </w:r>
          </w:p>
        </w:tc>
        <w:tc>
          <w:tcPr>
            <w:tcW w:type="dxa" w:w="177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AUC-ROC [IC 95%]</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[0,621; 0,694]</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0,834</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0,624</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0,906 [0,891; 0,919]</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 [0,606; 0,657]</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0,566</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0,909 [0,900; 0,917]</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[0,628; 0,689]</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0,819</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0,621</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0,915 [0,901; 0,926]</w:t>
            </w:r>
          </w:p>
        </w:tc>
      </w:tr>
      <w:tr>
        <w:trPr>
          <w:cantSplit/>
          <w:tblHeader w:val="false"/>
        </w:trPr>
        <w:tc>
          <w:tcPr>
            <w:tcW w:type="dxa" w:w="16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BERTimbau</w:t>
            </w:r>
          </w:p>
        </w:tc>
        <w:tc>
          <w:tcPr>
            <w:tcW w:type="dxa" w:w="1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05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10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0,832</w:t>
            </w:r>
          </w:p>
        </w:tc>
        <w:tc>
          <w:tcPr>
            <w:tcW w:type="dxa" w:w="177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0,979 [0,973; 0,983]</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AUC-ROC: média das quatro AUC um-contra-todos.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(2.000 reamostragens para o F1; 1.000 para a AUC). BERTimbau com ajuste fino, semente 42 (configuração de referência).</w:t>
      </w:r>
    </w:p>
    <w:p>
      <w:pPr>
        <w:spacing w:after="120" w:before="0" w:line="360"/>
        <w:ind w:firstLine="567"/>
        <w:jc w:val="both"/>
      </w:pPr>
      <w:r>
        <w:rPr>
          <w:rFonts w:ascii="Times New Roman" w:cs="Times New Roman" w:eastAsia="Times New Roman" w:hAnsi="Times New Roman"/>
          <w:sz w:val="24"/>
          <w:szCs w:val="24"/>
        </w:rPr>
        <w:t xml:space="preserve">O BERTimbau obteve F1-macro de 0,807 (IC 95% [0,774; 0,838]), entre 14,6 e 17,4 pontos percentuais (p.p.) acima dos restantes modelos, cujos F1-macro se situam entre 0,633 e 0,660. O intervalo de confiança do BERTimbau não se sobrepõe ao de nenhum outro modelo. A mesma ordenação verifica-se no Kappa (0,832 contra 0,566–0,624) e na AUC-ROC (0,979 contra 0,906–0,915).</w:t>
      </w:r>
    </w:p>
    <w:p>
      <w:pPr>
        <w:spacing w:after="120" w:before="0" w:line="360"/>
        <w:ind w:firstLine="567"/>
        <w:jc w:val="both"/>
      </w:pPr>
      <w:r>
        <w:rPr>
          <w:rFonts w:ascii="Times New Roman" w:cs="Times New Roman" w:eastAsia="Times New Roman" w:hAnsi="Times New Roman"/>
          <w:sz w:val="24"/>
          <w:szCs w:val="24"/>
        </w:rPr>
        <w:t xml:space="preserve">A distância entre o F1 ponderado (0,924) e o F1-macro (0,807) do BERTimbau resulta do desequilíbrio das classes: o F1 ponderado é dominado pela classe Normal, que representa 71,3% do teste, enquanto o F1-macro dá à Mobilizacao (1,2% do teste) o mesmo peso das outras categorias. Por esta razão, o F1-macro é a métrica usada na verificação das hipóteses. A Figura 4.1 apresenta as curvas ROC de cada modelo por categoria.</w:t>
      </w:r>
    </w:p>
    <w:p>
      <w:pPr>
        <w:keepNext/>
        <w:spacing w:after="40" w:before="160"/>
        <w:jc w:val="center"/>
      </w:pPr>
      <w:r>
        <w:drawing>
          <wp:inline distT="0" distB="0" distL="0" distR="0">
            <wp:extent cx="5400675" cy="5048250"/>
            <wp:effectExtent t="0" r="0" b="0" l="0"/>
            <wp:docPr id="1" name="fig4_1_roc.png" descr="fig4_1_roc.png" title="fig4_1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00675" cy="50482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4.1 – Curvas ROC um-contra-todos por categoria e modelo (conjunto de teste; AUC entre parêntesis)</w:t>
      </w:r>
    </w:p>
    <w:p>
      <w:pPr>
        <w:spacing w:after="120" w:before="0" w:line="360"/>
        <w:ind w:firstLine="567"/>
        <w:jc w:val="both"/>
      </w:pPr>
      <w:r>
        <w:rPr>
          <w:rFonts w:ascii="Times New Roman" w:cs="Times New Roman" w:eastAsia="Times New Roman" w:hAnsi="Times New Roman"/>
          <w:sz w:val="24"/>
          <w:szCs w:val="24"/>
        </w:rPr>
        <w:t xml:space="preserve">As curvas mostram que a vantagem do BERTimbau se concentra nas categorias Normal e Odio, onde as AUC dos restantes modelos descem para 0,837–0,882. Na Desinformacao, todos os modelos ultrapassam 0,96, um resultado cuja interpretação é revista na Secção 4.6. Na Mobilizacao, as AUC são elevadas (0,924–0,973), mas assentam em apenas 47 exemplos positivos, pelo que as curvas apresentam degraus largos e a estimativa é instável.</w:t>
      </w:r>
    </w:p>
    <w:p>
      <w:pPr>
        <w:pStyle w:val="Heading2"/>
        <w:keepNext/>
        <w:keepLines/>
        <w:spacing w:after="160" w:before="360" w:line="300"/>
      </w:pPr>
      <w:r>
        <w:rPr>
          <w:rFonts w:ascii="Times New Roman" w:cs="Times New Roman" w:eastAsia="Times New Roman" w:hAnsi="Times New Roman"/>
          <w:b/>
          <w:bCs/>
          <w:sz w:val="26"/>
          <w:szCs w:val="26"/>
        </w:rPr>
        <w:t xml:space="preserve">4.3 Significância estatística das diferenças</w:t>
      </w:r>
    </w:p>
    <w:p>
      <w:pPr>
        <w:spacing w:after="120" w:before="0" w:line="360"/>
        <w:ind w:firstLine="567"/>
        <w:jc w:val="both"/>
      </w:pPr>
      <w:r>
        <w:rPr>
          <w:rFonts w:ascii="Times New Roman" w:cs="Times New Roman" w:eastAsia="Times New Roman" w:hAnsi="Times New Roman"/>
          <w:sz w:val="24"/>
          <w:szCs w:val="24"/>
        </w:rPr>
        <w:t xml:space="preserve">A Tabela 4.3 apresenta as seis comparações emparelhadas entre os quatro modelos. As colunas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indicam, respectivamente, o número de itens que apenas o primeiro modelo do par classificou correctamente e o número de itens que apenas o segundo classificou correctamente.</w:t>
      </w:r>
    </w:p>
    <w:p>
      <w:pPr>
        <w:pStyle w:val="LegendaTabela"/>
        <w:keepNext/>
        <w:spacing w:after="80" w:before="240" w:line="240"/>
        <w:jc w:val="center"/>
      </w:pPr>
      <w:r>
        <w:rPr>
          <w:rFonts w:ascii="Times New Roman" w:cs="Times New Roman" w:eastAsia="Times New Roman" w:hAnsi="Times New Roman"/>
          <w:b/>
          <w:bCs/>
          <w:sz w:val="20"/>
          <w:szCs w:val="20"/>
        </w:rPr>
        <w:t xml:space="preserve">Tabela 4.3 – Comparações emparelhadas: diferença de F1-macro e teste de McNemar</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000"/>
        <w:gridCol w:w="800"/>
        <w:gridCol w:w="1200"/>
        <w:gridCol w:w="8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Par</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ΔF1-macro, p.p. [IC 95%]</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 / c</w:t>
            </w:r>
          </w:p>
        </w:tc>
        <w:tc>
          <w:tcPr>
            <w:tcW w:type="dxa" w:w="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χ²</w:t>
            </w:r>
          </w:p>
        </w:tc>
        <w:tc>
          <w:tcPr>
            <w:tcW w:type="dxa" w:w="1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(Bonferroni)</w:t>
            </w:r>
          </w:p>
        </w:tc>
        <w:tc>
          <w:tcPr>
            <w:tcW w:type="dxa" w:w="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Signif.</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14,6 [10,9; 18,4]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529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273,43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10</w:t>
            </w:r>
            <w:r>
              <w:rPr>
                <w:rFonts w:ascii="Times New Roman" w:cs="Times New Roman" w:eastAsia="Times New Roman" w:hAnsi="Times New Roman"/>
                <w:b w:val="false"/>
                <w:bCs w:val="false"/>
                <w:sz w:val="19"/>
                <w:szCs w:val="19"/>
                <w:vertAlign w:val="superscript"/>
              </w:rPr>
              <w:t xml:space="preserve">-60</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14,8 [10,8; 18,8]</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473 / 115</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216,75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 10</w:t>
            </w:r>
            <w:r>
              <w:rPr>
                <w:rFonts w:ascii="Times New Roman" w:cs="Times New Roman" w:eastAsia="Times New Roman" w:hAnsi="Times New Roman"/>
                <w:b w:val="false"/>
                <w:bCs w:val="false"/>
                <w:sz w:val="19"/>
                <w:szCs w:val="19"/>
                <w:vertAlign w:val="superscript"/>
              </w:rPr>
              <w:t xml:space="preserve">-48</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17,4 [14,4; 20,4]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714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441,27</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 × 10</w:t>
            </w:r>
            <w:r>
              <w:rPr>
                <w:rFonts w:ascii="Times New Roman" w:cs="Times New Roman" w:eastAsia="Times New Roman" w:hAnsi="Times New Roman"/>
                <w:b w:val="false"/>
                <w:bCs w:val="false"/>
                <w:sz w:val="19"/>
                <w:szCs w:val="19"/>
                <w:vertAlign w:val="superscript"/>
              </w:rPr>
              <w:t xml:space="preserve">-97</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 [-4,0; 4,2]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348 / 409</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0,175</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[-0,3; 5,7]</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519 / 334</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39,69</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1,8 × 10</w:t>
            </w:r>
            <w:r>
              <w:rPr>
                <w:rFonts w:ascii="Times New Roman" w:cs="Times New Roman" w:eastAsia="Times New Roman" w:hAnsi="Times New Roman"/>
                <w:b w:val="false"/>
                <w:bCs w:val="false"/>
                <w:sz w:val="19"/>
                <w:szCs w:val="19"/>
                <w:vertAlign w:val="superscript"/>
              </w:rPr>
              <w:t xml:space="preserve">-9</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 vs. SVM</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2,6 [-0,9; 6,0]</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524 / 278</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74,84</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 × 10</w:t>
            </w:r>
            <w:r>
              <w:rPr>
                <w:rFonts w:ascii="Times New Roman" w:cs="Times New Roman" w:eastAsia="Times New Roman" w:hAnsi="Times New Roman"/>
                <w:b w:val="false"/>
                <w:bCs w:val="false"/>
                <w:sz w:val="19"/>
                <w:szCs w:val="19"/>
                <w:vertAlign w:val="superscript"/>
              </w:rPr>
              <w:t xml:space="preserve">-17</w:t>
            </w:r>
          </w:p>
        </w:tc>
        <w:tc>
          <w:tcPr>
            <w:tcW w:type="dxa" w:w="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ΔF1 = F1-macro do primeiro modelo menos F1-macro do segundo. p (Bonferroni) = p do teste de McNemar multiplicado por 6 (limitado a 1). O teste de McNemar compara as proporções de acertos e erros; não testa directamente o F1-macro, razão pela qual se apresenta também o IC da diferença de F1.</w:t>
      </w:r>
    </w:p>
    <w:p>
      <w:pPr>
        <w:spacing w:after="120" w:before="0" w:line="360"/>
        <w:ind w:firstLine="567"/>
        <w:jc w:val="both"/>
      </w:pPr>
      <w:r>
        <w:rPr>
          <w:rFonts w:ascii="Times New Roman" w:cs="Times New Roman" w:eastAsia="Times New Roman" w:hAnsi="Times New Roman"/>
          <w:sz w:val="24"/>
          <w:szCs w:val="24"/>
        </w:rPr>
        <w:t xml:space="preserve">O BERTimbau supera os três modelos de referência com diferenças de F1-macro entre 14,6 e 17,4 p.p., cujos intervalos de confiança excluem largamente o zero, e com p corrigido inferior a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em todos os casos. Em cada par, o número de itens que só o BERTimbau acerta (473–714) é 4,1 a 6,5 vezes superior ao número de itens que só o outro modelo acerta (110–115).</w:t>
      </w:r>
    </w:p>
    <w:p>
      <w:pPr>
        <w:spacing w:after="120" w:before="0" w:line="360"/>
        <w:ind w:firstLine="567"/>
        <w:jc w:val="both"/>
      </w:pPr>
      <w:r>
        <w:rPr>
          <w:rFonts w:ascii="Times New Roman" w:cs="Times New Roman" w:eastAsia="Times New Roman" w:hAnsi="Times New Roman"/>
          <w:sz w:val="24"/>
          <w:szCs w:val="24"/>
        </w:rPr>
        <w:t xml:space="preserve">Entre os modelos de referência, o quadro é diferente. O Bi-LSTM e a Floresta Aleatória têm F1-macro praticamente iguais (ΔF1 = 0,2 p.p., IC 95% [-4,0; 4,2]) e a diferença nos acertos não é significativa após correcção (p = 0,175); a Floresta Aleatória acerta, aliás, mais itens isolados do que o Bi-LSTM (409 contra 348). O Bi-LSTM e a Floresta Aleatória acertam significativamente mais itens do que o SVM, mas as diferenças de F1-macro (2,8 e 2,6 p.p.) têm intervalos que incluem o zero. Só o BERTimbau se distingue, portanto, dos restantes. O Bi-LSTM não mostra vantagem consistente sobre os modelos clássicos neste corpus.</w:t>
      </w:r>
    </w:p>
    <w:p>
      <w:pPr>
        <w:pStyle w:val="Heading2"/>
        <w:keepNext/>
        <w:keepLines/>
        <w:spacing w:after="160" w:before="360" w:line="300"/>
      </w:pPr>
      <w:r>
        <w:rPr>
          <w:rFonts w:ascii="Times New Roman" w:cs="Times New Roman" w:eastAsia="Times New Roman" w:hAnsi="Times New Roman"/>
          <w:b/>
          <w:bCs/>
          <w:sz w:val="26"/>
          <w:szCs w:val="26"/>
        </w:rPr>
        <w:t xml:space="preserve">4.4 Desempenho por categoria e análise de erros</w:t>
      </w:r>
    </w:p>
    <w:p>
      <w:pPr>
        <w:spacing w:after="120" w:before="0" w:line="360"/>
        <w:ind w:firstLine="567"/>
        <w:jc w:val="both"/>
      </w:pPr>
      <w:r>
        <w:rPr>
          <w:rFonts w:ascii="Times New Roman" w:cs="Times New Roman" w:eastAsia="Times New Roman" w:hAnsi="Times New Roman"/>
          <w:sz w:val="24"/>
          <w:szCs w:val="24"/>
        </w:rPr>
        <w:t xml:space="preserve">A Tabela 4.4 desagrega o F1 por categoria. Para o BERTimbau, apresentam-se também a precisão, a sensibilidade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 o IC 95% do F1 de cada categoria.</w:t>
      </w:r>
    </w:p>
    <w:p>
      <w:pPr>
        <w:pStyle w:val="LegendaTabela"/>
        <w:keepNext/>
        <w:spacing w:after="80" w:before="240" w:line="240"/>
        <w:jc w:val="center"/>
      </w:pPr>
      <w:r>
        <w:rPr>
          <w:rFonts w:ascii="Times New Roman" w:cs="Times New Roman" w:eastAsia="Times New Roman" w:hAnsi="Times New Roman"/>
          <w:b/>
          <w:bCs/>
          <w:sz w:val="20"/>
          <w:szCs w:val="20"/>
        </w:rPr>
        <w:t xml:space="preserve">Tabela 4.4 – F1 por categoria e modelo; precisão e sensibilidade do BERTimbau</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50"/>
        <w:gridCol w:w="950"/>
        <w:gridCol w:w="700"/>
        <w:gridCol w:w="850"/>
        <w:gridCol w:w="1650"/>
        <w:gridCol w:w="1060"/>
        <w:gridCol w:w="1060"/>
      </w:tblGrid>
      <w:tr>
        <w:trPr>
          <w:cantSplit/>
          <w:tblHeader/>
        </w:trPr>
        <w:tc>
          <w:tcPr>
            <w:tcW w:type="dxa" w:w="1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 Aleatória</w:t>
            </w:r>
          </w:p>
        </w:tc>
        <w:tc>
          <w:tcPr>
            <w:tcW w:type="dxa" w:w="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SVM</w:t>
            </w:r>
          </w:p>
        </w:tc>
        <w:tc>
          <w:tcPr>
            <w:tcW w:type="dxa" w:w="8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Bi-LSTM</w:t>
            </w:r>
          </w:p>
        </w:tc>
        <w:tc>
          <w:tcPr>
            <w:tcW w:type="dxa" w:w="16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BERTimbau F1 [IC 95%]</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Precisão ᵃ</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Sensib. ᵃ</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 (n = 2.843)</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0,889</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0,952</w:t>
            </w:r>
            <w:r>
              <w:rPr>
                <w:rFonts w:ascii="Times New Roman" w:cs="Times New Roman" w:eastAsia="Times New Roman" w:hAnsi="Times New Roman"/>
                <w:b w:val="false"/>
                <w:bCs w:val="false"/>
                <w:sz w:val="19"/>
                <w:szCs w:val="19"/>
              </w:rPr>
              <w:t xml:space="preserve"> [0,95;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0,952</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0,951</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Desinformacao (n = 580)</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0,871</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0,947</w:t>
            </w:r>
            <w:r>
              <w:rPr>
                <w:rFonts w:ascii="Times New Roman" w:cs="Times New Roman" w:eastAsia="Times New Roman" w:hAnsi="Times New Roman"/>
                <w:b w:val="false"/>
                <w:bCs w:val="false"/>
                <w:sz w:val="19"/>
                <w:szCs w:val="19"/>
              </w:rPr>
              <w:t xml:space="preserve"> [0,93;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0,947</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0,948</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Odio (n = 517)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0,455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0,497</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0,585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0,778</w:t>
            </w:r>
            <w:r>
              <w:rPr>
                <w:rFonts w:ascii="Times New Roman" w:cs="Times New Roman" w:eastAsia="Times New Roman" w:hAnsi="Times New Roman"/>
                <w:b w:val="false"/>
                <w:bCs w:val="false"/>
                <w:sz w:val="19"/>
                <w:szCs w:val="19"/>
              </w:rPr>
              <w:t xml:space="preserve"> [0,75; 0,80]</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0,783</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0,774</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Mobilizacao (n = 47)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0,326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0,367</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0,549</w:t>
            </w:r>
            <w:r>
              <w:rPr>
                <w:rFonts w:ascii="Times New Roman" w:cs="Times New Roman" w:eastAsia="Times New Roman" w:hAnsi="Times New Roman"/>
                <w:b w:val="false"/>
                <w:bCs w:val="false"/>
                <w:sz w:val="19"/>
                <w:szCs w:val="19"/>
              </w:rPr>
              <w:t xml:space="preserve"> [0,42; 0,66]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0,509</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0,596</w:t>
            </w:r>
          </w:p>
        </w:tc>
      </w:tr>
      <w:tr>
        <w:trPr>
          <w:cantSplit/>
          <w:tblHeader w:val="false"/>
        </w:trPr>
        <w:tc>
          <w:tcPr>
            <w:tcW w:type="dxa" w:w="1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F1-macro</w:t>
            </w:r>
          </w:p>
        </w:tc>
        <w:tc>
          <w:tcPr>
            <w:tcW w:type="dxa" w:w="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w:t>
            </w:r>
          </w:p>
        </w:tc>
        <w:tc>
          <w:tcPr>
            <w:tcW w:type="dxa" w:w="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w:t>
            </w:r>
          </w:p>
        </w:tc>
        <w:tc>
          <w:tcPr>
            <w:tcW w:type="dxa" w:w="8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0,807</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0,798</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ᵃ Precisão e sensibilidade do BERTimbau; na última linha, médias macro.</w:t>
      </w:r>
    </w:p>
    <w:p>
      <w:pPr>
        <w:spacing w:after="120" w:before="0" w:line="360"/>
        <w:ind w:firstLine="567"/>
        <w:jc w:val="both"/>
      </w:pPr>
      <w:r>
        <w:rPr>
          <w:rFonts w:ascii="Times New Roman" w:cs="Times New Roman" w:eastAsia="Times New Roman" w:hAnsi="Times New Roman"/>
          <w:sz w:val="24"/>
          <w:szCs w:val="24"/>
        </w:rPr>
        <w:t xml:space="preserve">O BERTimbau alcança F1 de 0,952 na Normal e 0,947 na Desinformacao, 0,778 no Odio e 0,549 na Mobilizacao. A vantagem sobre os modelos de referência é maior no Odio (0,778 contra 0,455–0,585), categoria em que a Floresta Aleatória classifica como Normal a maioria dos itens de ódio, e na Mobilizacao (0,549 contra 0,326–0,368). Na Desinformacao, a diferença é menor (0,947 contra 0,815–0,922), porque todos os modelos obtêm valores elevados nesta categoria.</w:t>
      </w:r>
    </w:p>
    <w:p>
      <w:pPr>
        <w:spacing w:after="120" w:before="0" w:line="360"/>
        <w:ind w:firstLine="567"/>
        <w:jc w:val="both"/>
      </w:pPr>
      <w:r>
        <w:rPr>
          <w:rFonts w:ascii="Times New Roman" w:cs="Times New Roman" w:eastAsia="Times New Roman" w:hAnsi="Times New Roman"/>
          <w:sz w:val="24"/>
          <w:szCs w:val="24"/>
        </w:rPr>
        <w:t xml:space="preserve">A Mobilizacao é a categoria de maior relevância operacional e a de estimativa menos precisa. O BERTimbau identificou 28 dos 47 itens de teste (sensibilidade de 0,596) e produziu 27 falsos positivos (precisão de 0,509). O IC 95% do F1 desta categoria, [0,42; 0,66], tem uma amplitude superior a 20 p.p., consequência directa do número reduzido de exemplos. A Figura 4.2 apresenta as matrizes de confusão dos quatro modelos.</w:t>
      </w:r>
    </w:p>
    <w:p>
      <w:pPr>
        <w:keepNext/>
        <w:spacing w:after="40" w:before="160"/>
        <w:jc w:val="center"/>
      </w:pPr>
      <w:r>
        <w:drawing>
          <wp:inline distT="0" distB="0" distL="0" distR="0">
            <wp:extent cx="5400675" cy="5162550"/>
            <wp:effectExtent t="0" r="0" b="0" l="0"/>
            <wp:docPr id="1" name="fig4_2_confusao.png" descr="fig4_2_confusao.png" title="fig4_2_confu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00675" cy="51625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4.2 – Matrizes de confusão (4 × 4) no conjunto de teste (contagens e percentagem por linha)</w:t>
      </w:r>
    </w:p>
    <w:p>
      <w:pPr>
        <w:spacing w:after="120" w:before="0" w:line="360"/>
        <w:ind w:firstLine="567"/>
        <w:jc w:val="both"/>
      </w:pPr>
      <w:r>
        <w:rPr>
          <w:rFonts w:ascii="Times New Roman" w:cs="Times New Roman" w:eastAsia="Times New Roman" w:hAnsi="Times New Roman"/>
          <w:sz w:val="24"/>
          <w:szCs w:val="24"/>
        </w:rPr>
        <w:t xml:space="preserve">Três padrões de erro são comuns aos quatro modelos. O primeiro, e mais frequente, é a confusão entre Normal e Odio: no BERTimbau, 100 itens Normais foram classificados como Odio e 104 itens de Odio como Normais, o que corresponde a 20% dos itens de ódio. Trata-se de uma fronteira conceptualmente difícil, que envolve ódio implícito, ironia e insulto sem alvo identitário. O segundo padrão é a classificação de Mobilizacao como Normal (12 dos 47 itens no BERTimbau; 16 no Bi-LSTM, 24 na Floresta Aleatória e 7 no SVM), que reproduz a fronteira, assumida no Guia de Anotação, entre convocatória legítima e mobilização hostil. O terceiro padrão é a quase ausência de confusões que envolvam a Desinformacao nos corpora públicos, que se analisa na Secção 4.6.</w:t>
      </w:r>
    </w:p>
    <w:p>
      <w:pPr>
        <w:spacing w:after="120" w:before="0" w:line="360"/>
        <w:ind w:firstLine="567"/>
        <w:jc w:val="both"/>
      </w:pPr>
      <w:r>
        <w:rPr>
          <w:rFonts w:ascii="Times New Roman" w:cs="Times New Roman" w:eastAsia="Times New Roman" w:hAnsi="Times New Roman"/>
          <w:sz w:val="24"/>
          <w:szCs w:val="24"/>
        </w:rPr>
        <w:t xml:space="preserve">Do ponto de vista operacional, uma sensibilidade de cerca de 0,60 com precisão de cerca de 0,51 na Mobilizacao significa que o modelo deixa escapar aproximadamente quatro em cada dez itens desta categoria e que cerca de metade dos seus alertas desta categoria são falsos positivos. Estes valores são incompatíveis com qualquer uso automático das classificações e sustentam o desenho do sistema como ferramenta de triagem com revisão humana obrigatória (Secção 4.7).</w:t>
      </w:r>
    </w:p>
    <w:p>
      <w:pPr>
        <w:pStyle w:val="Heading2"/>
        <w:keepNext/>
        <w:keepLines/>
        <w:spacing w:after="160" w:before="360" w:line="300"/>
      </w:pPr>
      <w:r>
        <w:rPr>
          <w:rFonts w:ascii="Times New Roman" w:cs="Times New Roman" w:eastAsia="Times New Roman" w:hAnsi="Times New Roman"/>
          <w:b/>
          <w:bCs/>
          <w:sz w:val="26"/>
          <w:szCs w:val="26"/>
        </w:rPr>
        <w:t xml:space="preserve">4.5 Análises de robustez</w:t>
      </w:r>
    </w:p>
    <w:p>
      <w:pPr>
        <w:pStyle w:val="Heading3"/>
        <w:keepNext/>
        <w:spacing w:after="120" w:before="240"/>
      </w:pPr>
      <w:r>
        <w:rPr>
          <w:rFonts w:ascii="Times New Roman" w:cs="Times New Roman" w:eastAsia="Times New Roman" w:hAnsi="Times New Roman"/>
          <w:b/>
          <w:bCs/>
          <w:sz w:val="24"/>
          <w:szCs w:val="24"/>
        </w:rPr>
        <w:t xml:space="preserve">4.5.1 Variabilidade entre sementes, ensemble e ablações</w:t>
      </w:r>
    </w:p>
    <w:p>
      <w:pPr>
        <w:spacing w:after="120" w:before="0" w:line="360"/>
        <w:ind w:firstLine="567"/>
        <w:jc w:val="both"/>
      </w:pPr>
      <w:r>
        <w:rPr>
          <w:rFonts w:ascii="Times New Roman" w:cs="Times New Roman" w:eastAsia="Times New Roman" w:hAnsi="Times New Roman"/>
          <w:sz w:val="24"/>
          <w:szCs w:val="24"/>
        </w:rPr>
        <w:t xml:space="preserve">Para avaliar a estabilidade do resultado do BERTimbau, o ajuste fino foi repetido com três sementes aleatórias (42, 43 e 44) e foram testadas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enriquecido por selecção temática de vídeos (ablação) e pesos de classe suavizados (expoente 0,5 sobre o inverso da frequência). A Tabela 4.5 reúne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4.5 – Variantes do BERTimbau: validação, teste e comparação com a referência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2000"/>
        <w:gridCol w:w="1250"/>
        <w:gridCol w:w="13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Variante</w:t>
            </w:r>
          </w:p>
        </w:tc>
        <w:tc>
          <w:tcPr>
            <w:tcW w:type="dxa" w:w="11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validação</w:t>
            </w:r>
          </w:p>
        </w:tc>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[IC 95%]</w:t>
            </w:r>
          </w:p>
        </w:tc>
        <w:tc>
          <w:tcPr>
            <w:tcW w:type="dxa" w:w="12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 (teste)</w:t>
            </w:r>
          </w:p>
        </w:tc>
        <w:tc>
          <w:tcPr>
            <w:tcW w:type="dxa" w:w="1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McNemar vs. referência</w:t>
            </w:r>
          </w:p>
        </w:tc>
      </w:tr>
      <w:tr>
        <w:trPr>
          <w:cantSplit/>
          <w:tblHeader w:val="false"/>
        </w:trPr>
        <w:tc>
          <w:tcPr>
            <w:tcW w:type="dxa" w:w="25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Referência (semente 42)</w:t>
            </w:r>
          </w:p>
        </w:tc>
        <w:tc>
          <w:tcPr>
            <w:tcW w:type="dxa" w:w="11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0,814</w:t>
            </w:r>
          </w:p>
        </w:tc>
        <w:tc>
          <w:tcPr>
            <w:tcW w:type="dxa" w:w="20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2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0,811</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0,785 [0,752; 0,816]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0,472</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0,059</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0,816</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0,801 [0,769;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0,002</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Ensemble (média das 3 sementes)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0,820</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[0,775; 0,836]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0,545</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0,520</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 lote de vídeos temáticos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[0,765;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0,406</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Pesos de classe suavizados (0,5)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0,826</w:t>
            </w:r>
          </w:p>
        </w:tc>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[0,761; 0,832]</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1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Média ± desvio-padrão do F1-macro de teste nas três sementes: 0,797 ± 0,011. Valores de p sem correcção para comparações múltiplas.</w:t>
      </w:r>
    </w:p>
    <w:p>
      <w:pPr>
        <w:spacing w:after="120" w:before="0" w:line="360"/>
        <w:ind w:firstLine="567"/>
        <w:jc w:val="both"/>
      </w:pPr>
      <w:r>
        <w:rPr>
          <w:rFonts w:ascii="Times New Roman" w:cs="Times New Roman" w:eastAsia="Times New Roman" w:hAnsi="Times New Roman"/>
          <w:sz w:val="24"/>
          <w:szCs w:val="24"/>
        </w:rPr>
        <w:t xml:space="preserve">O F1-macro de teste varia entre 0,785 e 0,807 consoante a semente, com média de 0,797 ± 0,011. A semente 42 é a configuração de referência, definida antes das restantes execuções, mas é também a que obteve o valor de teste mais elevado; por isso, a média das três sementes (0,797) constitui a estimativa mais representativa do desempenho esperado do BERTimbau neste protocolo. A variabilidade concentra-se na Mobilizacao, cujo F1 oscila entre 0,472 e 0,549. Embora os F1-macro sejam próximos, as sementes 42 e 44 diferem significativamente nos itens que acertam (p = 0,002), o que confirma que, com 47 itens de Mobilizacao, as decisões individuais do modelo nesta categoria são sensíveis à inicialização.</w:t>
      </w:r>
    </w:p>
    <w:p>
      <w:pPr>
        <w:spacing w:after="120" w:before="0" w:line="360"/>
        <w:ind w:firstLine="567"/>
        <w:jc w:val="both"/>
      </w:pPr>
      <w:r>
        <w:rPr>
          <w:rFonts w:ascii="Times New Roman" w:cs="Times New Roman" w:eastAsia="Times New Roman" w:hAnsi="Times New Roman"/>
          <w:sz w:val="24"/>
          <w:szCs w:val="24"/>
        </w:rPr>
        <w:t xml:space="preserve">Nenhuma das variantes se distingue da referência no conjunto de teste (p &gt; 0,40). A variante com pesos suavizados obteve o melhor F1-macro de validação (0,826), mas no teste ficou em 0,799, com F1 de Mobilizacao inferior (0,518). De acordo com o critério fixado antes das experiências (adoptar uma variante apenas se esta se distinguir da referência), manteve-se a configuração de referência. A ablação do lote de vídeos temáticos reduziu o F1-macro de 0,807 para 0,799 e o F1 de Mobilizacao de 0,549 para 0,529, diferenças que não são estatisticamente distinguíveis (p = 0,41): o contributo desse lote existe na direcção esperada, mas não é demonstrável com a dimensão actual do teste.</w:t>
      </w:r>
    </w:p>
    <w:p>
      <w:pPr>
        <w:spacing w:after="120" w:before="0" w:line="360"/>
        <w:ind w:firstLine="567"/>
        <w:jc w:val="both"/>
      </w:pPr>
      <w:r>
        <w:rPr>
          <w:rFonts w:ascii="Times New Roman" w:cs="Times New Roman" w:eastAsia="Times New Roman" w:hAnsi="Times New Roman"/>
          <w:sz w:val="24"/>
          <w:szCs w:val="24"/>
        </w:rPr>
        <w:t xml:space="preserve">O modelo usado no protótipo do sistema (Secção 3.8) resulta de um novo treino com a configuração de referência, porque os pesos da corrida original não foram guardados. A divisão dos dados foi reconstruída e verificada item a item: as etiquetas de validação e de teste coincidem integralmente com as da corrida de referência. O novo modelo obteve F1-macro de 0,808 (IC 95% [0,773; 0,839]), contra 0,807 na referência; a diferença (0,1 p.p., IC 95% [-1,5; 1,8]) não é significativa (McNemar, p = 0,41), e os dois modelos dão a mesma previsão em 97,4% dos itens de teste. Os resultados deste capítulo referem-se à corrida de referência; o modelo do protótipo é, para efeitos práticos, equivalente.</w:t>
      </w:r>
    </w:p>
    <w:p>
      <w:pPr>
        <w:pStyle w:val="Heading3"/>
        <w:keepNext/>
        <w:spacing w:after="120" w:before="240"/>
      </w:pPr>
      <w:r>
        <w:rPr>
          <w:rFonts w:ascii="Times New Roman" w:cs="Times New Roman" w:eastAsia="Times New Roman" w:hAnsi="Times New Roman"/>
          <w:b/>
          <w:bCs/>
          <w:sz w:val="24"/>
          <w:szCs w:val="24"/>
        </w:rPr>
        <w:t xml:space="preserve">4.5.2 Ajuste de limiares de decisão</w:t>
      </w:r>
    </w:p>
    <w:p>
      <w:pPr>
        <w:spacing w:after="120" w:before="0" w:line="360"/>
        <w:ind w:firstLine="567"/>
        <w:jc w:val="both"/>
      </w:pPr>
      <w:r>
        <w:rPr>
          <w:rFonts w:ascii="Times New Roman" w:cs="Times New Roman" w:eastAsia="Times New Roman" w:hAnsi="Times New Roman"/>
          <w:sz w:val="24"/>
          <w:szCs w:val="24"/>
        </w:rPr>
        <w:t xml:space="preserve">Avaliou-se também o ajuste de vieses por classe sobre as log-probabilidades de cada modelo, escolhidos no conjunto de validação. Como os vieses são escolhidos nos mesmos dados em que se medem, o ganho na validação é optimista; por isso, o ganho esperado foi estimado por validação cruzada dentro do conjunto de validação e confirmado no teste (Tabela 4.6).</w:t>
      </w:r>
    </w:p>
    <w:p>
      <w:pPr>
        <w:pStyle w:val="LegendaTabela"/>
        <w:keepNext/>
        <w:spacing w:after="80" w:before="240" w:line="240"/>
        <w:jc w:val="center"/>
      </w:pPr>
      <w:r>
        <w:rPr>
          <w:rFonts w:ascii="Times New Roman" w:cs="Times New Roman" w:eastAsia="Times New Roman" w:hAnsi="Times New Roman"/>
          <w:b/>
          <w:bCs/>
          <w:sz w:val="20"/>
          <w:szCs w:val="20"/>
        </w:rPr>
        <w:t xml:space="preserve">Tabela 4.6 – Efeito do ajuste de limiares no F1-macro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1700"/>
        <w:gridCol w:w="1520"/>
      </w:tblGrid>
      <w:tr>
        <w:trPr>
          <w:cantSplit/>
          <w:tblHeader/>
        </w:trPr>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Ganho esperado (VC), p.p.</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(sem → com)</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 teste, p.p. [IC 95%]</w:t>
            </w:r>
          </w:p>
        </w:tc>
        <w:tc>
          <w:tcPr>
            <w:tcW w:type="dxa" w:w="1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 0,799</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 [-1,9; 0,3]</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 ± 0,7</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 0,655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 [-3,1; 1,8]</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 0,648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 [-1,9; -0,4]</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 ± 0,7</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0,632 → 0,664</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 [0,0; 5,9]</w:t>
            </w:r>
          </w:p>
        </w:tc>
        <w:tc>
          <w:tcPr>
            <w:tcW w:type="dxa" w:w="1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Análise de sensibilidade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VC: validação cruzada dentro do conjunto de validação (média ± desvio-padrão). Δ teste: diferença no conjunto de teste com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emparelhado.</w:t>
      </w:r>
    </w:p>
    <w:p>
      <w:pPr>
        <w:spacing w:after="120" w:before="0" w:line="360"/>
        <w:ind w:firstLine="567"/>
        <w:jc w:val="both"/>
      </w:pPr>
      <w:r>
        <w:rPr>
          <w:rFonts w:ascii="Times New Roman" w:cs="Times New Roman" w:eastAsia="Times New Roman" w:hAnsi="Times New Roman"/>
          <w:sz w:val="24"/>
          <w:szCs w:val="24"/>
        </w:rPr>
        <w:t xml:space="preserve">O ajuste não melhora o BERTimbau nem a Floresta Aleatória: o ganho esperado é negativo e confirma-se no teste. No Bi-LSTM, o ganho esperado positivo não se confirma no teste (IC inclui o zero). Apenas o SVM beneficia de forma consistente (+3,2 p.p., IC [0,0; 5,9]), passando para F1-macro de 0,664, valor que não altera a ordenação dos modelos. Por coerência, todas as tabelas deste capítulo reportam os modelos sem ajuste, e o valor ajustado do SVM é tratado apenas como análise de sensibilidade.</w:t>
      </w:r>
    </w:p>
    <w:p>
      <w:pPr>
        <w:pStyle w:val="Heading2"/>
        <w:keepNext/>
        <w:keepLines/>
        <w:spacing w:after="160" w:before="360" w:line="300"/>
      </w:pPr>
      <w:r>
        <w:rPr>
          <w:rFonts w:ascii="Times New Roman" w:cs="Times New Roman" w:eastAsia="Times New Roman" w:hAnsi="Times New Roman"/>
          <w:b/>
          <w:bCs/>
          <w:sz w:val="26"/>
          <w:szCs w:val="26"/>
        </w:rPr>
        <w:t xml:space="preserve">4.6 Lacuna de domínio: piloto angolano e corpus público (Hipótese H4)</w:t>
      </w:r>
    </w:p>
    <w:p>
      <w:pPr>
        <w:spacing w:after="120" w:before="0" w:line="360"/>
        <w:ind w:firstLine="567"/>
        <w:jc w:val="both"/>
      </w:pPr>
      <w:r>
        <w:rPr>
          <w:rFonts w:ascii="Times New Roman" w:cs="Times New Roman" w:eastAsia="Times New Roman" w:hAnsi="Times New Roman"/>
          <w:sz w:val="24"/>
          <w:szCs w:val="24"/>
        </w:rPr>
        <w:t xml:space="preserve">Conforme a formulação da Secção 1.3, testa-se se o desempenho do modelo seleccionado se degrada significativamente (ΔF1-macro ≥ 5 p.p.) em conteúdo angolano, comparando o subconjunto de teste proveniente do piloto angolano com o subconjunto proveniente dos corpora públicos. A Tabela 4.7 e a Figura 4.3 apresentam os resultados do BERTimbau em cada subconjunto.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4.7 – Desempenho do BERTimbau no piloto angolano e no corpus público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600"/>
        <w:gridCol w:w="450"/>
        <w:gridCol w:w="1900"/>
        <w:gridCol w:w="600"/>
        <w:gridCol w:w="805"/>
        <w:gridCol w:w="805"/>
        <w:gridCol w:w="805"/>
        <w:gridCol w:w="805"/>
      </w:tblGrid>
      <w:tr>
        <w:trPr>
          <w:cantSplit/>
          <w:tblHeader/>
        </w:trPr>
        <w:tc>
          <w:tcPr>
            <w:tcW w:type="dxa" w:w="1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w:t>
            </w:r>
          </w:p>
        </w:tc>
        <w:tc>
          <w:tcPr>
            <w:tcW w:type="dxa" w:w="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κ</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Norm.</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Desinf.</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Odio</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w:t>
            </w:r>
          </w:p>
        </w:tc>
      </w:tr>
      <w:tr>
        <w:trPr>
          <w:cantSplit/>
          <w:tblHeader w:val="false"/>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355</w:t>
            </w:r>
          </w:p>
        </w:tc>
        <w:tc>
          <w:tcPr>
            <w:tcW w:type="dxa" w:w="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0,533 [0,470; 0,592]</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0,436</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0,235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0,554</w:t>
            </w:r>
          </w:p>
        </w:tc>
      </w:tr>
      <w:tr>
        <w:trPr>
          <w:cantSplit/>
          <w:tblHeader w:val="false"/>
        </w:trPr>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Corpus público</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3.632</w:t>
            </w:r>
          </w:p>
        </w:tc>
        <w:tc>
          <w:tcPr>
            <w:tcW w:type="dxa" w:w="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0,919 [0,908; 0,929]</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0,879</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0,963</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0,992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Δ F1-macro (público − piloto) = 38,6 p.p. O corpus público não contém itens de Mobilizacao, pelo que o seu F1-macro é calculado sobre três classes.</w:t>
      </w:r>
    </w:p>
    <w:p>
      <w:pPr>
        <w:keepNext/>
        <w:spacing w:after="40" w:before="160"/>
        <w:jc w:val="center"/>
      </w:pPr>
      <w:r>
        <w:drawing>
          <wp:inline distT="0" distB="0" distL="0" distR="0">
            <wp:extent cx="4857750" cy="2600325"/>
            <wp:effectExtent t="0" r="0" b="0" l="0"/>
            <wp:docPr id="1" name="fig4_3_h4.png" descr="fig4_3_h4.png" title="fig4_3_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857750" cy="26003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4.3 – F1 por categoria do BERTimbau no corpus público e no piloto angolano (conjunto de teste)</w:t>
      </w:r>
    </w:p>
    <w:p>
      <w:pPr>
        <w:spacing w:after="120" w:before="0" w:line="360"/>
        <w:ind w:firstLine="567"/>
        <w:jc w:val="both"/>
      </w:pPr>
      <w:r>
        <w:rPr>
          <w:rFonts w:ascii="Times New Roman" w:cs="Times New Roman" w:eastAsia="Times New Roman" w:hAnsi="Times New Roman"/>
          <w:sz w:val="24"/>
          <w:szCs w:val="24"/>
        </w:rPr>
        <w:t xml:space="preserve">No piloto angolano, o BERTimbau obteve F1-macro de 0,533 (IC 95% [0,470; 0,592]) e κ de 0,436, contra 0,919 (IC 95% [0,908; 0,929]) e κ de 0,879 no corpus público. A diferença, de 38,6 p.p., excede largamente o limiar de 5 p.p. e os intervalos de confiança não se sobrepõem.</w:t>
      </w:r>
    </w:p>
    <w:p>
      <w:pPr>
        <w:spacing w:after="120" w:before="0" w:line="360"/>
        <w:ind w:firstLine="567"/>
        <w:jc w:val="both"/>
      </w:pPr>
      <w:r>
        <w:rPr>
          <w:rFonts w:ascii="Times New Roman" w:cs="Times New Roman" w:eastAsia="Times New Roman" w:hAnsi="Times New Roman"/>
          <w:sz w:val="24"/>
          <w:szCs w:val="24"/>
        </w:rPr>
        <w:t xml:space="preserve">A comparação tem um factor de confusão evidente: a Mobilizacao, a categoria mais difícil, existe apenas no piloto, e o F1-macro do corpus público é calculado sobre três classes. Para isolar este efeito, considerou-se no piloto apenas a média do F1 das três categorias comuns, que é de aproximadamente 0,53. A diferença mantém-se na mesma ordem de grandeza (cerca de 39 p.p.), pelo que a degradação não se explica pela composição das classes.</w:t>
      </w:r>
    </w:p>
    <w:p>
      <w:pPr>
        <w:spacing w:after="120" w:before="0" w:line="360"/>
        <w:ind w:firstLine="567"/>
        <w:jc w:val="both"/>
      </w:pPr>
      <w:r>
        <w:rPr>
          <w:rFonts w:ascii="Times New Roman" w:cs="Times New Roman" w:eastAsia="Times New Roman" w:hAnsi="Times New Roman"/>
          <w:sz w:val="24"/>
          <w:szCs w:val="24"/>
        </w:rPr>
        <w:t xml:space="preserve">O resultado mais revelador é o da Desinformacao: F1 de 0,992 no corpus público e de 0,235 no piloto. Nos corpora públicos, toda a Desinformacao provém do Fake.br, constituído por notícias completas, enquanto o piloto contém sobretudo comentários curtos. A combinação de um desempenho quase perfeito no domínio de origem com um desempenho muito baixo no domínio angolano é um indício forte de que o modelo aprendeu sobretudo marcas de estilo e de formato do Fake.br (registo jornalístico, extensão, estrutura) e não propriedades da desinformação enquanto tal. O mesmo mecanismo pode afectar, em menor grau, o Odio (0,802 contra 0,518), cujos exemplos públicos provêm de comentários do Instagram e do Twitter brasileiros. Por isso, o F1 global de 0,807 e, em particular, o F1 de 0,947 na Desinformacao sobrestimam o desempenho que o sistema terá em conteúdo angolano; a estimativa realista para este domínio é a do piloto (F1-macro de 0,533).</w:t>
      </w:r>
    </w:p>
    <w:p>
      <w:pPr>
        <w:spacing w:after="120" w:before="0" w:line="360"/>
        <w:ind w:firstLine="567"/>
        <w:jc w:val="both"/>
      </w:pPr>
      <w:r>
        <w:rPr>
          <w:rFonts w:ascii="Times New Roman" w:cs="Times New Roman" w:eastAsia="Times New Roman" w:hAnsi="Times New Roman"/>
          <w:sz w:val="24"/>
          <w:szCs w:val="24"/>
        </w:rPr>
        <w:t xml:space="preserve">Duas limitações condicionam este teste. O subconjunto do piloto é pequeno (n = 355), o que alarga o intervalo de confiança, e o desenho não permite separar as diferentes componentes da lacuna de domínio: variedade linguística (calão urbano, empréstimos de línguas nacionais), plataforma (comentários de YouTube contra notícias, Instagram e Twitter) e registo. A H4 confirma, por isso, a existência de uma lacuna de domínio substancial, mas não atribui essa lacuna especificamente ao calão ou às línguas nacionais.</w:t>
      </w:r>
    </w:p>
    <w:p>
      <w:pPr>
        <w:pStyle w:val="Heading2"/>
        <w:keepNext/>
        <w:keepLines/>
        <w:spacing w:after="160" w:before="360" w:line="300"/>
      </w:pPr>
      <w:r>
        <w:rPr>
          <w:rFonts w:ascii="Times New Roman" w:cs="Times New Roman" w:eastAsia="Times New Roman" w:hAnsi="Times New Roman"/>
          <w:b/>
          <w:bCs/>
          <w:sz w:val="26"/>
          <w:szCs w:val="26"/>
        </w:rPr>
        <w:t xml:space="preserve">4.7 Avaliação operacional do sistema (Hipóteses H2 e H3)</w:t>
      </w:r>
    </w:p>
    <w:p>
      <w:pPr>
        <w:spacing w:after="120" w:before="0" w:line="360"/>
        <w:ind w:firstLine="567"/>
        <w:jc w:val="both"/>
      </w:pPr>
      <w:r>
        <w:rPr>
          <w:rFonts w:ascii="Times New Roman" w:cs="Times New Roman" w:eastAsia="Times New Roman" w:hAnsi="Times New Roman"/>
          <w:sz w:val="24"/>
          <w:szCs w:val="24"/>
        </w:rPr>
        <w:t xml:space="preserve">As Hipóteses H2 (processamento de cada publicação em menos de 60 segundos) e H3 (antecedência de pelo menos 48 horas em relação a eventos de segurança) referem-se ao sistema em operação e não ao classificador. A H2 foi medida com o protótipo e o modelo do sistema; a H3 não pôde ser testada.</w:t>
      </w:r>
    </w:p>
    <w:p>
      <w:pPr>
        <w:pStyle w:val="Heading3"/>
        <w:keepNext/>
        <w:spacing w:after="120" w:before="240"/>
      </w:pPr>
      <w:r>
        <w:rPr>
          <w:rFonts w:ascii="Times New Roman" w:cs="Times New Roman" w:eastAsia="Times New Roman" w:hAnsi="Times New Roman"/>
          <w:b/>
          <w:bCs/>
          <w:sz w:val="24"/>
          <w:szCs w:val="24"/>
        </w:rPr>
        <w:t xml:space="preserve">4.7.1 Tempo de processamento (H2)</w:t>
      </w:r>
    </w:p>
    <w:p>
      <w:pPr>
        <w:spacing w:after="120" w:before="0" w:line="360"/>
        <w:ind w:firstLine="567"/>
        <w:jc w:val="both"/>
      </w:pPr>
      <w:r>
        <w:rPr>
          <w:rFonts w:ascii="Times New Roman" w:cs="Times New Roman" w:eastAsia="Times New Roman" w:hAnsi="Times New Roman"/>
          <w:sz w:val="24"/>
          <w:szCs w:val="24"/>
        </w:rPr>
        <w:t xml:space="preserve">A medição seguiu o protocolo da Secção 3.9. O comando de medição importou, anonimizou e classificou um lote de 200 comentários reais das amostras aleatórias do piloto, numa base de dados temporária nova em cada repetição; 2 comentários foram descartados na importação por terem menos de três caracteres, restando 198. O ensaio foi repetido 3 vezes num computador pessoal, sem GPU, com processador Intel N100 (quatro núcleos, de baixo consumo) e 8 GB de memória RAM. Trata-se de equipamento modesto, pelo que os tempos obtidos tendem a ser conservadores face a um servidor de produção. A Tabela 4.8 resume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4.8 – Tempo de processamento do protótipo com o modelo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220"/>
      </w:tblGrid>
      <w:tr>
        <w:trPr>
          <w:cantSplit/>
          <w:tblHeader/>
        </w:trPr>
        <w:tc>
          <w:tcPr>
            <w:tcW w:type="dxa" w:w="5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3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Publicações por lote</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198</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Repetições</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total por lote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125,5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médio por publicação (repetição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Dispositivo de inferência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CPU (sem GPU)</w:t>
            </w:r>
          </w:p>
        </w:tc>
      </w:tr>
      <w:tr>
        <w:trPr>
          <w:cantSplit/>
          <w:tblHeader w:val="false"/>
        </w:trPr>
        <w:tc>
          <w:tcPr>
            <w:tcW w:type="dxa" w:w="5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máximo compatível com o limiar de 60 s</w:t>
            </w:r>
          </w:p>
        </w:tc>
        <w:tc>
          <w:tcPr>
            <w:tcW w:type="dxa" w:w="3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cerca de 94 publicações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tempo inclui a leitura do ficheiro, a anonimização, a gravação na base de dados e a classificação com o BERTimbau (até 256 subpalavras, lotes de inferência de 32). Não inclui o carregamento inicial do modelo, que ocorre uma vez no arranque do serviço, nem o intervalo entre a publicação original e a sua recolha.</w:t>
      </w:r>
    </w:p>
    <w:p>
      <w:pPr>
        <w:spacing w:after="120" w:before="0" w:line="360"/>
        <w:ind w:firstLine="567"/>
        <w:jc w:val="both"/>
      </w:pPr>
      <w:r>
        <w:rPr>
          <w:rFonts w:ascii="Times New Roman" w:cs="Times New Roman" w:eastAsia="Times New Roman" w:hAnsi="Times New Roman"/>
          <w:sz w:val="24"/>
          <w:szCs w:val="24"/>
        </w:rPr>
        <w:t xml:space="preserve">O custo por publicação, de cerca de 0,63 segundos, está muito abaixo do limiar de 60 segundos. Há, no entanto, uma condição: no protótipo, as classificações de um lote são gravadas em conjunto no fim do lote, pelo que todas as publicações entram na fila de revisão ao mesmo tempo. Num lote de 198 publicações, a primeira só fica disponível ao fim de cerca de 125 segundos. O critério da H2 é cumprido para lotes até cerca de 94 publicações neste equipamento; acima desse volume, é necessário processar em lotes menores, gravar as classificações à medida que cada sublote termina ou usar uma GPU. A medição foi feita num único computador e com um único lote, e não inclui o tempo entre a publicação na plataforma e a sua recolha, que depende da frequência de recolha; deve ser lida como uma estimativa do custo de processamento interno, e não como o tempo de detecção de ponta a ponta.</w:t>
      </w:r>
    </w:p>
    <w:p>
      <w:pPr>
        <w:spacing w:after="120" w:before="0" w:line="360"/>
        <w:ind w:firstLine="567"/>
        <w:jc w:val="both"/>
      </w:pPr>
      <w:r>
        <w:rPr>
          <w:rFonts w:ascii="Times New Roman" w:cs="Times New Roman" w:eastAsia="Times New Roman" w:hAnsi="Times New Roman"/>
          <w:sz w:val="24"/>
          <w:szCs w:val="24"/>
        </w:rPr>
        <w:t xml:space="preserve">Depois desta medição, o sistema passou a gravar as classificações por sublotes de 32 publicações (Secção 3.8.3), e a medição foi repetida com esta configuração, no mesmo computador e com o mesmo lote de 198 publicações (três repetições). Com a gravação por sublotes, as primeiras 32 publicações ficaram disponíveis na fila ao fim de 36,1 segundos (mediana), contra cerca de 125 segundos com a gravação no fim do lote, e este tempo não depende da dimensão do lote. O lote completo demorou 139,7 segundos (0,71 s por publicação). O custo por publicação foi um pouco mais alto do que na primeira medição porque a aplicação web, com o modelo carregado, estava a correr em simultâneo no mesmo computador.</w:t>
      </w:r>
    </w:p>
    <w:p>
      <w:pPr>
        <w:spacing w:after="120" w:before="0" w:line="360"/>
        <w:ind w:firstLine="567"/>
        <w:jc w:val="both"/>
      </w:pPr>
      <w:r>
        <w:rPr>
          <w:rFonts w:ascii="Times New Roman" w:cs="Times New Roman" w:eastAsia="Times New Roman" w:hAnsi="Times New Roman"/>
          <w:sz w:val="24"/>
          <w:szCs w:val="24"/>
        </w:rPr>
        <w:t xml:space="preserve">A gravação por sublotes muda, portanto, a natureza da condição. As primeiras publicações de qualquer lote chegam à fila em menos de 60 segundos; as seguintes chegam de sublote em sublote, a cada 23 segundos aproximadamente. Por estimativa a partir destes tempos, todas as publicações de um lote ficam disponíveis em menos de 60 segundos quando cada recolha traz até cerca de 64 publicações (dois sublotes). Com recolhas frequentes e pequenas, o critério da H2 é cumprido para todas as publicações neste equipamento.</w:t>
      </w:r>
    </w:p>
    <w:p>
      <w:pPr>
        <w:pStyle w:val="Heading3"/>
        <w:keepNext/>
        <w:spacing w:after="120" w:before="240"/>
      </w:pPr>
      <w:r>
        <w:rPr>
          <w:rFonts w:ascii="Times New Roman" w:cs="Times New Roman" w:eastAsia="Times New Roman" w:hAnsi="Times New Roman"/>
          <w:b/>
          <w:bCs/>
          <w:sz w:val="24"/>
          <w:szCs w:val="24"/>
        </w:rPr>
        <w:t xml:space="preserve">4.7.2 Antecedência de detecção (H3)</w:t>
      </w:r>
    </w:p>
    <w:p>
      <w:pPr>
        <w:spacing w:after="120" w:before="0" w:line="360"/>
        <w:ind w:firstLine="567"/>
        <w:jc w:val="both"/>
      </w:pPr>
      <w:r>
        <w:rPr>
          <w:rFonts w:ascii="Times New Roman" w:cs="Times New Roman" w:eastAsia="Times New Roman" w:hAnsi="Times New Roman"/>
          <w:sz w:val="24"/>
          <w:szCs w:val="24"/>
        </w:rPr>
        <w:t xml:space="preserve">A H3 exige um corpus com datas de publicação, dividido cronologicamente (treino anterior ao período de teste), e um conjunto de eventos de referência independentes do corpus; sem estes elementos, qualquer medida de antecedência seria circular. Como o corpus desta investigação não foi construído em torno de eventos datados, a H3 fica por testar.</w:t>
      </w:r>
    </w:p>
    <w:p>
      <w:pPr>
        <w:pStyle w:val="Heading3"/>
        <w:keepNext/>
        <w:spacing w:after="120" w:before="240"/>
      </w:pPr>
      <w:r>
        <w:rPr>
          <w:rFonts w:ascii="Times New Roman" w:cs="Times New Roman" w:eastAsia="Times New Roman" w:hAnsi="Times New Roman"/>
          <w:b/>
          <w:bCs/>
          <w:sz w:val="24"/>
          <w:szCs w:val="24"/>
        </w:rPr>
        <w:t xml:space="preserve">4.7.3 Implicações para o desenho operacional</w:t>
      </w:r>
    </w:p>
    <w:p>
      <w:pPr>
        <w:spacing w:after="120" w:before="0" w:line="360"/>
        <w:ind w:firstLine="567"/>
        <w:jc w:val="both"/>
      </w:pPr>
      <w:r>
        <w:rPr>
          <w:rFonts w:ascii="Times New Roman" w:cs="Times New Roman" w:eastAsia="Times New Roman" w:hAnsi="Times New Roman"/>
          <w:sz w:val="24"/>
          <w:szCs w:val="24"/>
        </w:rPr>
        <w:t xml:space="preserve">Os resultados das Secções 4.4 a 4.6 têm, no entanto, consequências directas para o desenho operacional. Com precisão de 0,509 e sensibilidade de 0,596 na Mobilizacao, e com desempenho em conteúdo angolano inferior ao global, o sistema só é defensável como apoio ao analista: uma fila de revisão ordenada pela confiança do modelo, com confirmação humana obrigatória antes de qualquer acção e sem decisões automáticas sobre indivíduos. Neste enquadramento, as métricas operacionais relevantes passam a ser a precisão nos primeiros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itens da fila, o tempo de processamento e a concordância entre analista e sistema, medidas que o protótipo foi concebido para registar (Secção 3.9).</w:t>
      </w:r>
    </w:p>
    <w:p>
      <w:pPr>
        <w:pStyle w:val="Heading2"/>
        <w:keepNext/>
        <w:keepLines/>
        <w:spacing w:after="160" w:before="360" w:line="300"/>
      </w:pPr>
      <w:r>
        <w:rPr>
          <w:rFonts w:ascii="Times New Roman" w:cs="Times New Roman" w:eastAsia="Times New Roman" w:hAnsi="Times New Roman"/>
          <w:b/>
          <w:bCs/>
          <w:sz w:val="26"/>
          <w:szCs w:val="26"/>
        </w:rPr>
        <w:t xml:space="preserve">4.8 Discussão e verificação formal das hipóteses</w:t>
      </w:r>
    </w:p>
    <w:p>
      <w:pPr>
        <w:spacing w:after="120" w:before="0" w:line="360"/>
        <w:ind w:firstLine="567"/>
        <w:jc w:val="both"/>
      </w:pPr>
      <w:r>
        <w:rPr>
          <w:rFonts w:ascii="Times New Roman" w:cs="Times New Roman" w:eastAsia="Times New Roman" w:hAnsi="Times New Roman"/>
          <w:sz w:val="24"/>
          <w:szCs w:val="24"/>
        </w:rPr>
        <w:t xml:space="preserve">A Tabela 4.9 sintetiza a verificação das quatro hipóteses face aos critérios definidos na Secção 1.3.</w:t>
      </w:r>
    </w:p>
    <w:p>
      <w:pPr>
        <w:pStyle w:val="LegendaTabela"/>
        <w:keepNext/>
        <w:spacing w:after="80" w:before="240" w:line="240"/>
        <w:jc w:val="center"/>
      </w:pPr>
      <w:r>
        <w:rPr>
          <w:rFonts w:ascii="Times New Roman" w:cs="Times New Roman" w:eastAsia="Times New Roman" w:hAnsi="Times New Roman"/>
          <w:b/>
          <w:bCs/>
          <w:sz w:val="20"/>
          <w:szCs w:val="20"/>
        </w:rPr>
        <w:t xml:space="preserve">Tabela 4.9 – Verificação formal das hipóteses de investigação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7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Hipótese e critério</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Evidência</w:t>
            </w:r>
          </w:p>
        </w:tc>
        <w:tc>
          <w:tcPr>
            <w:tcW w:type="dxa" w:w="17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H1. Modelos profundos superam os clássicos (ΔF1 ≥ 5 p.p.; p &lt; 0,05 com Bonferroni)</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BERTimbau: ΔF1 de 14,6 a 17,4 p.p., p &lt; 10</w:t>
            </w:r>
            <w:r>
              <w:rPr>
                <w:rFonts w:ascii="Times New Roman" w:cs="Times New Roman" w:eastAsia="Times New Roman" w:hAnsi="Times New Roman"/>
                <w:b w:val="false"/>
                <w:bCs w:val="false"/>
                <w:sz w:val="19"/>
                <w:szCs w:val="19"/>
                <w:vertAlign w:val="superscript"/>
              </w:rPr>
              <w:t xml:space="preserve">-47</w:t>
            </w:r>
            <w:r>
              <w:rPr>
                <w:rFonts w:ascii="Times New Roman" w:cs="Times New Roman" w:eastAsia="Times New Roman" w:hAnsi="Times New Roman"/>
                <w:b w:val="false"/>
                <w:bCs w:val="false"/>
                <w:sz w:val="19"/>
                <w:szCs w:val="19"/>
              </w:rPr>
              <w:t xml:space="preserve">. Bi-LSTM: ΔF1 de 0,2 e 2,8 p.p. (IC incluem 0)</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Parcialmente confirmada</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H2. Processamento de cada publicação em menos de 60 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 por publicação em CPU; com sublotes, primeiras publicações na fila em 36 s; todas em menos de 60 s para recolhas até cerca de 64 publicações</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 com condições</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H3. Antecedência ≥ 48 h face a eventos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Sem corpus datado nem divisão cronológica</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Não testada</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H4. Degradação ≥ 5 p.p. em conteúdo angolano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ΔF1-macro = 38,6 p.p.; IC sem sobreposição; κ 0,436 contra 0,879</w:t>
            </w:r>
          </w:p>
        </w:tc>
        <w:tc>
          <w:tcPr>
            <w:tcW w:type="dxa" w:w="17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w:t>
            </w:r>
            <w:r>
              <w:rPr>
                <w:rFonts w:ascii="Times New Roman" w:cs="Times New Roman" w:eastAsia="Times New Roman" w:hAnsi="Times New Roman"/>
                <w:b w:val="false"/>
                <w:bCs w:val="false"/>
                <w:sz w:val="19"/>
                <w:szCs w:val="19"/>
              </w:rPr>
              <w:t xml:space="preserve"> (com reservas)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 designação “não testada” significa que os dados disponíveis não permitem confirmar nem rejeitar a hipótese.</w:t>
      </w:r>
    </w:p>
    <w:p>
      <w:pPr>
        <w:spacing w:after="120" w:before="0" w:line="360"/>
        <w:ind w:firstLine="567"/>
        <w:jc w:val="both"/>
      </w:pPr>
      <w:r>
        <w:rPr>
          <w:rFonts w:ascii="Times New Roman" w:cs="Times New Roman" w:eastAsia="Times New Roman" w:hAnsi="Times New Roman"/>
          <w:b/>
          <w:bCs/>
          <w:sz w:val="24"/>
          <w:szCs w:val="24"/>
        </w:rPr>
        <w:t xml:space="preserve">H1: parcialmente confirmada.</w:t>
      </w:r>
      <w:r>
        <w:rPr>
          <w:rFonts w:ascii="Times New Roman" w:cs="Times New Roman" w:eastAsia="Times New Roman" w:hAnsi="Times New Roman"/>
          <w:sz w:val="24"/>
          <w:szCs w:val="24"/>
        </w:rPr>
        <w:t xml:space="preserve"> A hipótese previa que ambos os modelos de aprendizagem profunda superassem os clássicos. O BERTimbau cumpre o critério com margem ampla (ΔF1-macro ≥ 14,6 p.p.; p corrigido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o cumpre: não se distingue da Floresta Aleatória e a sua vantagem sobre o SVM (2,8 p.p.) fica abaixo do limiar de 5 p.p., com intervalo que inclui o zero. Uma explicação plausível para a diferença entre os dois modelos profundos é o pré-treino: o BERTimbau parte de representações contextuais aprendidas num corpus de português de grande dimensão, ao passo que o Bi-LSTM aprende essas representações sobretudo a partir do corpus de treino. O resultado sugere que, neste volume de dados, o pré-treino linguístico pesa mais do que a natureza sequencial da arquitectura, hipótese que exigiria um ensaio controlado para ser confirmada.</w:t>
      </w:r>
    </w:p>
    <w:p>
      <w:pPr>
        <w:spacing w:after="120" w:before="0" w:line="360"/>
        <w:ind w:firstLine="567"/>
        <w:jc w:val="both"/>
      </w:pPr>
      <w:r>
        <w:rPr>
          <w:rFonts w:ascii="Times New Roman" w:cs="Times New Roman" w:eastAsia="Times New Roman" w:hAnsi="Times New Roman"/>
          <w:b/>
          <w:bCs/>
          <w:sz w:val="24"/>
          <w:szCs w:val="24"/>
        </w:rPr>
        <w:t xml:space="preserve">H2: confirmada com condições.</w:t>
      </w:r>
      <w:r>
        <w:rPr>
          <w:rFonts w:ascii="Times New Roman" w:cs="Times New Roman" w:eastAsia="Times New Roman" w:hAnsi="Times New Roman"/>
          <w:sz w:val="24"/>
          <w:szCs w:val="24"/>
        </w:rPr>
        <w:t xml:space="preserve"> O protótipo processa cada publicação em cerca de 0,63 segundos num computador sem GPU, muito abaixo do limiar de 60 segundos. Com a gravação de todo o lote no fim, o limiar só era respeitado para lotes até cerca de 94 publicações. Com a gravação por sublotes, as primeiras publicações chegam à fila em 36 segundos independentemente do lote, e todas chegam em menos de 60 segundos quando cada recolha traz até cerca de 64 publicações. A medição cobre o processamento interno e não o intervalo entre a publicação e a sua recolha.</w:t>
      </w:r>
    </w:p>
    <w:p>
      <w:pPr>
        <w:spacing w:after="120" w:before="0" w:line="360"/>
        <w:ind w:firstLine="567"/>
        <w:jc w:val="both"/>
      </w:pPr>
      <w:r>
        <w:rPr>
          <w:rFonts w:ascii="Times New Roman" w:cs="Times New Roman" w:eastAsia="Times New Roman" w:hAnsi="Times New Roman"/>
          <w:b/>
          <w:bCs/>
          <w:sz w:val="24"/>
          <w:szCs w:val="24"/>
        </w:rPr>
        <w:t xml:space="preserve">H3: não testada.</w:t>
      </w:r>
      <w:r>
        <w:rPr>
          <w:rFonts w:ascii="Times New Roman" w:cs="Times New Roman" w:eastAsia="Times New Roman" w:hAnsi="Times New Roman"/>
          <w:sz w:val="24"/>
          <w:szCs w:val="24"/>
        </w:rPr>
        <w:t xml:space="preserve"> A verificação exige um corpus datado em torno de eventos documentados, que não existe nesta fase, e constitui trabalho futuro.</w:t>
      </w:r>
    </w:p>
    <w:p>
      <w:pPr>
        <w:spacing w:after="120" w:before="0" w:line="360"/>
        <w:ind w:firstLine="567"/>
        <w:jc w:val="both"/>
      </w:pPr>
      <w:r>
        <w:rPr>
          <w:rFonts w:ascii="Times New Roman" w:cs="Times New Roman" w:eastAsia="Times New Roman" w:hAnsi="Times New Roman"/>
          <w:b/>
          <w:bCs/>
          <w:sz w:val="24"/>
          <w:szCs w:val="24"/>
        </w:rPr>
        <w:t xml:space="preserve">H4: confirmada, com reservas.</w:t>
      </w:r>
      <w:r>
        <w:rPr>
          <w:rFonts w:ascii="Times New Roman" w:cs="Times New Roman" w:eastAsia="Times New Roman" w:hAnsi="Times New Roman"/>
          <w:sz w:val="24"/>
          <w:szCs w:val="24"/>
        </w:rPr>
        <w:t xml:space="preserve"> A degradação do desempenho em conteúdo angolano é grande (38,6 p.p.), robusta ao controlo da composição de classes e consistente no Kappa. As reservas referem-se à dimensão do subconjunto do piloto, à impossibilidade de separar os efeitos de língua, plataforma e registo, e ao indício de aprendizagem de atalhos de estilo na Desinformacao. Este último ponto tem uma implicação metodológica que ultrapassa a H4: corpora de desinformação constituídos por notícias completas não são adequados para treinar detectores de desinformação em comentários de redes sociais, e o desempenho nesta categoria deve ser medido em conteúdo do domínio de aplicação.</w:t>
      </w:r>
    </w:p>
    <w:p>
      <w:pPr>
        <w:spacing w:after="120" w:before="0" w:line="360"/>
        <w:ind w:firstLine="567"/>
        <w:jc w:val="both"/>
      </w:pPr>
      <w:r>
        <w:rPr>
          <w:rFonts w:ascii="Times New Roman" w:cs="Times New Roman" w:eastAsia="Times New Roman" w:hAnsi="Times New Roman"/>
          <w:sz w:val="24"/>
          <w:szCs w:val="24"/>
        </w:rPr>
        <w:t xml:space="preserve">Destes resultados tiram-se três conclusões. Entre os modelos avaliados, só o BERTimbau serve como classificador principal, e a sua vantagem é estatisticamente sólida. O desempenho global, com F1-macro de cerca de 0,80, foi obtido sobretudo em conteúdo brasileiro e não deve ser apresentado como desempenho do sistema em Angola, onde a estimativa disponível ronda 0,53. Por último, a Mobilizacao, que é a categoria com mais interesse para a segurança, é também aquela em que a evidência é mais frágil, tanto pelo pequeno número de exemplos de teste como pela fronteira pouco nítida com o direito de manifestação. As prioridades de trabalho futuro do Capítulo 5 partem daqui: ampliar o corpus angolano anotado, em especial nas categorias Mobilizacao e Desinformacao, medir o desempenho em conteúdo angolano como métrica principal e manter a revisão humana como componente obrigatória do sistema.</w:t>
      </w:r>
    </w:p>
    <w:p>
      <w:pPr>
        <w:sectPr>
          <w:headerReference w:type="default" r:id="rId19"/>
          <w:footerReference w:type="default" r:id="rId20"/>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5 – CONCLUSÕES E RECOMENDAÇÕES</w:t>
      </w:r>
    </w:p>
    <w:p>
      <w:pPr>
        <w:spacing w:after="120" w:before="0" w:line="360"/>
        <w:ind w:firstLine="567"/>
        <w:jc w:val="both"/>
      </w:pPr>
      <w:r>
        <w:rPr>
          <w:rFonts w:ascii="Times New Roman" w:cs="Times New Roman" w:eastAsia="Times New Roman" w:hAnsi="Times New Roman"/>
          <w:sz w:val="24"/>
          <w:szCs w:val="24"/>
        </w:rPr>
        <w:t xml:space="preserve">Esta dissertação partiu de uma pergunta: em que medida a aprendizagem automática consegue apoiar, de forma fiável e responsável, a triagem de publicações ameaçadoras nas redes sociais angolanas. Os resultados mostram que consegue ajudar a ordenar o trabalho do analista, mas não o substitui, nem deve substituir.</w:t>
      </w:r>
    </w:p>
    <w:p>
      <w:pPr>
        <w:pStyle w:val="Heading2"/>
        <w:keepNext/>
        <w:keepLines/>
        <w:spacing w:after="160" w:before="360" w:line="300"/>
      </w:pPr>
      <w:r>
        <w:rPr>
          <w:rFonts w:ascii="Times New Roman" w:cs="Times New Roman" w:eastAsia="Times New Roman" w:hAnsi="Times New Roman"/>
          <w:b/>
          <w:bCs/>
          <w:sz w:val="26"/>
          <w:szCs w:val="26"/>
        </w:rPr>
        <w:t xml:space="preserve">5.1 Síntese dos objectivos</w:t>
      </w:r>
    </w:p>
    <w:p>
      <w:pPr>
        <w:spacing w:after="120" w:before="0" w:line="360"/>
        <w:ind w:firstLine="567"/>
        <w:jc w:val="both"/>
      </w:pPr>
      <w:r>
        <w:rPr>
          <w:rFonts w:ascii="Times New Roman" w:cs="Times New Roman" w:eastAsia="Times New Roman" w:hAnsi="Times New Roman"/>
          <w:sz w:val="24"/>
          <w:szCs w:val="24"/>
        </w:rPr>
        <w:t xml:space="preserve">A Tabela 5.1 resume o grau de cumprimento dos objectivos específicos.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5.1 – Cumprimento dos objectivos específicos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520"/>
        <w:gridCol w:w="1400"/>
      </w:tblGrid>
      <w:tr>
        <w:trPr>
          <w:cantSplit/>
          <w:tblHeader/>
        </w:trPr>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Objectivo</w:t>
            </w:r>
          </w:p>
        </w:tc>
        <w:tc>
          <w:tcPr>
            <w:tcW w:type="dxa" w:w="4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Resultado</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Estado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OE1. Corpus angolano anotado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2.637 comentários públicos anotados por 3 anotadores; κ de Fleiss 0,718; proveniência registada por lote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OE2. Comparação de algoritmos</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 F1-macro 0,807 [0,774; 0,838]; superior aos restantes com p &lt; 10</w:t>
            </w:r>
            <w:r>
              <w:rPr>
                <w:rFonts w:ascii="Times New Roman" w:cs="Times New Roman" w:eastAsia="Times New Roman" w:hAnsi="Times New Roman"/>
                <w:b w:val="false"/>
                <w:bCs w:val="false"/>
                <w:sz w:val="18"/>
                <w:szCs w:val="18"/>
                <w:vertAlign w:val="superscript"/>
              </w:rPr>
              <w:t xml:space="preserve">-47</w:t>
            </w:r>
            <w:r>
              <w:rPr>
                <w:rFonts w:ascii="Times New Roman" w:cs="Times New Roman" w:eastAsia="Times New Roman" w:hAnsi="Times New Roman"/>
                <w:b w:val="false"/>
                <w:bCs w:val="false"/>
                <w:sz w:val="18"/>
                <w:szCs w:val="18"/>
              </w:rPr>
              <w:t xml:space="preserve">; Bi-LSTM sem vantagem sobre a Floresta Aleatória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OE3. Lacuna de domínio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F1-macro 0,533 no piloto contra 0,919 no corpus público (Δ 38,6 p.p.); indício de atalhos de estilo na Desinformação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OE4. Protótipo do sistema</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Aplicação web com contas e papéis, ingestão anonimizada, base de dados auditada, classificação em segundo plano, fila por analista, revisão cega e amostra de controlo; recolha integrada do YouTube e de sítios públicos; base de dados SQLite; alertas na aplicação e por e-mail, em tempo real, mapa interactivo por província com evolução semanal e relatório de alertas; ficha do modelo com o desempenho em conteúdo angolano; modo de demonstração com dados fictícios; interface própria, sem recursos externos, utilizável sem Internet; 74 testes; tempo de processamento medido (0,63 s por publicação em CPU; primeiras publicações na fila em 36 s com sublotes); avaliação com analistas por fazer</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Parcialmente cumprido</w:t>
            </w:r>
          </w:p>
        </w:tc>
      </w:tr>
      <w:tr>
        <w:trPr>
          <w:cantSplit/>
          <w:tblHeader w:val="false"/>
        </w:trP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OE5. Quadro ético e legal</w:t>
            </w:r>
          </w:p>
        </w:tc>
        <w:tc>
          <w:tcPr>
            <w:tcW w:type="dxa" w:w="4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Salvaguardas implementadas no sistema (pseudonimização, minimização, conservação, auditoria, revisão humana); parecer jurídico recomendado</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5.2 Resposta às hipóteses</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foi parcialmente confirmada. O BERTimbau superou os modelos clássicos por 14,6 a 17,4 pontos percentuais de F1-macro, com diferenças estatisticamente significativas. Já o Bi-LSTM não se distinguiu da Floresta Aleatória (ΔF1 = 0,2 p.p.), o que sugere que, neste volume de dados, o factor decisivo é o pré-treino linguístico e não a arquitectura sequencial.</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foi confirmada com condições. O sistema processa cada publicação em cerca de 0,6 a 0,7 segundos num computador sem GPU. Com a gravação por sublotes, as primeiras publicações de qualquer lote chegam à fila em 36 segundos, e todas chegam em menos de 60 segundos quando cada recolha traz até cerca de 64 publicações; recolhas frequentes e pequenas cumprem, assim, o critério. A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não foi testada: exige um corpus datado em torno de eventos documentados, que não existe nesta fase.</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foi confirmada. Em conteúdo angolano, o F1-macro do BERTimbau desce 38,6 pontos percentuais, e a diferença mantém-se quando se controla a composição das classes. A queda na Desinformação, de 0,99 para 0,24, mostra que o modelo aprendeu sobretudo o estilo das notícias do Fake.br.</w:t>
      </w:r>
    </w:p>
    <w:p>
      <w:pPr>
        <w:pStyle w:val="Heading2"/>
        <w:keepNext/>
        <w:keepLines/>
        <w:spacing w:after="160" w:before="360" w:line="300"/>
      </w:pPr>
      <w:r>
        <w:rPr>
          <w:rFonts w:ascii="Times New Roman" w:cs="Times New Roman" w:eastAsia="Times New Roman" w:hAnsi="Times New Roman"/>
          <w:b/>
          <w:bCs/>
          <w:sz w:val="26"/>
          <w:szCs w:val="26"/>
        </w:rPr>
        <w:t xml:space="preserve">5.3 Contributos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Corpus angolano anotado.</w:t>
      </w:r>
      <w:r>
        <w:rPr>
          <w:rFonts w:ascii="Times New Roman" w:cs="Times New Roman" w:eastAsia="Times New Roman" w:hAnsi="Times New Roman"/>
          <w:sz w:val="24"/>
          <w:szCs w:val="24"/>
        </w:rPr>
        <w:t xml:space="preserve"> Tanto quanto foi possível apurar, é o primeiro corpus de comentários angolanos anotado para estas quatro categorias, com acordo entre anotadores medido e proveniência documentada.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Medida da lacuna de domínio.</w:t>
      </w:r>
      <w:r>
        <w:rPr>
          <w:rFonts w:ascii="Times New Roman" w:cs="Times New Roman" w:eastAsia="Times New Roman" w:hAnsi="Times New Roman"/>
          <w:sz w:val="24"/>
          <w:szCs w:val="24"/>
        </w:rPr>
        <w:t xml:space="preserve"> A dissertação quantifica, com intervalos de confiança, quanto se perde ao aplicar a conteúdo angolano um modelo treinado sobretudo com dados brasileiros, e identifica uma causa concreta (a aprendizagem de atalhos de estilo na Desinformação).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Avaliação metodologicamente cuidada.</w:t>
      </w:r>
      <w:r>
        <w:rPr>
          <w:rFonts w:ascii="Times New Roman" w:cs="Times New Roman" w:eastAsia="Times New Roman" w:hAnsi="Times New Roman"/>
          <w:sz w:val="24"/>
          <w:szCs w:val="24"/>
        </w:rPr>
        <w:t xml:space="preserve"> Intervalos de confiança, testes emparelhados com correcção para comparações múltiplas, repetição com várias sementes e selecção de variantes na validação, sem escolha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Arquitectura de triagem responsável.</w:t>
      </w:r>
      <w:r>
        <w:rPr>
          <w:rFonts w:ascii="Times New Roman" w:cs="Times New Roman" w:eastAsia="Times New Roman" w:hAnsi="Times New Roman"/>
          <w:sz w:val="24"/>
          <w:szCs w:val="24"/>
        </w:rPr>
        <w:t xml:space="preserve"> Um protótipo de código aberto, testado e documentado, que incorpora a protecção de dados desde a concepção e mantém o analista no centro da decisão, adequado aos recursos disponíveis e à soberania sobre os dados. A interface mostra ao analista, na página Sobre o modelo, onde o modelo falha, em vez de lhe apresentar apenas o desempenho global.</w:t>
      </w:r>
    </w:p>
    <w:p>
      <w:pPr>
        <w:pStyle w:val="Heading2"/>
        <w:keepNext/>
        <w:keepLines/>
        <w:spacing w:after="160" w:before="360" w:line="300"/>
      </w:pPr>
      <w:r>
        <w:rPr>
          <w:rFonts w:ascii="Times New Roman" w:cs="Times New Roman" w:eastAsia="Times New Roman" w:hAnsi="Times New Roman"/>
          <w:b/>
          <w:bCs/>
          <w:sz w:val="26"/>
          <w:szCs w:val="26"/>
        </w:rPr>
        <w:t xml:space="preserve">5.4 Limitações</w:t>
      </w:r>
    </w:p>
    <w:p>
      <w:pPr>
        <w:spacing w:after="120" w:before="0" w:line="360"/>
        <w:ind w:firstLine="567"/>
        <w:jc w:val="both"/>
      </w:pPr>
      <w:r>
        <w:rPr>
          <w:rFonts w:ascii="Times New Roman" w:cs="Times New Roman" w:eastAsia="Times New Roman" w:hAnsi="Times New Roman"/>
          <w:b/>
          <w:bCs/>
          <w:sz w:val="24"/>
          <w:szCs w:val="24"/>
        </w:rPr>
        <w:t xml:space="preserve">Dimensão e composição do corpus angolano.</w:t>
      </w:r>
      <w:r>
        <w:rPr>
          <w:rFonts w:ascii="Times New Roman" w:cs="Times New Roman" w:eastAsia="Times New Roman" w:hAnsi="Times New Roman"/>
          <w:sz w:val="24"/>
          <w:szCs w:val="24"/>
        </w:rPr>
        <w:t xml:space="preserve"> O piloto tem 2.637 publicações, das quais cerca de 86% são comentários do YouTube. A Mobilização Hostil conta com apenas 47 exemplos no teste, o que torna as estimativas desta categoria instáveis (IC 95% do F1 entre 0,42 e 0,66) e sensíveis à semente de treino.</w:t>
      </w:r>
    </w:p>
    <w:p>
      <w:pPr>
        <w:spacing w:after="120" w:before="0" w:line="360"/>
        <w:ind w:firstLine="567"/>
        <w:jc w:val="both"/>
      </w:pPr>
      <w:r>
        <w:rPr>
          <w:rFonts w:ascii="Times New Roman" w:cs="Times New Roman" w:eastAsia="Times New Roman" w:hAnsi="Times New Roman"/>
          <w:b/>
          <w:bCs/>
          <w:sz w:val="24"/>
          <w:szCs w:val="24"/>
        </w:rPr>
        <w:t xml:space="preserve">Predomínio de dados brasileiros.</w:t>
      </w:r>
      <w:r>
        <w:rPr>
          <w:rFonts w:ascii="Times New Roman" w:cs="Times New Roman" w:eastAsia="Times New Roman" w:hAnsi="Times New Roman"/>
          <w:sz w:val="24"/>
          <w:szCs w:val="24"/>
        </w:rPr>
        <w:t xml:space="preserve"> Cerca de 91% do conjunto de teste provém de corpora brasileiros. O desempenho global descreve, por isso, sobretudo conteúdo brasileiro; a estimativa disponível para Angola é a do piloto (F1-macro de cerca de 0,53), baseada em 355 itens.</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A única fonte pública de desinformação são notícias completas, um género muito diferente dos comentários. O valor elevado desta categoria no teste global não deve ser interpretado como capacidade de detectar desinformação em redes sociais.</w:t>
      </w:r>
    </w:p>
    <w:p>
      <w:pPr>
        <w:spacing w:after="120" w:before="0" w:line="360"/>
        <w:ind w:firstLine="567"/>
        <w:jc w:val="both"/>
      </w:pPr>
      <w:r>
        <w:rPr>
          <w:rFonts w:ascii="Times New Roman" w:cs="Times New Roman" w:eastAsia="Times New Roman" w:hAnsi="Times New Roman"/>
          <w:b/>
          <w:bCs/>
          <w:sz w:val="24"/>
          <w:szCs w:val="24"/>
        </w:rPr>
        <w:t xml:space="preserve">Variação linguística.</w:t>
      </w:r>
      <w:r>
        <w:rPr>
          <w:rFonts w:ascii="Times New Roman" w:cs="Times New Roman" w:eastAsia="Times New Roman" w:hAnsi="Times New Roman"/>
          <w:sz w:val="24"/>
          <w:szCs w:val="24"/>
        </w:rPr>
        <w:t xml:space="preserve"> O corpus não tem marcação de calão ou de línguas nacionais, pelo que não é possível separar o efeito da variedade linguística do efeito da plataforma e do registo. Textos integralmente em kimbundu, kikongo, umbundu ou tchokwe ficam fora do alcance do sistema.</w:t>
      </w:r>
    </w:p>
    <w:p>
      <w:pPr>
        <w:spacing w:after="120" w:before="0" w:line="360"/>
        <w:ind w:firstLine="567"/>
        <w:jc w:val="both"/>
      </w:pPr>
      <w:r>
        <w:rPr>
          <w:rFonts w:ascii="Times New Roman" w:cs="Times New Roman" w:eastAsia="Times New Roman" w:hAnsi="Times New Roman"/>
          <w:b/>
          <w:bCs/>
          <w:sz w:val="24"/>
          <w:szCs w:val="24"/>
        </w:rPr>
        <w:t xml:space="preserve">Avaliação operacional.</w:t>
      </w:r>
      <w:r>
        <w:rPr>
          <w:rFonts w:ascii="Times New Roman" w:cs="Times New Roman" w:eastAsia="Times New Roman" w:hAnsi="Times New Roman"/>
          <w:sz w:val="24"/>
          <w:szCs w:val="24"/>
        </w:rPr>
        <w:t xml:space="preserve"> O tempo de processamento foi medido num único computador, com um único lote, e não inclui o intervalo entre a publicação e a sua recolha. A utilidade da fila para analistas reais e a capacidade de antecipação não foram medidas. O protótipo funciona e está testado, mas a sua eficácia operacional está por demonstrar.</w:t>
      </w:r>
    </w:p>
    <w:p>
      <w:pPr>
        <w:spacing w:after="120" w:before="0" w:line="360"/>
        <w:ind w:firstLine="567"/>
        <w:jc w:val="both"/>
      </w:pPr>
      <w:r>
        <w:rPr>
          <w:rFonts w:ascii="Times New Roman" w:cs="Times New Roman" w:eastAsia="Times New Roman" w:hAnsi="Times New Roman"/>
          <w:b/>
          <w:bCs/>
          <w:sz w:val="24"/>
          <w:szCs w:val="24"/>
        </w:rPr>
        <w:t xml:space="preserve">Localização.</w:t>
      </w:r>
      <w:r>
        <w:rPr>
          <w:rFonts w:ascii="Times New Roman" w:cs="Times New Roman" w:eastAsia="Times New Roman" w:hAnsi="Times New Roman"/>
          <w:sz w:val="24"/>
          <w:szCs w:val="24"/>
        </w:rPr>
        <w:t xml:space="preserve"> O mapa e os alertas por província usam o lugar mencionado nas publicações, não a localização de quem as escreveu. Uma província muito citada em notícias nacionais pode aparecer com mais ameaças do que aquelas que nela ocorrem, e as publicações sem lugar mencionado ficam fora do mapa. A lista de topónimos deixa de fora nomes ambíguos, o que reduz falsos positivos à custa de alguma cobertura.</w:t>
      </w:r>
    </w:p>
    <w:p>
      <w:pPr>
        <w:spacing w:after="120" w:before="0" w:line="360"/>
        <w:ind w:firstLine="567"/>
        <w:jc w:val="both"/>
      </w:pPr>
      <w:r>
        <w:rPr>
          <w:rFonts w:ascii="Times New Roman" w:cs="Times New Roman" w:eastAsia="Times New Roman" w:hAnsi="Times New Roman"/>
          <w:b/>
          <w:bCs/>
          <w:sz w:val="24"/>
          <w:szCs w:val="24"/>
        </w:rPr>
        <w:t xml:space="preserve">Fronteira entre protesto e mobilização hostil.</w:t>
      </w:r>
      <w:r>
        <w:rPr>
          <w:rFonts w:ascii="Times New Roman" w:cs="Times New Roman" w:eastAsia="Times New Roman" w:hAnsi="Times New Roman"/>
          <w:sz w:val="24"/>
          <w:szCs w:val="24"/>
        </w:rPr>
        <w:t xml:space="preserve"> Esta fronteira é ambígua mesmo para anotadores humanos. Nenhum resultado desta dissertação autoriza o uso do sistema para fundamentar acções sobre pessoas sem revisão humana e sem enquadramento jurídico.</w:t>
      </w:r>
    </w:p>
    <w:p>
      <w:pPr>
        <w:pStyle w:val="Heading2"/>
        <w:keepNext/>
        <w:keepLines/>
        <w:spacing w:after="160" w:before="360" w:line="300"/>
      </w:pPr>
      <w:r>
        <w:rPr>
          <w:rFonts w:ascii="Times New Roman" w:cs="Times New Roman" w:eastAsia="Times New Roman" w:hAnsi="Times New Roman"/>
          <w:b/>
          <w:bCs/>
          <w:sz w:val="26"/>
          <w:szCs w:val="26"/>
        </w:rPr>
        <w:t xml:space="preserve">5.5 Recomendações e trabalho futuro</w:t>
      </w:r>
    </w:p>
    <w:p>
      <w:pPr>
        <w:spacing w:after="120" w:before="0" w:line="360"/>
        <w:ind w:firstLine="567"/>
        <w:jc w:val="both"/>
      </w:pPr>
      <w:r>
        <w:rPr>
          <w:rFonts w:ascii="Times New Roman" w:cs="Times New Roman" w:eastAsia="Times New Roman" w:hAnsi="Times New Roman"/>
          <w:sz w:val="24"/>
          <w:szCs w:val="24"/>
        </w:rPr>
        <w:t xml:space="preserve">As recomendações estão ordenadas por prioridade. As três primeiras são condições para qualquer uso institucional.</w:t>
      </w:r>
    </w:p>
    <w:p>
      <w:pPr>
        <w:spacing w:after="120" w:before="0" w:line="360"/>
        <w:ind w:firstLine="567"/>
        <w:jc w:val="both"/>
      </w:pPr>
      <w:r>
        <w:rPr>
          <w:rFonts w:ascii="Times New Roman" w:cs="Times New Roman" w:eastAsia="Times New Roman" w:hAnsi="Times New Roman"/>
          <w:b/>
          <w:bCs/>
          <w:sz w:val="24"/>
          <w:szCs w:val="24"/>
        </w:rPr>
        <w:t xml:space="preserve">1. Avaliar o sistema com analistas.</w:t>
      </w:r>
      <w:r>
        <w:rPr>
          <w:rFonts w:ascii="Times New Roman" w:cs="Times New Roman" w:eastAsia="Times New Roman" w:hAnsi="Times New Roman"/>
          <w:sz w:val="24"/>
          <w:szCs w:val="24"/>
        </w:rPr>
        <w:t xml:space="preserve"> Aplicar o protocolo da Secção 3.9 a um lote novo, com analistas: precisão nos primeiros K itens, κ analista–sistema e sensibilidade estimada numa amostra aleatória dos itens classificados como Normal. O sistema já tem as funções necessárias (revisão cega, fila independente por analista e amostra de controlo). Em paralelo, repetir a medição da H2 em equipamento de produção, com recolhas agendadas e pequenas.</w:t>
      </w:r>
    </w:p>
    <w:p>
      <w:pPr>
        <w:spacing w:after="120" w:before="0" w:line="360"/>
        <w:ind w:firstLine="567"/>
        <w:jc w:val="both"/>
      </w:pPr>
      <w:r>
        <w:rPr>
          <w:rFonts w:ascii="Times New Roman" w:cs="Times New Roman" w:eastAsia="Times New Roman" w:hAnsi="Times New Roman"/>
          <w:b/>
          <w:bCs/>
          <w:sz w:val="24"/>
          <w:szCs w:val="24"/>
        </w:rPr>
        <w:t xml:space="preserve">2. Obter parecer jurídico.</w:t>
      </w:r>
      <w:r>
        <w:rPr>
          <w:rFonts w:ascii="Times New Roman" w:cs="Times New Roman" w:eastAsia="Times New Roman" w:hAnsi="Times New Roman"/>
          <w:sz w:val="24"/>
          <w:szCs w:val="24"/>
        </w:rPr>
        <w:t xml:space="preserve"> Antes de qualquer integração institucional, obter parecer sobre a recolha de conteúdos públicos à luz da Lei n.º 22/11, da Lei n.º 7/17 e dos termos de utilização das plataformas, e sobre os limites constitucionais à monitorização de publicações de cidadãos.</w:t>
      </w:r>
    </w:p>
    <w:p>
      <w:pPr>
        <w:spacing w:after="120" w:before="0" w:line="360"/>
        <w:ind w:firstLine="567"/>
        <w:jc w:val="both"/>
      </w:pPr>
      <w:r>
        <w:rPr>
          <w:rFonts w:ascii="Times New Roman" w:cs="Times New Roman" w:eastAsia="Times New Roman" w:hAnsi="Times New Roman"/>
          <w:b/>
          <w:bCs/>
          <w:sz w:val="24"/>
          <w:szCs w:val="24"/>
        </w:rPr>
        <w:t xml:space="preserve">3. Ampliar o corpus angolano e medir sempre em Angola.</w:t>
      </w:r>
      <w:r>
        <w:rPr>
          <w:rFonts w:ascii="Times New Roman" w:cs="Times New Roman" w:eastAsia="Times New Roman" w:hAnsi="Times New Roman"/>
          <w:sz w:val="24"/>
          <w:szCs w:val="24"/>
        </w:rPr>
        <w:t xml:space="preserve"> Aumentar o número de exemplos anotados, em especial de Mobilização Hostil e de Desinformação em comentários, e diversificar as plataformas por vias oficiais. O desempenho em conteúdo angolano deve passar a ser a métrica principal do sistema.</w:t>
      </w:r>
    </w:p>
    <w:p>
      <w:pPr>
        <w:spacing w:after="120" w:before="0" w:line="360"/>
        <w:ind w:firstLine="567"/>
        <w:jc w:val="both"/>
      </w:pPr>
      <w:r>
        <w:rPr>
          <w:rFonts w:ascii="Times New Roman" w:cs="Times New Roman" w:eastAsia="Times New Roman" w:hAnsi="Times New Roman"/>
          <w:b/>
          <w:bCs/>
          <w:sz w:val="24"/>
          <w:szCs w:val="24"/>
        </w:rPr>
        <w:t xml:space="preserve">4. Substituir a fonte de desinformação.</w:t>
      </w:r>
      <w:r>
        <w:rPr>
          <w:rFonts w:ascii="Times New Roman" w:cs="Times New Roman" w:eastAsia="Times New Roman" w:hAnsi="Times New Roman"/>
          <w:sz w:val="24"/>
          <w:szCs w:val="24"/>
        </w:rPr>
        <w:t xml:space="preserve"> Construir ou adoptar exemplos de desinformação em formato de publicação curta, de preferência angolanos, para evitar que o modelo aprenda o estilo jornalístico em vez do fenómeno.</w:t>
      </w:r>
    </w:p>
    <w:p>
      <w:pPr>
        <w:spacing w:after="120" w:before="0" w:line="360"/>
        <w:ind w:firstLine="567"/>
        <w:jc w:val="both"/>
      </w:pPr>
      <w:r>
        <w:rPr>
          <w:rFonts w:ascii="Times New Roman" w:cs="Times New Roman" w:eastAsia="Times New Roman" w:hAnsi="Times New Roman"/>
          <w:b/>
          <w:bCs/>
          <w:sz w:val="24"/>
          <w:szCs w:val="24"/>
        </w:rPr>
        <w:t xml:space="preserve">5. Adaptar o modelo ao domínio.</w:t>
      </w:r>
      <w:r>
        <w:rPr>
          <w:rFonts w:ascii="Times New Roman" w:cs="Times New Roman" w:eastAsia="Times New Roman" w:hAnsi="Times New Roman"/>
          <w:sz w:val="24"/>
          <w:szCs w:val="24"/>
        </w:rPr>
        <w:t xml:space="preserve"> Continuar o pré-treino do BERTimbau com comentários angolanos não anotados, quando houver um volume suficiente (da ordem das dezenas de milhares de textos), seguindo Gururangan et al. (2020).</w:t>
      </w:r>
    </w:p>
    <w:p>
      <w:pPr>
        <w:spacing w:after="120" w:before="0" w:line="360"/>
        <w:ind w:firstLine="567"/>
        <w:jc w:val="both"/>
      </w:pPr>
      <w:r>
        <w:rPr>
          <w:rFonts w:ascii="Times New Roman" w:cs="Times New Roman" w:eastAsia="Times New Roman" w:hAnsi="Times New Roman"/>
          <w:b/>
          <w:bCs/>
          <w:sz w:val="24"/>
          <w:szCs w:val="24"/>
        </w:rPr>
        <w:t xml:space="preserve">6. Marcar a variedade linguística.</w:t>
      </w:r>
      <w:r>
        <w:rPr>
          <w:rFonts w:ascii="Times New Roman" w:cs="Times New Roman" w:eastAsia="Times New Roman" w:hAnsi="Times New Roman"/>
          <w:sz w:val="24"/>
          <w:szCs w:val="24"/>
        </w:rPr>
        <w:t xml:space="preserve"> Acrescentar ao guia de anotação a marcação de calão e de línguas nacionais, para permitir medir separadamente o seu efeito, e envolver linguistas na construção de recursos para as línguas nacionais.</w:t>
      </w:r>
    </w:p>
    <w:p>
      <w:pPr>
        <w:spacing w:after="120" w:before="0" w:line="360"/>
        <w:ind w:firstLine="567"/>
        <w:jc w:val="both"/>
      </w:pPr>
      <w:r>
        <w:rPr>
          <w:rFonts w:ascii="Times New Roman" w:cs="Times New Roman" w:eastAsia="Times New Roman" w:hAnsi="Times New Roman"/>
          <w:b/>
          <w:bCs/>
          <w:sz w:val="24"/>
          <w:szCs w:val="24"/>
        </w:rPr>
        <w:t xml:space="preserve">7. Validar a antecipação (H3).</w:t>
      </w:r>
      <w:r>
        <w:rPr>
          <w:rFonts w:ascii="Times New Roman" w:cs="Times New Roman" w:eastAsia="Times New Roman" w:hAnsi="Times New Roman"/>
          <w:sz w:val="24"/>
          <w:szCs w:val="24"/>
        </w:rPr>
        <w:t xml:space="preserve"> Constituir um corpus datado em torno de eventos documentados, com divisão cronológica estrita, e verificar se os alertas de tendência do sistema surgem antes desses eventos; acrescentar métricas de análise de redes para detectar publicação coordenada.</w:t>
      </w:r>
    </w:p>
    <w:p>
      <w:pPr>
        <w:spacing w:after="120" w:before="0" w:line="360"/>
        <w:ind w:firstLine="567"/>
        <w:jc w:val="both"/>
      </w:pPr>
      <w:r>
        <w:rPr>
          <w:rFonts w:ascii="Times New Roman" w:cs="Times New Roman" w:eastAsia="Times New Roman" w:hAnsi="Times New Roman"/>
          <w:b/>
          <w:bCs/>
          <w:sz w:val="24"/>
          <w:szCs w:val="24"/>
        </w:rPr>
        <w:t xml:space="preserve">8. Cooperação e enquadramento normativo.</w:t>
      </w:r>
      <w:r>
        <w:rPr>
          <w:rFonts w:ascii="Times New Roman" w:cs="Times New Roman" w:eastAsia="Times New Roman" w:hAnsi="Times New Roman"/>
          <w:sz w:val="24"/>
          <w:szCs w:val="24"/>
        </w:rPr>
        <w:t xml:space="preserve"> Partilhar recursos e metodologias com instituições do espaço da CPLP que enfrentam problemas semelhantes, e contribuir para um enquadramento nacional sobre o uso de inteligência artificial em segurança, com requisitos de transparência, auditoria e supervisão humana.</w:t>
      </w:r>
    </w:p>
    <w:p>
      <w:pPr>
        <w:pStyle w:val="Heading2"/>
        <w:keepNext/>
        <w:keepLines/>
        <w:spacing w:after="160" w:before="360" w:line="300"/>
      </w:pPr>
      <w:r>
        <w:rPr>
          <w:rFonts w:ascii="Times New Roman" w:cs="Times New Roman" w:eastAsia="Times New Roman" w:hAnsi="Times New Roman"/>
          <w:b/>
          <w:bCs/>
          <w:sz w:val="26"/>
          <w:szCs w:val="26"/>
        </w:rPr>
        <w:t xml:space="preserve">5.6 Considerações finais</w:t>
      </w:r>
    </w:p>
    <w:p>
      <w:pPr>
        <w:spacing w:after="120" w:before="0" w:line="360"/>
        <w:ind w:firstLine="567"/>
        <w:jc w:val="both"/>
      </w:pPr>
      <w:r>
        <w:rPr>
          <w:rFonts w:ascii="Times New Roman" w:cs="Times New Roman" w:eastAsia="Times New Roman" w:hAnsi="Times New Roman"/>
          <w:sz w:val="24"/>
          <w:szCs w:val="24"/>
        </w:rPr>
        <w:t xml:space="preserve">Os resultados mostram que um modelo de linguagem pré-treinado em português é claramente superior aos métodos clássicos, mas também que esse desempenho não se transfere intacto para o conteúdo angolano. Esta segunda conclusão é talvez a mais útil, porque indica onde vale a pena investir: em dados angolanos anotados, em avaliação no domínio real e em sistemas que tratem a classificação como uma sugestão e não como um veredicto. O protótipo desenvolvido segue esse princípio e fica disponível como base para as fases seguintes.</w:t>
      </w:r>
    </w:p>
    <w:p>
      <w:pPr>
        <w:sectPr>
          <w:headerReference w:type="default" r:id="rId21"/>
          <w:footerReference w:type="default" r:id="rId22"/>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REFERÊNCIAS BIBLIOGRÁFICAS</w:t>
      </w:r>
    </w:p>
    <w:p>
      <w:pPr>
        <w:spacing w:after="240" w:line="240"/>
        <w:ind w:left="567" w:hanging="567"/>
        <w:jc w:val="left"/>
      </w:pPr>
      <w:r>
        <w:rPr>
          <w:rFonts w:ascii="Times New Roman" w:cs="Times New Roman" w:eastAsia="Times New Roman" w:hAnsi="Times New Roman"/>
          <w:sz w:val="24"/>
          <w:szCs w:val="24"/>
        </w:rPr>
        <w:t xml:space="preserve">AFRIPOL. (2023). </w:t>
      </w:r>
      <w:r>
        <w:rPr>
          <w:rFonts w:ascii="Times New Roman" w:cs="Times New Roman" w:eastAsia="Times New Roman" w:hAnsi="Times New Roman"/>
          <w:i/>
          <w:iCs/>
          <w:sz w:val="24"/>
          <w:szCs w:val="24"/>
        </w:rPr>
        <w:t xml:space="preserve">African cyberthreat assessment report</w:t>
      </w:r>
      <w:r>
        <w:rPr>
          <w:rFonts w:ascii="Times New Roman" w:cs="Times New Roman" w:eastAsia="Times New Roman" w:hAnsi="Times New Roman"/>
          <w:sz w:val="24"/>
          <w:szCs w:val="24"/>
        </w:rPr>
        <w:t xml:space="preserve">. African Union Mechanism for Police Cooperation; INTERPOL.</w:t>
      </w:r>
    </w:p>
    <w:p>
      <w:pPr>
        <w:spacing w:after="240" w:line="240"/>
        <w:ind w:left="567" w:hanging="567"/>
        <w:jc w:val="left"/>
      </w:pPr>
      <w:r>
        <w:rPr>
          <w:rFonts w:ascii="Times New Roman" w:cs="Times New Roman" w:eastAsia="Times New Roman" w:hAnsi="Times New Roman"/>
          <w:sz w:val="24"/>
          <w:szCs w:val="24"/>
        </w:rPr>
        <w:t xml:space="preserve">Boyd, D. M., &amp; Ellison, N. B. (2007). Social network sites: Definition, history, and scholarship. </w:t>
      </w:r>
      <w:r>
        <w:rPr>
          <w:rFonts w:ascii="Times New Roman" w:cs="Times New Roman" w:eastAsia="Times New Roman" w:hAnsi="Times New Roman"/>
          <w:i/>
          <w:iCs/>
          <w:sz w:val="24"/>
          <w:szCs w:val="24"/>
        </w:rPr>
        <w:t xml:space="preserve">Journal of Computer-Mediated Communication, 13</w:t>
      </w:r>
      <w:r>
        <w:rPr>
          <w:rFonts w:ascii="Times New Roman" w:cs="Times New Roman" w:eastAsia="Times New Roman" w:hAnsi="Times New Roman"/>
          <w:sz w:val="24"/>
          <w:szCs w:val="24"/>
        </w:rPr>
        <w:t xml:space="preserve">(1), 210–230. https://doi.org/10.1111/j.1083-6101.2007.00393.x</w:t>
      </w:r>
    </w:p>
    <w:p>
      <w:pPr>
        <w:spacing w:after="240" w:line="240"/>
        <w:ind w:left="567" w:hanging="567"/>
        <w:jc w:val="left"/>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240" w:line="240"/>
        <w:ind w:left="567" w:hanging="567"/>
        <w:jc w:val="left"/>
      </w:pPr>
      <w:r>
        <w:rPr>
          <w:rFonts w:ascii="Times New Roman" w:cs="Times New Roman" w:eastAsia="Times New Roman" w:hAnsi="Times New Roman"/>
          <w:sz w:val="24"/>
          <w:szCs w:val="24"/>
        </w:rPr>
        <w:t xml:space="preserve">Castells, M. (2013). </w:t>
      </w:r>
      <w:r>
        <w:rPr>
          <w:rFonts w:ascii="Times New Roman" w:cs="Times New Roman" w:eastAsia="Times New Roman" w:hAnsi="Times New Roman"/>
          <w:i/>
          <w:iCs/>
          <w:sz w:val="24"/>
          <w:szCs w:val="24"/>
        </w:rPr>
        <w:t xml:space="preserve">Redes de indignação e esperança: Movimentos sociais na era da Internet</w:t>
      </w:r>
      <w:r>
        <w:rPr>
          <w:rFonts w:ascii="Times New Roman" w:cs="Times New Roman" w:eastAsia="Times New Roman" w:hAnsi="Times New Roman"/>
          <w:sz w:val="24"/>
          <w:szCs w:val="24"/>
        </w:rPr>
        <w:t xml:space="preserve">. Zahar.</w:t>
      </w:r>
    </w:p>
    <w:p>
      <w:pPr>
        <w:spacing w:after="240" w:line="240"/>
        <w:ind w:left="567" w:hanging="567"/>
        <w:jc w:val="left"/>
      </w:pPr>
      <w:r>
        <w:rPr>
          <w:rFonts w:ascii="Times New Roman" w:cs="Times New Roman" w:eastAsia="Times New Roman" w:hAnsi="Times New Roman"/>
          <w:sz w:val="24"/>
          <w:szCs w:val="24"/>
        </w:rPr>
        <w:t xml:space="preserve">Cintra, E. S. (2025). </w:t>
      </w:r>
      <w:r>
        <w:rPr>
          <w:rFonts w:ascii="Times New Roman" w:cs="Times New Roman" w:eastAsia="Times New Roman" w:hAnsi="Times New Roman"/>
          <w:i/>
          <w:iCs/>
          <w:sz w:val="24"/>
          <w:szCs w:val="24"/>
        </w:rPr>
        <w:t xml:space="preserve">Desafios midiáticos digitais contemporâneos: Um estudo da ciência das redes como contribuição ao Ministério da Defesa do Brasil sobre as aplicações do terrorismo peer-to-peer</w:t>
      </w:r>
      <w:r>
        <w:rPr>
          <w:rFonts w:ascii="Times New Roman" w:cs="Times New Roman" w:eastAsia="Times New Roman" w:hAnsi="Times New Roman"/>
          <w:sz w:val="24"/>
          <w:szCs w:val="24"/>
        </w:rPr>
        <w:t xml:space="preserve"> [Dissertação de mestrado, Escola Superior de Guerra].</w:t>
      </w:r>
    </w:p>
    <w:p>
      <w:pPr>
        <w:spacing w:after="240" w:line="240"/>
        <w:ind w:left="567" w:hanging="567"/>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 https://doi.org/10.1613/jair.953</w:t>
      </w:r>
    </w:p>
    <w:p>
      <w:pPr>
        <w:spacing w:after="240" w:line="240"/>
        <w:ind w:left="567" w:hanging="567"/>
        <w:jc w:val="left"/>
      </w:pPr>
      <w:r>
        <w:rPr>
          <w:rFonts w:ascii="Times New Roman" w:cs="Times New Roman" w:eastAsia="Times New Roman" w:hAnsi="Times New Roman"/>
          <w:sz w:val="24"/>
          <w:szCs w:val="24"/>
        </w:rPr>
        <w:t xml:space="preserve">Cohen, J. (1960). A coefficient of agreement for nominal scales. </w:t>
      </w:r>
      <w:r>
        <w:rPr>
          <w:rFonts w:ascii="Times New Roman" w:cs="Times New Roman" w:eastAsia="Times New Roman" w:hAnsi="Times New Roman"/>
          <w:i/>
          <w:iCs/>
          <w:sz w:val="24"/>
          <w:szCs w:val="24"/>
        </w:rPr>
        <w:t xml:space="preserve">Educational and Psychological Measurement, 20</w:t>
      </w:r>
      <w:r>
        <w:rPr>
          <w:rFonts w:ascii="Times New Roman" w:cs="Times New Roman" w:eastAsia="Times New Roman" w:hAnsi="Times New Roman"/>
          <w:sz w:val="24"/>
          <w:szCs w:val="24"/>
        </w:rPr>
        <w:t xml:space="preserve">(1), 37–46. https://doi.org/10.1177/001316446002000104</w:t>
      </w:r>
    </w:p>
    <w:p>
      <w:pPr>
        <w:spacing w:after="240" w:line="240"/>
        <w:ind w:left="567" w:hanging="567"/>
        <w:jc w:val="left"/>
      </w:pPr>
      <w:r>
        <w:rPr>
          <w:rFonts w:ascii="Times New Roman" w:cs="Times New Roman" w:eastAsia="Times New Roman" w:hAnsi="Times New Roman"/>
          <w:sz w:val="24"/>
          <w:szCs w:val="24"/>
        </w:rPr>
        <w:t xml:space="preserve">Conselho da Europa. (2022). </w:t>
      </w:r>
      <w:r>
        <w:rPr>
          <w:rFonts w:ascii="Times New Roman" w:cs="Times New Roman" w:eastAsia="Times New Roman" w:hAnsi="Times New Roman"/>
          <w:i/>
          <w:iCs/>
          <w:sz w:val="24"/>
          <w:szCs w:val="24"/>
        </w:rPr>
        <w:t xml:space="preserve">Recomendação CM/Rec(2022)16 do Comité de Ministros aos Estados-membros sobre o combate ao discurso de ódio</w:t>
      </w:r>
      <w:r>
        <w:rPr>
          <w:rFonts w:ascii="Times New Roman" w:cs="Times New Roman" w:eastAsia="Times New Roman" w:hAnsi="Times New Roman"/>
          <w:sz w:val="24"/>
          <w:szCs w:val="24"/>
        </w:rPr>
        <w:t xml:space="preserve">. Conselho da Europa.</w:t>
      </w:r>
    </w:p>
    <w:p>
      <w:pPr>
        <w:spacing w:after="240" w:line="240"/>
        <w:ind w:left="567" w:hanging="567"/>
        <w:jc w:val="left"/>
      </w:pPr>
      <w:r>
        <w:rPr>
          <w:rFonts w:ascii="Times New Roman" w:cs="Times New Roman" w:eastAsia="Times New Roman" w:hAnsi="Times New Roman"/>
          <w:sz w:val="24"/>
          <w:szCs w:val="24"/>
        </w:rPr>
        <w:t xml:space="preserve">Cortes, C., &amp; Vapnik, V. (1995). Support-vector networks. </w:t>
      </w:r>
      <w:r>
        <w:rPr>
          <w:rFonts w:ascii="Times New Roman" w:cs="Times New Roman" w:eastAsia="Times New Roman" w:hAnsi="Times New Roman"/>
          <w:i/>
          <w:iCs/>
          <w:sz w:val="24"/>
          <w:szCs w:val="24"/>
        </w:rPr>
        <w:t xml:space="preserve">Machine Learning, 20</w:t>
      </w:r>
      <w:r>
        <w:rPr>
          <w:rFonts w:ascii="Times New Roman" w:cs="Times New Roman" w:eastAsia="Times New Roman" w:hAnsi="Times New Roman"/>
          <w:sz w:val="24"/>
          <w:szCs w:val="24"/>
        </w:rPr>
        <w:t xml:space="preserve">(3), 273–297. https://doi.org/10.1007/BF00994018</w:t>
      </w:r>
    </w:p>
    <w:p>
      <w:pPr>
        <w:spacing w:after="240" w:line="240"/>
        <w:ind w:left="567" w:hanging="567"/>
        <w:jc w:val="left"/>
      </w:pPr>
      <w:r>
        <w:rPr>
          <w:rFonts w:ascii="Times New Roman" w:cs="Times New Roman" w:eastAsia="Times New Roman" w:hAnsi="Times New Roman"/>
          <w:sz w:val="24"/>
          <w:szCs w:val="24"/>
        </w:rPr>
        <w:t xml:space="preserve">Defense Advanced Research Projects Agency. (2016). </w:t>
      </w:r>
      <w:r>
        <w:rPr>
          <w:rFonts w:ascii="Times New Roman" w:cs="Times New Roman" w:eastAsia="Times New Roman" w:hAnsi="Times New Roman"/>
          <w:i/>
          <w:iCs/>
          <w:sz w:val="24"/>
          <w:szCs w:val="24"/>
        </w:rPr>
        <w:t xml:space="preserve">Media forensics (MediFor)</w:t>
      </w:r>
      <w:r>
        <w:rPr>
          <w:rFonts w:ascii="Times New Roman" w:cs="Times New Roman" w:eastAsia="Times New Roman" w:hAnsi="Times New Roman"/>
          <w:sz w:val="24"/>
          <w:szCs w:val="24"/>
        </w:rPr>
        <w:t xml:space="preserve">. U.S. Department of Defense. https://www.darpa.mil/research/programs/media-forensics</w:t>
      </w:r>
    </w:p>
    <w:p>
      <w:pPr>
        <w:spacing w:after="240" w:line="240"/>
        <w:ind w:left="567" w:hanging="567"/>
        <w:jc w:val="left"/>
      </w:pPr>
      <w:r>
        <w:rPr>
          <w:rFonts w:ascii="Times New Roman" w:cs="Times New Roman" w:eastAsia="Times New Roman" w:hAnsi="Times New Roman"/>
          <w:sz w:val="24"/>
          <w:szCs w:val="24"/>
        </w:rPr>
        <w:t xml:space="preserve">Devlin, J., Chang, M.-W., Lee, K., &amp; Toutanova, K. (2018). </w:t>
      </w:r>
      <w:r>
        <w:rPr>
          <w:rFonts w:ascii="Times New Roman" w:cs="Times New Roman" w:eastAsia="Times New Roman" w:hAnsi="Times New Roman"/>
          <w:i/>
          <w:iCs/>
          <w:sz w:val="24"/>
          <w:szCs w:val="24"/>
        </w:rPr>
        <w:t xml:space="preserve">BERT: Pre-training of deep bidirectional transformers for language understanding</w:t>
      </w:r>
      <w:r>
        <w:rPr>
          <w:rFonts w:ascii="Times New Roman" w:cs="Times New Roman" w:eastAsia="Times New Roman" w:hAnsi="Times New Roman"/>
          <w:sz w:val="24"/>
          <w:szCs w:val="24"/>
        </w:rPr>
        <w:t xml:space="preserve"> (arXiv:1810.04805). arXiv. https://arxiv.org/abs/1810.04805</w:t>
      </w:r>
    </w:p>
    <w:p>
      <w:pPr>
        <w:spacing w:after="240" w:line="240"/>
        <w:ind w:left="567" w:hanging="567"/>
        <w:jc w:val="left"/>
      </w:pPr>
      <w:r>
        <w:rPr>
          <w:rFonts w:ascii="Times New Roman" w:cs="Times New Roman" w:eastAsia="Times New Roman" w:hAnsi="Times New Roman"/>
          <w:sz w:val="24"/>
          <w:szCs w:val="24"/>
        </w:rPr>
        <w:t xml:space="preserve">Dietterich, T. G. (1998). Approximate statistical tests for comparing supervised classification learning algorithms. </w:t>
      </w:r>
      <w:r>
        <w:rPr>
          <w:rFonts w:ascii="Times New Roman" w:cs="Times New Roman" w:eastAsia="Times New Roman" w:hAnsi="Times New Roman"/>
          <w:i/>
          <w:iCs/>
          <w:sz w:val="24"/>
          <w:szCs w:val="24"/>
        </w:rPr>
        <w:t xml:space="preserve">Neural Computation, 10</w:t>
      </w:r>
      <w:r>
        <w:rPr>
          <w:rFonts w:ascii="Times New Roman" w:cs="Times New Roman" w:eastAsia="Times New Roman" w:hAnsi="Times New Roman"/>
          <w:sz w:val="24"/>
          <w:szCs w:val="24"/>
        </w:rPr>
        <w:t xml:space="preserve">(7), 1895–1923. https://doi.org/10.1162/089976698300017197</w:t>
      </w:r>
    </w:p>
    <w:p>
      <w:pPr>
        <w:spacing w:after="240" w:line="240"/>
        <w:ind w:left="567" w:hanging="567"/>
        <w:jc w:val="left"/>
      </w:pPr>
      <w:r>
        <w:rPr>
          <w:rFonts w:ascii="Times New Roman" w:cs="Times New Roman" w:eastAsia="Times New Roman" w:hAnsi="Times New Roman"/>
          <w:sz w:val="24"/>
          <w:szCs w:val="24"/>
        </w:rPr>
        <w:t xml:space="preserve">Efron, B., &amp; Tibshirani, R. J. (1993). </w:t>
      </w:r>
      <w:r>
        <w:rPr>
          <w:rFonts w:ascii="Times New Roman" w:cs="Times New Roman" w:eastAsia="Times New Roman" w:hAnsi="Times New Roman"/>
          <w:i/>
          <w:iCs/>
          <w:sz w:val="24"/>
          <w:szCs w:val="24"/>
        </w:rPr>
        <w:t xml:space="preserve">An introduction to the bootstrap</w:t>
      </w:r>
      <w:r>
        <w:rPr>
          <w:rFonts w:ascii="Times New Roman" w:cs="Times New Roman" w:eastAsia="Times New Roman" w:hAnsi="Times New Roman"/>
          <w:sz w:val="24"/>
          <w:szCs w:val="24"/>
        </w:rPr>
        <w:t xml:space="preserve">. Chapman &amp; Hall.</w:t>
      </w:r>
    </w:p>
    <w:p>
      <w:pPr>
        <w:spacing w:after="240" w:line="240"/>
        <w:ind w:left="567" w:hanging="567"/>
        <w:jc w:val="left"/>
      </w:pPr>
      <w:r>
        <w:rPr>
          <w:rFonts w:ascii="Times New Roman" w:cs="Times New Roman" w:eastAsia="Times New Roman" w:hAnsi="Times New Roman"/>
          <w:sz w:val="24"/>
          <w:szCs w:val="24"/>
        </w:rPr>
        <w:t xml:space="preserve">Elias, L. (2019). O terrorismo transnacional contemporâneo: Segurança, justiça e cooperação. </w:t>
      </w:r>
      <w:r>
        <w:rPr>
          <w:rFonts w:ascii="Times New Roman" w:cs="Times New Roman" w:eastAsia="Times New Roman" w:hAnsi="Times New Roman"/>
          <w:i/>
          <w:iCs/>
          <w:sz w:val="24"/>
          <w:szCs w:val="24"/>
        </w:rPr>
        <w:t xml:space="preserve">Nação e Defesa, 152</w:t>
      </w:r>
      <w:r>
        <w:rPr>
          <w:rFonts w:ascii="Times New Roman" w:cs="Times New Roman" w:eastAsia="Times New Roman" w:hAnsi="Times New Roman"/>
          <w:sz w:val="24"/>
          <w:szCs w:val="24"/>
        </w:rPr>
        <w:t xml:space="preserve">, 78–112.</w:t>
      </w:r>
    </w:p>
    <w:p>
      <w:pPr>
        <w:spacing w:after="240" w:line="240"/>
        <w:ind w:left="567" w:hanging="567"/>
        <w:jc w:val="left"/>
      </w:pPr>
      <w:r>
        <w:rPr>
          <w:rFonts w:ascii="Times New Roman" w:cs="Times New Roman" w:eastAsia="Times New Roman" w:hAnsi="Times New Roman"/>
          <w:sz w:val="24"/>
          <w:szCs w:val="24"/>
        </w:rPr>
        <w:t xml:space="preserve">EU DisinfoLab. (2020). </w:t>
      </w:r>
      <w:r>
        <w:rPr>
          <w:rFonts w:ascii="Times New Roman" w:cs="Times New Roman" w:eastAsia="Times New Roman" w:hAnsi="Times New Roman"/>
          <w:i/>
          <w:iCs/>
          <w:sz w:val="24"/>
          <w:szCs w:val="24"/>
        </w:rPr>
        <w:t xml:space="preserve">Methodologies for mapping disinformation networks and social network analysis</w:t>
      </w:r>
      <w:r>
        <w:rPr>
          <w:rFonts w:ascii="Times New Roman" w:cs="Times New Roman" w:eastAsia="Times New Roman" w:hAnsi="Times New Roman"/>
          <w:sz w:val="24"/>
          <w:szCs w:val="24"/>
        </w:rPr>
        <w:t xml:space="preserve">. EU DisinfoLab. https://www.disinfo.eu/</w:t>
      </w:r>
    </w:p>
    <w:p>
      <w:pPr>
        <w:spacing w:after="240" w:line="240"/>
        <w:ind w:left="567" w:hanging="567"/>
        <w:jc w:val="left"/>
      </w:pPr>
      <w:r>
        <w:rPr>
          <w:rFonts w:ascii="Times New Roman" w:cs="Times New Roman" w:eastAsia="Times New Roman" w:hAnsi="Times New Roman"/>
          <w:sz w:val="24"/>
          <w:szCs w:val="24"/>
        </w:rPr>
        <w:t xml:space="preserve">EU DisinfoLab. (2021). </w:t>
      </w:r>
      <w:r>
        <w:rPr>
          <w:rFonts w:ascii="Times New Roman" w:cs="Times New Roman" w:eastAsia="Times New Roman" w:hAnsi="Times New Roman"/>
          <w:i/>
          <w:iCs/>
          <w:sz w:val="24"/>
          <w:szCs w:val="24"/>
        </w:rPr>
        <w:t xml:space="preserve">Indian chronicles: Deep dive into a 15-year operation targeting the EU and UN</w:t>
      </w:r>
      <w:r>
        <w:rPr>
          <w:rFonts w:ascii="Times New Roman" w:cs="Times New Roman" w:eastAsia="Times New Roman" w:hAnsi="Times New Roman"/>
          <w:sz w:val="24"/>
          <w:szCs w:val="24"/>
        </w:rPr>
        <w:t xml:space="preserve">. EU DisinfoLab.</w:t>
      </w:r>
    </w:p>
    <w:p>
      <w:pPr>
        <w:spacing w:after="240" w:line="240"/>
        <w:ind w:left="567" w:hanging="567"/>
        <w:jc w:val="left"/>
      </w:pPr>
      <w:r>
        <w:rPr>
          <w:rFonts w:ascii="Times New Roman" w:cs="Times New Roman" w:eastAsia="Times New Roman" w:hAnsi="Times New Roman"/>
          <w:sz w:val="24"/>
          <w:szCs w:val="24"/>
        </w:rPr>
        <w:t xml:space="preserve">Fleiss, J. L. (1971). Measuring nominal scale agreement among many raters. </w:t>
      </w:r>
      <w:r>
        <w:rPr>
          <w:rFonts w:ascii="Times New Roman" w:cs="Times New Roman" w:eastAsia="Times New Roman" w:hAnsi="Times New Roman"/>
          <w:i/>
          <w:iCs/>
          <w:sz w:val="24"/>
          <w:szCs w:val="24"/>
        </w:rPr>
        <w:t xml:space="preserve">Psychological Bulletin, 76</w:t>
      </w:r>
      <w:r>
        <w:rPr>
          <w:rFonts w:ascii="Times New Roman" w:cs="Times New Roman" w:eastAsia="Times New Roman" w:hAnsi="Times New Roman"/>
          <w:sz w:val="24"/>
          <w:szCs w:val="24"/>
        </w:rPr>
        <w:t xml:space="preserve">(5), 378–382. https://doi.org/10.1037/h0031619</w:t>
      </w:r>
    </w:p>
    <w:p>
      <w:pPr>
        <w:spacing w:after="240" w:line="240"/>
        <w:ind w:left="567" w:hanging="567"/>
        <w:jc w:val="left"/>
      </w:pPr>
      <w:r>
        <w:rPr>
          <w:rFonts w:ascii="Times New Roman" w:cs="Times New Roman" w:eastAsia="Times New Roman" w:hAnsi="Times New Roman"/>
          <w:sz w:val="24"/>
          <w:szCs w:val="24"/>
        </w:rPr>
        <w:t xml:space="preserve">Fortuna, P., &amp; Nunes, S. (2018). A survey on automatic detection of hate speech in text. </w:t>
      </w:r>
      <w:r>
        <w:rPr>
          <w:rFonts w:ascii="Times New Roman" w:cs="Times New Roman" w:eastAsia="Times New Roman" w:hAnsi="Times New Roman"/>
          <w:i/>
          <w:iCs/>
          <w:sz w:val="24"/>
          <w:szCs w:val="24"/>
        </w:rPr>
        <w:t xml:space="preserve">ACM Computing Surveys, 51</w:t>
      </w:r>
      <w:r>
        <w:rPr>
          <w:rFonts w:ascii="Times New Roman" w:cs="Times New Roman" w:eastAsia="Times New Roman" w:hAnsi="Times New Roman"/>
          <w:sz w:val="24"/>
          <w:szCs w:val="24"/>
        </w:rPr>
        <w:t xml:space="preserve">(4), Artigo 85. https://doi.org/10.1145/3232676</w:t>
      </w:r>
    </w:p>
    <w:p>
      <w:pPr>
        <w:spacing w:after="240" w:line="240"/>
        <w:ind w:left="567" w:hanging="567"/>
        <w:jc w:val="left"/>
      </w:pPr>
      <w:r>
        <w:rPr>
          <w:rFonts w:ascii="Times New Roman" w:cs="Times New Roman" w:eastAsia="Times New Roman" w:hAnsi="Times New Roman"/>
          <w:sz w:val="24"/>
          <w:szCs w:val="24"/>
        </w:rPr>
        <w:t xml:space="preserve">Fortuna, P., Soler-Company, J., &amp; Wanner, L. (2021). How well do hate speech, toxicity, abusive and offensive language classification models generalize across datasets? </w:t>
      </w:r>
      <w:r>
        <w:rPr>
          <w:rFonts w:ascii="Times New Roman" w:cs="Times New Roman" w:eastAsia="Times New Roman" w:hAnsi="Times New Roman"/>
          <w:i/>
          <w:iCs/>
          <w:sz w:val="24"/>
          <w:szCs w:val="24"/>
        </w:rPr>
        <w:t xml:space="preserve">Information Processing &amp; Management, 58</w:t>
      </w:r>
      <w:r>
        <w:rPr>
          <w:rFonts w:ascii="Times New Roman" w:cs="Times New Roman" w:eastAsia="Times New Roman" w:hAnsi="Times New Roman"/>
          <w:sz w:val="24"/>
          <w:szCs w:val="24"/>
        </w:rPr>
        <w:t xml:space="preserve">(3), Artigo 102524. https://doi.org/10.1016/j.ipm.2021.102524</w:t>
      </w:r>
    </w:p>
    <w:p>
      <w:pPr>
        <w:spacing w:after="240" w:line="240"/>
        <w:ind w:left="567" w:hanging="567"/>
        <w:jc w:val="left"/>
      </w:pPr>
      <w:r>
        <w:rPr>
          <w:rFonts w:ascii="Times New Roman" w:cs="Times New Roman" w:eastAsia="Times New Roman" w:hAnsi="Times New Roman"/>
          <w:sz w:val="24"/>
          <w:szCs w:val="24"/>
        </w:rPr>
        <w:t xml:space="preserve">Freire, C. P. (2015). </w:t>
      </w:r>
      <w:r>
        <w:rPr>
          <w:rFonts w:ascii="Times New Roman" w:cs="Times New Roman" w:eastAsia="Times New Roman" w:hAnsi="Times New Roman"/>
          <w:i/>
          <w:iCs/>
          <w:sz w:val="24"/>
          <w:szCs w:val="24"/>
        </w:rPr>
        <w:t xml:space="preserve">Método de monitoramento de redes sociais: Epistemologia, técnicas e propostas de mineração de banco de dados para conteúdos gerados por fãs de telenovela em redes sociais</w:t>
      </w:r>
      <w:r>
        <w:rPr>
          <w:rFonts w:ascii="Times New Roman" w:cs="Times New Roman" w:eastAsia="Times New Roman" w:hAnsi="Times New Roman"/>
          <w:sz w:val="24"/>
          <w:szCs w:val="24"/>
        </w:rPr>
        <w:t xml:space="preserve"> [Tese de doutoramento, Universidade de São Paulo].</w:t>
      </w:r>
    </w:p>
    <w:p>
      <w:pPr>
        <w:spacing w:after="240" w:line="240"/>
        <w:ind w:left="567" w:hanging="567"/>
        <w:jc w:val="left"/>
      </w:pPr>
      <w:r>
        <w:rPr>
          <w:rFonts w:ascii="Times New Roman" w:cs="Times New Roman" w:eastAsia="Times New Roman" w:hAnsi="Times New Roman"/>
          <w:sz w:val="24"/>
          <w:szCs w:val="24"/>
        </w:rPr>
        <w:t xml:space="preserve">Geirhos, R., Jacobsen, J.-H., Michaelis, C., Zemel, R., Brendel, W., Bethge, M., &amp; Wichmann, F. A. (2020). Shortcut learning in deep neural networks. </w:t>
      </w:r>
      <w:r>
        <w:rPr>
          <w:rFonts w:ascii="Times New Roman" w:cs="Times New Roman" w:eastAsia="Times New Roman" w:hAnsi="Times New Roman"/>
          <w:i/>
          <w:iCs/>
          <w:sz w:val="24"/>
          <w:szCs w:val="24"/>
        </w:rPr>
        <w:t xml:space="preserve">Nature Machine Intelligence, 2</w:t>
      </w:r>
      <w:r>
        <w:rPr>
          <w:rFonts w:ascii="Times New Roman" w:cs="Times New Roman" w:eastAsia="Times New Roman" w:hAnsi="Times New Roman"/>
          <w:sz w:val="24"/>
          <w:szCs w:val="24"/>
        </w:rPr>
        <w:t xml:space="preserve">(11), 665–673. https://doi.org/10.1038/s42256-020-00257-z</w:t>
      </w:r>
    </w:p>
    <w:p>
      <w:pPr>
        <w:spacing w:after="240" w:line="240"/>
        <w:ind w:left="567" w:hanging="567"/>
        <w:jc w:val="left"/>
      </w:pPr>
      <w:r>
        <w:rPr>
          <w:rFonts w:ascii="Times New Roman" w:cs="Times New Roman" w:eastAsia="Times New Roman" w:hAnsi="Times New Roman"/>
          <w:sz w:val="24"/>
          <w:szCs w:val="24"/>
        </w:rPr>
        <w:t xml:space="preserve">Gururangan, S., Marasović, A., Swayamdipta, S., Lo, K., Beltagy, I., Downey, D., &amp; Smith, N. A. (2020). Don't stop pretraining: Adapt language models to domains and tasks. In </w:t>
      </w:r>
      <w:r>
        <w:rPr>
          <w:rFonts w:ascii="Times New Roman" w:cs="Times New Roman" w:eastAsia="Times New Roman" w:hAnsi="Times New Roman"/>
          <w:i/>
          <w:iCs/>
          <w:sz w:val="24"/>
          <w:szCs w:val="24"/>
        </w:rPr>
        <w:t xml:space="preserve">Proceedings of the 58th Annual Meeting of the Association for Computational Linguistics</w:t>
      </w:r>
      <w:r>
        <w:rPr>
          <w:rFonts w:ascii="Times New Roman" w:cs="Times New Roman" w:eastAsia="Times New Roman" w:hAnsi="Times New Roman"/>
          <w:sz w:val="24"/>
          <w:szCs w:val="24"/>
        </w:rPr>
        <w:t xml:space="preserve"> (pp. 8342–8360). Association for Computational Linguistics. https://doi.org/10.18653/v1/2020.acl-main.740</w:t>
      </w:r>
    </w:p>
    <w:p>
      <w:pPr>
        <w:spacing w:after="240" w:line="240"/>
        <w:ind w:left="567" w:hanging="567"/>
        <w:jc w:val="left"/>
      </w:pPr>
      <w:r>
        <w:rPr>
          <w:rFonts w:ascii="Times New Roman" w:cs="Times New Roman" w:eastAsia="Times New Roman" w:hAnsi="Times New Roman"/>
          <w:sz w:val="24"/>
          <w:szCs w:val="24"/>
        </w:rPr>
        <w:t xml:space="preserve">Hassane, A. C. J. (2021). 2022 vais gostar: A onda de manifestações da juventude em Angola. </w:t>
      </w:r>
      <w:r>
        <w:rPr>
          <w:rFonts w:ascii="Times New Roman" w:cs="Times New Roman" w:eastAsia="Times New Roman" w:hAnsi="Times New Roman"/>
          <w:i/>
          <w:iCs/>
          <w:sz w:val="24"/>
          <w:szCs w:val="24"/>
        </w:rPr>
        <w:t xml:space="preserve">Revista Relações Internacionais e Diplomacia em Análise, 2</w:t>
      </w:r>
      <w:r>
        <w:rPr>
          <w:rFonts w:ascii="Times New Roman" w:cs="Times New Roman" w:eastAsia="Times New Roman" w:hAnsi="Times New Roman"/>
          <w:sz w:val="24"/>
          <w:szCs w:val="24"/>
        </w:rPr>
        <w:t xml:space="preserve">(3), 28–40.</w:t>
      </w:r>
    </w:p>
    <w:p>
      <w:pPr>
        <w:spacing w:after="240" w:line="240"/>
        <w:ind w:left="567" w:hanging="567"/>
        <w:jc w:val="left"/>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after="240" w:line="240"/>
        <w:ind w:left="567" w:hanging="567"/>
        <w:jc w:val="left"/>
      </w:pPr>
      <w:r>
        <w:rPr>
          <w:rFonts w:ascii="Times New Roman" w:cs="Times New Roman" w:eastAsia="Times New Roman" w:hAnsi="Times New Roman"/>
          <w:sz w:val="24"/>
          <w:szCs w:val="24"/>
        </w:rPr>
        <w:t xml:space="preserve">Joachims, T. (1998). Text categorization with support vector machines: Learning with many relevant features. In C. Nédellec &amp; C. Rouveirol (Eds.), </w:t>
      </w:r>
      <w:r>
        <w:rPr>
          <w:rFonts w:ascii="Times New Roman" w:cs="Times New Roman" w:eastAsia="Times New Roman" w:hAnsi="Times New Roman"/>
          <w:i/>
          <w:iCs/>
          <w:sz w:val="24"/>
          <w:szCs w:val="24"/>
        </w:rPr>
        <w:t xml:space="preserve">Machine Learning: ECML-98</w:t>
      </w:r>
      <w:r>
        <w:rPr>
          <w:rFonts w:ascii="Times New Roman" w:cs="Times New Roman" w:eastAsia="Times New Roman" w:hAnsi="Times New Roman"/>
          <w:sz w:val="24"/>
          <w:szCs w:val="24"/>
        </w:rPr>
        <w:t xml:space="preserve"> (pp. 137–142). Springer. https://doi.org/10.1007/BFb0026683</w:t>
      </w:r>
    </w:p>
    <w:p>
      <w:pPr>
        <w:spacing w:after="240" w:line="240"/>
        <w:ind w:left="567" w:hanging="567"/>
        <w:jc w:val="left"/>
      </w:pPr>
      <w:r>
        <w:rPr>
          <w:rFonts w:ascii="Times New Roman" w:cs="Times New Roman" w:eastAsia="Times New Roman" w:hAnsi="Times New Roman"/>
          <w:sz w:val="24"/>
          <w:szCs w:val="24"/>
        </w:rPr>
        <w:t xml:space="preserve">Kemp, S. (2025).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DataReportal. https://datareportal.com/reports/digital-2026-angola</w:t>
      </w:r>
    </w:p>
    <w:p>
      <w:pPr>
        <w:spacing w:after="240" w:line="240"/>
        <w:ind w:left="567" w:hanging="567"/>
        <w:jc w:val="left"/>
      </w:pPr>
      <w:r>
        <w:rPr>
          <w:rFonts w:ascii="Times New Roman" w:cs="Times New Roman" w:eastAsia="Times New Roman" w:hAnsi="Times New Roman"/>
          <w:sz w:val="24"/>
          <w:szCs w:val="24"/>
        </w:rPr>
        <w:t xml:space="preserve">Landis, J. R., &amp; Koch, G. G. (1977). The measurement of observer agreement for categorical data. </w:t>
      </w:r>
      <w:r>
        <w:rPr>
          <w:rFonts w:ascii="Times New Roman" w:cs="Times New Roman" w:eastAsia="Times New Roman" w:hAnsi="Times New Roman"/>
          <w:i/>
          <w:iCs/>
          <w:sz w:val="24"/>
          <w:szCs w:val="24"/>
        </w:rPr>
        <w:t xml:space="preserve">Biometrics, 33</w:t>
      </w:r>
      <w:r>
        <w:rPr>
          <w:rFonts w:ascii="Times New Roman" w:cs="Times New Roman" w:eastAsia="Times New Roman" w:hAnsi="Times New Roman"/>
          <w:sz w:val="24"/>
          <w:szCs w:val="24"/>
        </w:rPr>
        <w:t xml:space="preserve">(1), 159–174. https://doi.org/10.2307/2529310</w:t>
      </w:r>
    </w:p>
    <w:p>
      <w:pPr>
        <w:spacing w:after="240" w:line="240"/>
        <w:ind w:left="567" w:hanging="567"/>
        <w:jc w:val="left"/>
      </w:pPr>
      <w:r>
        <w:rPr>
          <w:rFonts w:ascii="Times New Roman" w:cs="Times New Roman" w:eastAsia="Times New Roman" w:hAnsi="Times New Roman"/>
          <w:sz w:val="24"/>
          <w:szCs w:val="24"/>
        </w:rPr>
        <w:t xml:space="preserve">Leite, J. A., Silva, D., Bontcheva, K., &amp; Scarton, C. (2020). Toxic language detection in social media for Brazilian Portuguese: New dataset and multilingual analysis. In </w:t>
      </w:r>
      <w:r>
        <w:rPr>
          <w:rFonts w:ascii="Times New Roman" w:cs="Times New Roman" w:eastAsia="Times New Roman" w:hAnsi="Times New Roman"/>
          <w:i/>
          <w:iCs/>
          <w:sz w:val="24"/>
          <w:szCs w:val="24"/>
        </w:rPr>
        <w:t xml:space="preserve">Proceedings of the 1st Conference of the Asia-Pacific Chapter of the Association for Computational Linguistics and the 10th International Joint Conference on Natural Language Processing</w:t>
      </w:r>
      <w:r>
        <w:rPr>
          <w:rFonts w:ascii="Times New Roman" w:cs="Times New Roman" w:eastAsia="Times New Roman" w:hAnsi="Times New Roman"/>
          <w:sz w:val="24"/>
          <w:szCs w:val="24"/>
        </w:rPr>
        <w:t xml:space="preserve"> (pp. 914–924). Association for Computational Linguistics.</w:t>
      </w:r>
    </w:p>
    <w:p>
      <w:pPr>
        <w:spacing w:after="240" w:line="240"/>
        <w:ind w:left="567" w:hanging="567"/>
        <w:jc w:val="left"/>
      </w:pPr>
      <w:r>
        <w:rPr>
          <w:rFonts w:ascii="Times New Roman" w:cs="Times New Roman" w:eastAsia="Times New Roman" w:hAnsi="Times New Roman"/>
          <w:sz w:val="24"/>
          <w:szCs w:val="24"/>
        </w:rPr>
        <w:t xml:space="preserve">Marcon, F. (2019). Agências estetizadas: Juventudes, mobilizações e ativismos em Angola. </w:t>
      </w:r>
      <w:r>
        <w:rPr>
          <w:rFonts w:ascii="Times New Roman" w:cs="Times New Roman" w:eastAsia="Times New Roman" w:hAnsi="Times New Roman"/>
          <w:i/>
          <w:iCs/>
          <w:sz w:val="24"/>
          <w:szCs w:val="24"/>
        </w:rPr>
        <w:t xml:space="preserve">Crítica e Sociedade, 9</w:t>
      </w:r>
      <w:r>
        <w:rPr>
          <w:rFonts w:ascii="Times New Roman" w:cs="Times New Roman" w:eastAsia="Times New Roman" w:hAnsi="Times New Roman"/>
          <w:sz w:val="24"/>
          <w:szCs w:val="24"/>
        </w:rPr>
        <w:t xml:space="preserve">(2). https://doi.org/10.14393/CEv9n2-2019</w:t>
      </w:r>
    </w:p>
    <w:p>
      <w:pPr>
        <w:spacing w:after="240" w:line="240"/>
        <w:ind w:left="567" w:hanging="567"/>
        <w:jc w:val="left"/>
      </w:pPr>
      <w:r>
        <w:rPr>
          <w:rFonts w:ascii="Times New Roman" w:cs="Times New Roman" w:eastAsia="Times New Roman" w:hAnsi="Times New Roman"/>
          <w:sz w:val="24"/>
          <w:szCs w:val="24"/>
        </w:rPr>
        <w:t xml:space="preserve">McNemar, Q. (1947). Note on the sampling error of the difference between correlated proportions or percentages. </w:t>
      </w:r>
      <w:r>
        <w:rPr>
          <w:rFonts w:ascii="Times New Roman" w:cs="Times New Roman" w:eastAsia="Times New Roman" w:hAnsi="Times New Roman"/>
          <w:i/>
          <w:iCs/>
          <w:sz w:val="24"/>
          <w:szCs w:val="24"/>
        </w:rPr>
        <w:t xml:space="preserve">Psychometrika, 12</w:t>
      </w:r>
      <w:r>
        <w:rPr>
          <w:rFonts w:ascii="Times New Roman" w:cs="Times New Roman" w:eastAsia="Times New Roman" w:hAnsi="Times New Roman"/>
          <w:sz w:val="24"/>
          <w:szCs w:val="24"/>
        </w:rPr>
        <w:t xml:space="preserve">(2), 153–157. https://doi.org/10.1007/BF02295996</w:t>
      </w:r>
    </w:p>
    <w:p>
      <w:pPr>
        <w:spacing w:after="240" w:line="240"/>
        <w:ind w:left="567" w:hanging="567"/>
        <w:jc w:val="left"/>
      </w:pPr>
      <w:r>
        <w:rPr>
          <w:rFonts w:ascii="Times New Roman" w:cs="Times New Roman" w:eastAsia="Times New Roman" w:hAnsi="Times New Roman"/>
          <w:sz w:val="24"/>
          <w:szCs w:val="24"/>
        </w:rPr>
        <w:t xml:space="preserve">Mitchell, M., Wu, S., Zaldivar, A., Barnes, P., Vasserman, L., Hutchinson, B., Spitzer, E., Raji, I. D., &amp; Gebru, T. (2019). Model cards for model reporting. In </w:t>
      </w:r>
      <w:r>
        <w:rPr>
          <w:rFonts w:ascii="Times New Roman" w:cs="Times New Roman" w:eastAsia="Times New Roman" w:hAnsi="Times New Roman"/>
          <w:i/>
          <w:iCs/>
          <w:sz w:val="24"/>
          <w:szCs w:val="24"/>
        </w:rPr>
        <w:t xml:space="preserve">Proceedings of the Conference on Fairness, Accountability, and Transparency</w:t>
      </w:r>
      <w:r>
        <w:rPr>
          <w:rFonts w:ascii="Times New Roman" w:cs="Times New Roman" w:eastAsia="Times New Roman" w:hAnsi="Times New Roman"/>
          <w:sz w:val="24"/>
          <w:szCs w:val="24"/>
        </w:rPr>
        <w:t xml:space="preserve"> (pp. 220–229). ACM. https://doi.org/10.1145/3287560.3287596</w:t>
      </w:r>
    </w:p>
    <w:p>
      <w:pPr>
        <w:spacing w:after="240" w:line="240"/>
        <w:ind w:left="567" w:hanging="567"/>
        <w:jc w:val="left"/>
      </w:pPr>
      <w:r>
        <w:rPr>
          <w:rFonts w:ascii="Times New Roman" w:cs="Times New Roman" w:eastAsia="Times New Roman" w:hAnsi="Times New Roman"/>
          <w:sz w:val="24"/>
          <w:szCs w:val="24"/>
        </w:rPr>
        <w:t xml:space="preserve">Monaco, N., &amp; Arnaudo, D. (2020). </w:t>
      </w:r>
      <w:r>
        <w:rPr>
          <w:rFonts w:ascii="Times New Roman" w:cs="Times New Roman" w:eastAsia="Times New Roman" w:hAnsi="Times New Roman"/>
          <w:i/>
          <w:iCs/>
          <w:sz w:val="24"/>
          <w:szCs w:val="24"/>
        </w:rPr>
        <w:t xml:space="preserve">Análise de dados para o monitoramento de redes sociais</w:t>
      </w:r>
      <w:r>
        <w:rPr>
          <w:rFonts w:ascii="Times New Roman" w:cs="Times New Roman" w:eastAsia="Times New Roman" w:hAnsi="Times New Roman"/>
          <w:sz w:val="24"/>
          <w:szCs w:val="24"/>
        </w:rPr>
        <w:t xml:space="preserve">. National Democratic Institute.</w:t>
      </w:r>
    </w:p>
    <w:p>
      <w:pPr>
        <w:spacing w:after="240" w:line="240"/>
        <w:ind w:left="567" w:hanging="567"/>
        <w:jc w:val="left"/>
      </w:pPr>
      <w:r>
        <w:rPr>
          <w:rFonts w:ascii="Times New Roman" w:cs="Times New Roman" w:eastAsia="Times New Roman" w:hAnsi="Times New Roman"/>
          <w:sz w:val="24"/>
          <w:szCs w:val="24"/>
        </w:rPr>
        <w:t xml:space="preserve">Monteiro, R. A., Santos, R. L. S., Pardo, T. A. S., de Almeida, T. A., Ruiz, E. E. S., &amp; Vale, O. A. (2018). Contributions to the study of fake news in Portuguese: New corpus and automatic detection results. In </w:t>
      </w:r>
      <w:r>
        <w:rPr>
          <w:rFonts w:ascii="Times New Roman" w:cs="Times New Roman" w:eastAsia="Times New Roman" w:hAnsi="Times New Roman"/>
          <w:i/>
          <w:iCs/>
          <w:sz w:val="24"/>
          <w:szCs w:val="24"/>
        </w:rPr>
        <w:t xml:space="preserve">Computational Processing of the Portuguese Language: PROPOR 2018</w:t>
      </w:r>
      <w:r>
        <w:rPr>
          <w:rFonts w:ascii="Times New Roman" w:cs="Times New Roman" w:eastAsia="Times New Roman" w:hAnsi="Times New Roman"/>
          <w:sz w:val="24"/>
          <w:szCs w:val="24"/>
        </w:rPr>
        <w:t xml:space="preserve"> (pp. 324–334). Springer. https://doi.org/10.1007/978-3-319-99722-3_33</w:t>
      </w:r>
    </w:p>
    <w:p>
      <w:pPr>
        <w:spacing w:after="240" w:line="240"/>
        <w:ind w:left="567" w:hanging="567"/>
        <w:jc w:val="left"/>
      </w:pPr>
      <w:r>
        <w:rPr>
          <w:rFonts w:ascii="Times New Roman" w:cs="Times New Roman" w:eastAsia="Times New Roman" w:hAnsi="Times New Roman"/>
          <w:sz w:val="24"/>
          <w:szCs w:val="24"/>
        </w:rPr>
        <w:t xml:space="preserve">Palantir Technologies. (2021). </w:t>
      </w:r>
      <w:r>
        <w:rPr>
          <w:rFonts w:ascii="Times New Roman" w:cs="Times New Roman" w:eastAsia="Times New Roman" w:hAnsi="Times New Roman"/>
          <w:i/>
          <w:iCs/>
          <w:sz w:val="24"/>
          <w:szCs w:val="24"/>
        </w:rPr>
        <w:t xml:space="preserve">Palantir Gotham: Enterprise platform for mission planning and intelligence analysis</w:t>
      </w:r>
      <w:r>
        <w:rPr>
          <w:rFonts w:ascii="Times New Roman" w:cs="Times New Roman" w:eastAsia="Times New Roman" w:hAnsi="Times New Roman"/>
          <w:sz w:val="24"/>
          <w:szCs w:val="24"/>
        </w:rPr>
        <w:t xml:space="preserve">. Digital Marketplace, UK Government.</w:t>
      </w:r>
    </w:p>
    <w:p>
      <w:pPr>
        <w:spacing w:after="240" w:line="240"/>
        <w:ind w:left="567" w:hanging="567"/>
        <w:jc w:val="left"/>
      </w:pPr>
      <w:r>
        <w:rPr>
          <w:rFonts w:ascii="Times New Roman" w:cs="Times New Roman" w:eastAsia="Times New Roman" w:hAnsi="Times New Roman"/>
          <w:sz w:val="24"/>
          <w:szCs w:val="24"/>
        </w:rPr>
        <w:t xml:space="preserve">Poletto, F., Basile, V., Sanguinetti, M., Bosco, C., &amp; Patti, V. (2021). Resources and benchmark corpora for hate speech detection: A systematic review. </w:t>
      </w:r>
      <w:r>
        <w:rPr>
          <w:rFonts w:ascii="Times New Roman" w:cs="Times New Roman" w:eastAsia="Times New Roman" w:hAnsi="Times New Roman"/>
          <w:i/>
          <w:iCs/>
          <w:sz w:val="24"/>
          <w:szCs w:val="24"/>
        </w:rPr>
        <w:t xml:space="preserve">Language Resources and Evaluation, 55</w:t>
      </w:r>
      <w:r>
        <w:rPr>
          <w:rFonts w:ascii="Times New Roman" w:cs="Times New Roman" w:eastAsia="Times New Roman" w:hAnsi="Times New Roman"/>
          <w:sz w:val="24"/>
          <w:szCs w:val="24"/>
        </w:rPr>
        <w:t xml:space="preserve">(2), 477–523. https://doi.org/10.1007/s10579-020-09502-8</w:t>
      </w:r>
    </w:p>
    <w:p>
      <w:pPr>
        <w:spacing w:after="240" w:line="240"/>
        <w:ind w:left="567" w:hanging="567"/>
        <w:jc w:val="left"/>
      </w:pPr>
      <w:r>
        <w:rPr>
          <w:rFonts w:ascii="Times New Roman" w:cs="Times New Roman" w:eastAsia="Times New Roman" w:hAnsi="Times New Roman"/>
          <w:sz w:val="24"/>
          <w:szCs w:val="24"/>
        </w:rPr>
        <w:t xml:space="preserve">República de Angola. (2010). </w:t>
      </w:r>
      <w:r>
        <w:rPr>
          <w:rFonts w:ascii="Times New Roman" w:cs="Times New Roman" w:eastAsia="Times New Roman" w:hAnsi="Times New Roman"/>
          <w:i/>
          <w:iCs/>
          <w:sz w:val="24"/>
          <w:szCs w:val="24"/>
        </w:rPr>
        <w:t xml:space="preserve">Constituição da República de Angola</w:t>
      </w:r>
      <w:r>
        <w:rPr>
          <w:rFonts w:ascii="Times New Roman" w:cs="Times New Roman" w:eastAsia="Times New Roman" w:hAnsi="Times New Roman"/>
          <w:sz w:val="24"/>
          <w:szCs w:val="24"/>
        </w:rPr>
        <w:t xml:space="preserve">. Assembleia Nacional.</w:t>
      </w:r>
    </w:p>
    <w:p>
      <w:pPr>
        <w:spacing w:after="240" w:line="240"/>
        <w:ind w:left="567" w:hanging="567"/>
        <w:jc w:val="left"/>
      </w:pPr>
      <w:r>
        <w:rPr>
          <w:rFonts w:ascii="Times New Roman" w:cs="Times New Roman" w:eastAsia="Times New Roman" w:hAnsi="Times New Roman"/>
          <w:sz w:val="24"/>
          <w:szCs w:val="24"/>
        </w:rPr>
        <w:t xml:space="preserve">República de Angola. (2011). Lei n.º 22/11, de 17 de Junho: Lei da Protecção de Dados Pessoais.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 n.º 114.</w:t>
      </w:r>
    </w:p>
    <w:p>
      <w:pPr>
        <w:spacing w:after="240" w:line="240"/>
        <w:ind w:left="567" w:hanging="567"/>
        <w:jc w:val="left"/>
      </w:pPr>
      <w:r>
        <w:rPr>
          <w:rFonts w:ascii="Times New Roman" w:cs="Times New Roman" w:eastAsia="Times New Roman" w:hAnsi="Times New Roman"/>
          <w:sz w:val="24"/>
          <w:szCs w:val="24"/>
        </w:rPr>
        <w:t xml:space="preserve">República de Angola. (2017). Lei n.º 7/17, de 16 de Fevereiro: Lei de Protecção das Redes e Sistemas Informáticos.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w:t>
      </w:r>
    </w:p>
    <w:p>
      <w:pPr>
        <w:spacing w:after="240" w:line="240"/>
        <w:ind w:left="567" w:hanging="567"/>
        <w:jc w:val="left"/>
      </w:pPr>
      <w:r>
        <w:rPr>
          <w:rFonts w:ascii="Times New Roman" w:cs="Times New Roman" w:eastAsia="Times New Roman" w:hAnsi="Times New Roman"/>
          <w:sz w:val="24"/>
          <w:szCs w:val="24"/>
        </w:rPr>
        <w:t xml:space="preserve">Runfola, D., Anderson, A., Baier, H., Crittenden, M., Dowker, E., Fuhrig, S., Goodman, S., Grimsley, G., Layko, R., Melville, G., Mulder, M., Oberman, R., Panganiban, J., Peck, A., Seitz, L., Shea, S., Slevin, H., Youngerman, R., &amp; Hobbs, L. (2020). geoBoundaries: A global database of political administrative boundaries. </w:t>
      </w:r>
      <w:r>
        <w:rPr>
          <w:rFonts w:ascii="Times New Roman" w:cs="Times New Roman" w:eastAsia="Times New Roman" w:hAnsi="Times New Roman"/>
          <w:i/>
          <w:iCs/>
          <w:sz w:val="24"/>
          <w:szCs w:val="24"/>
        </w:rPr>
        <w:t xml:space="preserve">PLoS ONE, 15</w:t>
      </w:r>
      <w:r>
        <w:rPr>
          <w:rFonts w:ascii="Times New Roman" w:cs="Times New Roman" w:eastAsia="Times New Roman" w:hAnsi="Times New Roman"/>
          <w:sz w:val="24"/>
          <w:szCs w:val="24"/>
        </w:rPr>
        <w:t xml:space="preserve">(4), e0231866. https://doi.org/10.1371/journal.pone.0231866</w:t>
      </w:r>
    </w:p>
    <w:p>
      <w:pPr>
        <w:spacing w:after="240" w:line="240"/>
        <w:ind w:left="567" w:hanging="567"/>
        <w:jc w:val="left"/>
      </w:pPr>
      <w:r>
        <w:rPr>
          <w:rFonts w:ascii="Times New Roman" w:cs="Times New Roman" w:eastAsia="Times New Roman" w:hAnsi="Times New Roman"/>
          <w:sz w:val="24"/>
          <w:szCs w:val="24"/>
        </w:rPr>
        <w:t xml:space="preserve">Sambaca, S. C., &amp; Pessoa, S. N. (2026). </w:t>
      </w:r>
      <w:r>
        <w:rPr>
          <w:rFonts w:ascii="Times New Roman" w:cs="Times New Roman" w:eastAsia="Times New Roman" w:hAnsi="Times New Roman"/>
          <w:i/>
          <w:iCs/>
          <w:sz w:val="24"/>
          <w:szCs w:val="24"/>
        </w:rPr>
        <w:t xml:space="preserve">Eleições em Angola: A influência das redes sociais no comportamento eleitoral dos jovens angolanos em 2022</w:t>
      </w:r>
      <w:r>
        <w:rPr>
          <w:rFonts w:ascii="Times New Roman" w:cs="Times New Roman" w:eastAsia="Times New Roman" w:hAnsi="Times New Roman"/>
          <w:sz w:val="24"/>
          <w:szCs w:val="24"/>
        </w:rPr>
        <w:t xml:space="preserve">. Zenodo. https://doi.org/10.5281/zenodo.18363947</w:t>
      </w:r>
    </w:p>
    <w:p>
      <w:pPr>
        <w:spacing w:after="240" w:line="240"/>
        <w:ind w:left="567" w:hanging="567"/>
        <w:jc w:val="left"/>
      </w:pPr>
      <w:r>
        <w:rPr>
          <w:rFonts w:ascii="Times New Roman" w:cs="Times New Roman" w:eastAsia="Times New Roman" w:hAnsi="Times New Roman"/>
          <w:sz w:val="24"/>
          <w:szCs w:val="24"/>
        </w:rPr>
        <w:t xml:space="preserve">Schuster, M., &amp; Paliwal, K. K. (1997). Bidirectional recurrent neural networks. </w:t>
      </w:r>
      <w:r>
        <w:rPr>
          <w:rFonts w:ascii="Times New Roman" w:cs="Times New Roman" w:eastAsia="Times New Roman" w:hAnsi="Times New Roman"/>
          <w:i/>
          <w:iCs/>
          <w:sz w:val="24"/>
          <w:szCs w:val="24"/>
        </w:rPr>
        <w:t xml:space="preserve">IEEE Transactions on Signal Processing, 45</w:t>
      </w:r>
      <w:r>
        <w:rPr>
          <w:rFonts w:ascii="Times New Roman" w:cs="Times New Roman" w:eastAsia="Times New Roman" w:hAnsi="Times New Roman"/>
          <w:sz w:val="24"/>
          <w:szCs w:val="24"/>
        </w:rPr>
        <w:t xml:space="preserve">(11), 2673–2681. https://doi.org/10.1109/78.650093</w:t>
      </w:r>
    </w:p>
    <w:p>
      <w:pPr>
        <w:spacing w:after="240" w:line="240"/>
        <w:ind w:left="567" w:hanging="567"/>
        <w:jc w:val="left"/>
      </w:pPr>
      <w:r>
        <w:rPr>
          <w:rFonts w:ascii="Times New Roman" w:cs="Times New Roman" w:eastAsia="Times New Roman" w:hAnsi="Times New Roman"/>
          <w:sz w:val="24"/>
          <w:szCs w:val="24"/>
        </w:rPr>
        <w:t xml:space="preserve">Sette Câmara, T. (2016). Terrorismo na era da Internet: O uso de redes sociais pelo Estado Islâmico. </w:t>
      </w:r>
      <w:r>
        <w:rPr>
          <w:rFonts w:ascii="Times New Roman" w:cs="Times New Roman" w:eastAsia="Times New Roman" w:hAnsi="Times New Roman"/>
          <w:i/>
          <w:iCs/>
          <w:sz w:val="24"/>
          <w:szCs w:val="24"/>
        </w:rPr>
        <w:t xml:space="preserve">Revista Relações Internacionais no Mundo Atual, 21</w:t>
      </w:r>
      <w:r>
        <w:rPr>
          <w:rFonts w:ascii="Times New Roman" w:cs="Times New Roman" w:eastAsia="Times New Roman" w:hAnsi="Times New Roman"/>
          <w:sz w:val="24"/>
          <w:szCs w:val="24"/>
        </w:rPr>
        <w:t xml:space="preserve">(1), 196–221.</w:t>
      </w:r>
    </w:p>
    <w:p>
      <w:pPr>
        <w:spacing w:after="240" w:line="240"/>
        <w:ind w:left="567" w:hanging="567"/>
        <w:jc w:val="left"/>
      </w:pPr>
      <w:r>
        <w:rPr>
          <w:rFonts w:ascii="Times New Roman" w:cs="Times New Roman" w:eastAsia="Times New Roman" w:hAnsi="Times New Roman"/>
          <w:sz w:val="24"/>
          <w:szCs w:val="24"/>
        </w:rPr>
        <w:t xml:space="preserve">Sokolova, M., &amp; Lapalme, G. (2009). A systematic analysis of performance measures for classification tasks. </w:t>
      </w:r>
      <w:r>
        <w:rPr>
          <w:rFonts w:ascii="Times New Roman" w:cs="Times New Roman" w:eastAsia="Times New Roman" w:hAnsi="Times New Roman"/>
          <w:i/>
          <w:iCs/>
          <w:sz w:val="24"/>
          <w:szCs w:val="24"/>
        </w:rPr>
        <w:t xml:space="preserve">Information Processing &amp; Management, 45</w:t>
      </w:r>
      <w:r>
        <w:rPr>
          <w:rFonts w:ascii="Times New Roman" w:cs="Times New Roman" w:eastAsia="Times New Roman" w:hAnsi="Times New Roman"/>
          <w:sz w:val="24"/>
          <w:szCs w:val="24"/>
        </w:rPr>
        <w:t xml:space="preserve">(4), 427–437. https://doi.org/10.1016/j.ipm.2009.03.002</w:t>
      </w:r>
    </w:p>
    <w:p>
      <w:pPr>
        <w:spacing w:after="240" w:line="240"/>
        <w:ind w:left="567" w:hanging="567"/>
        <w:jc w:val="left"/>
      </w:pPr>
      <w:r>
        <w:rPr>
          <w:rFonts w:ascii="Times New Roman" w:cs="Times New Roman" w:eastAsia="Times New Roman" w:hAnsi="Times New Roman"/>
          <w:sz w:val="24"/>
          <w:szCs w:val="24"/>
        </w:rPr>
        <w:t xml:space="preserve">Souza, F., Nogueira, R., &amp; Lotufo, R. (2020). BERTimbau: Pretrained BERT models for Brazilian Portuguese. In </w:t>
      </w:r>
      <w:r>
        <w:rPr>
          <w:rFonts w:ascii="Times New Roman" w:cs="Times New Roman" w:eastAsia="Times New Roman" w:hAnsi="Times New Roman"/>
          <w:i/>
          <w:iCs/>
          <w:sz w:val="24"/>
          <w:szCs w:val="24"/>
        </w:rPr>
        <w:t xml:space="preserve">Intelligent Systems: BRACIS 2020</w:t>
      </w:r>
      <w:r>
        <w:rPr>
          <w:rFonts w:ascii="Times New Roman" w:cs="Times New Roman" w:eastAsia="Times New Roman" w:hAnsi="Times New Roman"/>
          <w:sz w:val="24"/>
          <w:szCs w:val="24"/>
        </w:rPr>
        <w:t xml:space="preserve"> (pp. 403–417). Springer. https://doi.org/10.1007/978-3-030-61377-8_28</w:t>
      </w:r>
    </w:p>
    <w:p>
      <w:pPr>
        <w:spacing w:after="240" w:line="240"/>
        <w:ind w:left="567" w:hanging="567"/>
        <w:jc w:val="left"/>
      </w:pPr>
      <w:r>
        <w:rPr>
          <w:rFonts w:ascii="Times New Roman" w:cs="Times New Roman" w:eastAsia="Times New Roman" w:hAnsi="Times New Roman"/>
          <w:sz w:val="24"/>
          <w:szCs w:val="24"/>
        </w:rPr>
        <w:t xml:space="preserve">Thelwall, M. (2009). Social network sites: Users and uses. </w:t>
      </w:r>
      <w:r>
        <w:rPr>
          <w:rFonts w:ascii="Times New Roman" w:cs="Times New Roman" w:eastAsia="Times New Roman" w:hAnsi="Times New Roman"/>
          <w:i/>
          <w:iCs/>
          <w:sz w:val="24"/>
          <w:szCs w:val="24"/>
        </w:rPr>
        <w:t xml:space="preserve">Advances in Computers, 76</w:t>
      </w:r>
      <w:r>
        <w:rPr>
          <w:rFonts w:ascii="Times New Roman" w:cs="Times New Roman" w:eastAsia="Times New Roman" w:hAnsi="Times New Roman"/>
          <w:sz w:val="24"/>
          <w:szCs w:val="24"/>
        </w:rPr>
        <w:t xml:space="preserve">, 19–73. https://doi.org/10.1016/S0065-2458(09)01002-X</w:t>
      </w:r>
    </w:p>
    <w:p>
      <w:pPr>
        <w:spacing w:after="240" w:line="240"/>
        <w:ind w:left="567" w:hanging="567"/>
        <w:jc w:val="left"/>
      </w:pPr>
      <w:r>
        <w:rPr>
          <w:rFonts w:ascii="Times New Roman" w:cs="Times New Roman" w:eastAsia="Times New Roman" w:hAnsi="Times New Roman"/>
          <w:sz w:val="24"/>
          <w:szCs w:val="24"/>
        </w:rPr>
        <w:t xml:space="preserve">UNESCO. (2019). </w:t>
      </w:r>
      <w:r>
        <w:rPr>
          <w:rFonts w:ascii="Times New Roman" w:cs="Times New Roman" w:eastAsia="Times New Roman" w:hAnsi="Times New Roman"/>
          <w:i/>
          <w:iCs/>
          <w:sz w:val="24"/>
          <w:szCs w:val="24"/>
        </w:rPr>
        <w:t xml:space="preserve">Journalism, fake news &amp; disinformation: Handbook for journalism education and training</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UNESCO. (2021). </w:t>
      </w:r>
      <w:r>
        <w:rPr>
          <w:rFonts w:ascii="Times New Roman" w:cs="Times New Roman" w:eastAsia="Times New Roman" w:hAnsi="Times New Roman"/>
          <w:i/>
          <w:iCs/>
          <w:sz w:val="24"/>
          <w:szCs w:val="24"/>
        </w:rPr>
        <w:t xml:space="preserve">Recommendation on the ethics of artificial intelligence</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União Europeia. (2024). Regulamento (UE) 2024/1689 do Parlamento Europeu e do Conselho, de 13 de junho de 2024, que cria regras harmonizadas em matéria de inteligência artificial.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Série L.</w:t>
      </w:r>
    </w:p>
    <w:p>
      <w:pPr>
        <w:spacing w:after="240" w:line="240"/>
        <w:ind w:left="567" w:hanging="567"/>
        <w:jc w:val="left"/>
      </w:pPr>
      <w:r>
        <w:rPr>
          <w:rFonts w:ascii="Times New Roman" w:cs="Times New Roman" w:eastAsia="Times New Roman" w:hAnsi="Times New Roman"/>
          <w:sz w:val="24"/>
          <w:szCs w:val="24"/>
        </w:rPr>
        <w:t xml:space="preserve">Vargas, F., Carvalho, I., Rodrigues de Góes, F., Pardo, T., &amp; Benevenuto, F. (2022). HateBR: A large expert annotated corpus of Brazilian Instagram comments for offensive language and hate speech detection.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(pp. 7174–7183). European Language Resources Association.</w:t>
      </w:r>
    </w:p>
    <w:p>
      <w:pPr>
        <w:spacing w:after="240" w:line="240"/>
        <w:ind w:left="567" w:hanging="567"/>
        <w:jc w:val="left"/>
      </w:pPr>
      <w:r>
        <w:rPr>
          <w:rFonts w:ascii="Times New Roman" w:cs="Times New Roman" w:eastAsia="Times New Roman" w:hAnsi="Times New Roman"/>
          <w:sz w:val="24"/>
          <w:szCs w:val="24"/>
        </w:rPr>
        <w:t xml:space="preserve">Vaswani, A., Shazeer, N., Parmar, N., Uszkoreit, J., Jones, L., Gomez, A. N., Kaiser, Ł., &amp; Polosukhin, I. (2017). Attention is all you need. In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(pp. 5998–6008). Curran Associates.</w:t>
      </w:r>
    </w:p>
    <w:p>
      <w:pPr>
        <w:spacing w:after="240" w:line="240"/>
        <w:ind w:left="567" w:hanging="567"/>
        <w:jc w:val="left"/>
      </w:pPr>
      <w:r>
        <w:rPr>
          <w:rFonts w:ascii="Times New Roman" w:cs="Times New Roman" w:eastAsia="Times New Roman" w:hAnsi="Times New Roman"/>
          <w:sz w:val="24"/>
          <w:szCs w:val="24"/>
        </w:rPr>
        <w:t xml:space="preserve">Wardle, C., &amp; Derakhshan, H. (2017). </w:t>
      </w:r>
      <w:r>
        <w:rPr>
          <w:rFonts w:ascii="Times New Roman" w:cs="Times New Roman" w:eastAsia="Times New Roman" w:hAnsi="Times New Roman"/>
          <w:i/>
          <w:iCs/>
          <w:sz w:val="24"/>
          <w:szCs w:val="24"/>
        </w:rPr>
        <w:t xml:space="preserve">Information disorder: Toward an interdisciplinary framework for research and policy making</w:t>
      </w:r>
      <w:r>
        <w:rPr>
          <w:rFonts w:ascii="Times New Roman" w:cs="Times New Roman" w:eastAsia="Times New Roman" w:hAnsi="Times New Roman"/>
          <w:sz w:val="24"/>
          <w:szCs w:val="24"/>
        </w:rPr>
        <w:t xml:space="preserve"> (Relatório DGI(2017)09). Conselho da Europa.</w:t>
      </w:r>
    </w:p>
    <w:p>
      <w:pPr>
        <w:spacing w:after="240" w:line="240"/>
        <w:ind w:left="567" w:hanging="567"/>
        <w:jc w:val="left"/>
      </w:pPr>
      <w:r>
        <w:rPr>
          <w:rFonts w:ascii="Times New Roman" w:cs="Times New Roman" w:eastAsia="Times New Roman" w:hAnsi="Times New Roman"/>
          <w:sz w:val="24"/>
          <w:szCs w:val="24"/>
        </w:rPr>
        <w:t xml:space="preserve">Woolley, S. C., &amp; Howard, P. N. (2017). </w:t>
      </w:r>
      <w:r>
        <w:rPr>
          <w:rFonts w:ascii="Times New Roman" w:cs="Times New Roman" w:eastAsia="Times New Roman" w:hAnsi="Times New Roman"/>
          <w:i/>
          <w:iCs/>
          <w:sz w:val="24"/>
          <w:szCs w:val="24"/>
        </w:rPr>
        <w:t xml:space="preserve">Computational propaganda worldwide: Executive summary</w:t>
      </w:r>
      <w:r>
        <w:rPr>
          <w:rFonts w:ascii="Times New Roman" w:cs="Times New Roman" w:eastAsia="Times New Roman" w:hAnsi="Times New Roman"/>
          <w:sz w:val="24"/>
          <w:szCs w:val="24"/>
        </w:rPr>
        <w:t xml:space="preserve"> (Working Paper 2017.11). Oxford Internet Institute.</w:t>
      </w:r>
    </w:p>
    <w:p>
      <w:pPr>
        <w:sectPr>
          <w:headerReference w:type="default" r:id="rId23"/>
          <w:footerReference w:type="default" r:id="rId24"/>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GLOSSÁRIO</w:t>
      </w:r>
    </w:p>
    <w:p>
      <w:pPr>
        <w:spacing w:after="140" w:line="300"/>
        <w:jc w:val="both"/>
      </w:pPr>
      <w:r>
        <w:rPr>
          <w:rFonts w:ascii="Times New Roman" w:cs="Times New Roman" w:eastAsia="Times New Roman" w:hAnsi="Times New Roman"/>
          <w:b/>
          <w:bCs/>
          <w:sz w:val="24"/>
          <w:szCs w:val="24"/>
        </w:rPr>
        <w:t xml:space="preserve">AdamW.</w:t>
      </w:r>
      <w:r>
        <w:rPr>
          <w:rFonts w:ascii="Times New Roman" w:cs="Times New Roman" w:eastAsia="Times New Roman" w:hAnsi="Times New Roman"/>
          <w:sz w:val="24"/>
          <w:szCs w:val="24"/>
        </w:rPr>
        <w:t xml:space="preserve"> Variante do optimizador Adam com decaimento de pesos desacoplado, habitual no ajuste fino de modelos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Ajuste fino.</w:t>
      </w:r>
      <w:r>
        <w:rPr>
          <w:rFonts w:ascii="Times New Roman" w:cs="Times New Roman" w:eastAsia="Times New Roman" w:hAnsi="Times New Roman"/>
          <w:sz w:val="24"/>
          <w:szCs w:val="24"/>
        </w:rPr>
        <w:t xml:space="preserve"> Treino adicional de um modelo pré-treinado numa tarefa específica, com dados anotados dessa tarefa.</w:t>
      </w:r>
    </w:p>
    <w:p>
      <w:pPr>
        <w:spacing w:after="140" w:line="300"/>
        <w:jc w:val="both"/>
      </w:pPr>
      <w:r>
        <w:rPr>
          <w:rFonts w:ascii="Times New Roman" w:cs="Times New Roman" w:eastAsia="Times New Roman" w:hAnsi="Times New Roman"/>
          <w:b/>
          <w:bCs/>
          <w:sz w:val="24"/>
          <w:szCs w:val="24"/>
        </w:rPr>
        <w:t xml:space="preserve">Aprendizagem de atalhos.</w:t>
      </w:r>
      <w:r>
        <w:rPr>
          <w:rFonts w:ascii="Times New Roman" w:cs="Times New Roman" w:eastAsia="Times New Roman" w:hAnsi="Times New Roman"/>
          <w:sz w:val="24"/>
          <w:szCs w:val="24"/>
        </w:rPr>
        <w:t xml:space="preserve"> Fenómeno em que o modelo aprende uma regularidade acidental dos dados de treino (por exemplo, o estilo de uma fonte) em vez da propriedade que se pretende detectar.</w:t>
      </w:r>
    </w:p>
    <w:p>
      <w:pPr>
        <w:spacing w:after="140" w:line="300"/>
        <w:jc w:val="both"/>
      </w:pPr>
      <w:r>
        <w:rPr>
          <w:rFonts w:ascii="Times New Roman" w:cs="Times New Roman" w:eastAsia="Times New Roman" w:hAnsi="Times New Roman"/>
          <w:b/>
          <w:bCs/>
          <w:sz w:val="24"/>
          <w:szCs w:val="24"/>
        </w:rPr>
        <w:t xml:space="preserve">AUC-ROC.</w:t>
      </w:r>
      <w:r>
        <w:rPr>
          <w:rFonts w:ascii="Times New Roman" w:cs="Times New Roman" w:eastAsia="Times New Roman" w:hAnsi="Times New Roman"/>
          <w:sz w:val="24"/>
          <w:szCs w:val="24"/>
        </w:rPr>
        <w:t xml:space="preserve"> Área sob a curva que relaciona a taxa de verdadeiros positivos com a taxa de falsos positivos para todos os limiares de decisão; 0,5 corresponde ao acaso e 1 à separação perfeita.</w:t>
      </w:r>
    </w:p>
    <w:p>
      <w:pPr>
        <w:spacing w:after="140" w:line="300"/>
        <w:jc w:val="both"/>
      </w:pPr>
      <w:r>
        <w:rPr>
          <w:rFonts w:ascii="Times New Roman" w:cs="Times New Roman" w:eastAsia="Times New Roman" w:hAnsi="Times New Roman"/>
          <w:b/>
          <w:bCs/>
          <w:sz w:val="24"/>
          <w:szCs w:val="24"/>
        </w:rPr>
        <w:t xml:space="preserve">BERTimbau.</w:t>
      </w:r>
      <w:r>
        <w:rPr>
          <w:rFonts w:ascii="Times New Roman" w:cs="Times New Roman" w:eastAsia="Times New Roman" w:hAnsi="Times New Roman"/>
          <w:sz w:val="24"/>
          <w:szCs w:val="24"/>
        </w:rPr>
        <w:t xml:space="preserve"> Versão do modelo BERT pré-treinada com texto em português do Brasil (Souza et al., 2020).</w:t>
      </w:r>
    </w:p>
    <w:p>
      <w:pPr>
        <w:spacing w:after="140" w:line="300"/>
        <w:jc w:val="both"/>
      </w:pPr>
      <w:r>
        <w:rPr>
          <w:rFonts w:ascii="Times New Roman" w:cs="Times New Roman" w:eastAsia="Times New Roman" w:hAnsi="Times New Roman"/>
          <w:b/>
          <w:bCs/>
          <w:sz w:val="24"/>
          <w:szCs w:val="24"/>
        </w:rPr>
        <w:t xml:space="preserve">Bootstrap.</w:t>
      </w:r>
      <w:r>
        <w:rPr>
          <w:rFonts w:ascii="Times New Roman" w:cs="Times New Roman" w:eastAsia="Times New Roman" w:hAnsi="Times New Roman"/>
          <w:sz w:val="24"/>
          <w:szCs w:val="24"/>
        </w:rPr>
        <w:t xml:space="preserve"> Método de reamostragem com reposição usado para estimar a variabilidade de uma estatística e construir intervalos de confiança.</w:t>
      </w:r>
    </w:p>
    <w:p>
      <w:pPr>
        <w:spacing w:after="140" w:line="300"/>
        <w:jc w:val="both"/>
      </w:pPr>
      <w:r>
        <w:rPr>
          <w:rFonts w:ascii="Times New Roman" w:cs="Times New Roman" w:eastAsia="Times New Roman" w:hAnsi="Times New Roman"/>
          <w:b/>
          <w:bCs/>
          <w:sz w:val="24"/>
          <w:szCs w:val="24"/>
        </w:rPr>
        <w:t xml:space="preserve">Corpus.</w:t>
      </w:r>
      <w:r>
        <w:rPr>
          <w:rFonts w:ascii="Times New Roman" w:cs="Times New Roman" w:eastAsia="Times New Roman" w:hAnsi="Times New Roman"/>
          <w:sz w:val="24"/>
          <w:szCs w:val="24"/>
        </w:rPr>
        <w:t xml:space="preserve"> Colecção estruturada de textos usada para treinar ou avaliar modelos de linguagem.</w:t>
      </w:r>
    </w:p>
    <w:p>
      <w:pPr>
        <w:spacing w:after="140" w:line="300"/>
        <w:jc w:val="both"/>
      </w:pPr>
      <w:r>
        <w:rPr>
          <w:rFonts w:ascii="Times New Roman" w:cs="Times New Roman" w:eastAsia="Times New Roman" w:hAnsi="Times New Roman"/>
          <w:b/>
          <w:bCs/>
          <w:sz w:val="24"/>
          <w:szCs w:val="24"/>
        </w:rPr>
        <w:t xml:space="preserve">Corpus híbrido.</w:t>
      </w:r>
      <w:r>
        <w:rPr>
          <w:rFonts w:ascii="Times New Roman" w:cs="Times New Roman" w:eastAsia="Times New Roman" w:hAnsi="Times New Roman"/>
          <w:sz w:val="24"/>
          <w:szCs w:val="24"/>
        </w:rPr>
        <w:t xml:space="preserve"> Nesta dissertação, a combinação do piloto angolano com os corpora públicos ToLD-BR, HateBR e Fake.br.</w:t>
      </w:r>
    </w:p>
    <w:p>
      <w:pPr>
        <w:spacing w:after="140" w:line="300"/>
        <w:jc w:val="both"/>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Média harmónica entre a precisão e a sensibilidade de uma categoria.</w:t>
      </w:r>
    </w:p>
    <w:p>
      <w:pPr>
        <w:spacing w:after="140" w:line="300"/>
        <w:jc w:val="both"/>
      </w:pP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Média simples dos F1 das categorias; dá a mesma importância a todas, independentemente da sua frequência.</w:t>
      </w:r>
    </w:p>
    <w:p>
      <w:pPr>
        <w:spacing w:after="140" w:line="300"/>
        <w:jc w:val="both"/>
      </w:pPr>
      <w:r>
        <w:rPr>
          <w:rFonts w:ascii="Times New Roman" w:cs="Times New Roman" w:eastAsia="Times New Roman" w:hAnsi="Times New Roman"/>
          <w:b/>
          <w:bCs/>
          <w:sz w:val="24"/>
          <w:szCs w:val="24"/>
        </w:rPr>
        <w:t xml:space="preserve">F1 ponderado.</w:t>
      </w:r>
      <w:r>
        <w:rPr>
          <w:rFonts w:ascii="Times New Roman" w:cs="Times New Roman" w:eastAsia="Times New Roman" w:hAnsi="Times New Roman"/>
          <w:sz w:val="24"/>
          <w:szCs w:val="24"/>
        </w:rPr>
        <w:t xml:space="preserve"> Média dos F1 das categorias ponderada pelo número de exemplos de cada uma; é dominado pelas categorias frequentes.</w:t>
      </w:r>
    </w:p>
    <w:p>
      <w:pPr>
        <w:spacing w:after="140" w:line="300"/>
        <w:jc w:val="both"/>
      </w:pPr>
      <w:r>
        <w:rPr>
          <w:rFonts w:ascii="Times New Roman" w:cs="Times New Roman" w:eastAsia="Times New Roman" w:hAnsi="Times New Roman"/>
          <w:b/>
          <w:bCs/>
          <w:sz w:val="24"/>
          <w:szCs w:val="24"/>
        </w:rPr>
        <w:t xml:space="preserve">Fila de revisão.</w:t>
      </w:r>
      <w:r>
        <w:rPr>
          <w:rFonts w:ascii="Times New Roman" w:cs="Times New Roman" w:eastAsia="Times New Roman" w:hAnsi="Times New Roman"/>
          <w:sz w:val="24"/>
          <w:szCs w:val="24"/>
        </w:rPr>
        <w:t xml:space="preserve"> Lista de publicações por rever, ordenada pela prioridade calculada pelo sistema.</w:t>
      </w:r>
    </w:p>
    <w:p>
      <w:pPr>
        <w:spacing w:after="140" w:line="300"/>
        <w:jc w:val="both"/>
      </w:pPr>
      <w:r>
        <w:rPr>
          <w:rFonts w:ascii="Times New Roman" w:cs="Times New Roman" w:eastAsia="Times New Roman" w:hAnsi="Times New Roman"/>
          <w:b/>
          <w:bCs/>
          <w:sz w:val="24"/>
          <w:szCs w:val="24"/>
        </w:rPr>
        <w:t xml:space="preserve">HMAC.</w:t>
      </w:r>
      <w:r>
        <w:rPr>
          <w:rFonts w:ascii="Times New Roman" w:cs="Times New Roman" w:eastAsia="Times New Roman" w:hAnsi="Times New Roman"/>
          <w:sz w:val="24"/>
          <w:szCs w:val="24"/>
        </w:rPr>
        <w:t xml:space="preserve"> Código de autenticação de mensagens baseado numa função de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e num segredo; usado para gerar pseudónimos que não podem ser revertidos por dicionário sem o segredo.</w:t>
      </w:r>
    </w:p>
    <w:p>
      <w:pPr>
        <w:spacing w:after="140" w:line="300"/>
        <w:jc w:val="both"/>
      </w:pPr>
      <w:r>
        <w:rPr>
          <w:rFonts w:ascii="Times New Roman" w:cs="Times New Roman" w:eastAsia="Times New Roman" w:hAnsi="Times New Roman"/>
          <w:b/>
          <w:bCs/>
          <w:sz w:val="24"/>
          <w:szCs w:val="24"/>
        </w:rPr>
        <w:t xml:space="preserve">Kappa de Cohen.</w:t>
      </w:r>
      <w:r>
        <w:rPr>
          <w:rFonts w:ascii="Times New Roman" w:cs="Times New Roman" w:eastAsia="Times New Roman" w:hAnsi="Times New Roman"/>
          <w:sz w:val="24"/>
          <w:szCs w:val="24"/>
        </w:rPr>
        <w:t xml:space="preserve"> Medida de acordo entre dois avaliadores corrigida pelo acordo esperado ao acaso.</w:t>
      </w:r>
    </w:p>
    <w:p>
      <w:pPr>
        <w:spacing w:after="140" w:line="300"/>
        <w:jc w:val="both"/>
      </w:pPr>
      <w:r>
        <w:rPr>
          <w:rFonts w:ascii="Times New Roman" w:cs="Times New Roman" w:eastAsia="Times New Roman" w:hAnsi="Times New Roman"/>
          <w:b/>
          <w:bCs/>
          <w:sz w:val="24"/>
          <w:szCs w:val="24"/>
        </w:rPr>
        <w:t xml:space="preserve">Kappa de Fleiss.</w:t>
      </w:r>
      <w:r>
        <w:rPr>
          <w:rFonts w:ascii="Times New Roman" w:cs="Times New Roman" w:eastAsia="Times New Roman" w:hAnsi="Times New Roman"/>
          <w:sz w:val="24"/>
          <w:szCs w:val="24"/>
        </w:rPr>
        <w:t xml:space="preserve"> Generalização do Kappa para três ou mais avaliadores.</w:t>
      </w:r>
    </w:p>
    <w:p>
      <w:pPr>
        <w:spacing w:after="140" w:line="300"/>
        <w:jc w:val="both"/>
      </w:pPr>
      <w:r>
        <w:rPr>
          <w:rFonts w:ascii="Times New Roman" w:cs="Times New Roman" w:eastAsia="Times New Roman" w:hAnsi="Times New Roman"/>
          <w:b/>
          <w:bCs/>
          <w:sz w:val="24"/>
          <w:szCs w:val="24"/>
        </w:rPr>
        <w:t xml:space="preserve">Lacuna de domínio.</w:t>
      </w:r>
      <w:r>
        <w:rPr>
          <w:rFonts w:ascii="Times New Roman" w:cs="Times New Roman" w:eastAsia="Times New Roman" w:hAnsi="Times New Roman"/>
          <w:sz w:val="24"/>
          <w:szCs w:val="24"/>
        </w:rPr>
        <w:t xml:space="preserve"> Diferença de desempenho de um modelo entre os dados semelhantes aos de treino e dados de outro domínio (plataforma, região, variedade linguística ou género textual).</w:t>
      </w:r>
    </w:p>
    <w:p>
      <w:pPr>
        <w:spacing w:after="140" w:line="300"/>
        <w:jc w:val="both"/>
      </w:pPr>
      <w:r>
        <w:rPr>
          <w:rFonts w:ascii="Times New Roman" w:cs="Times New Roman" w:eastAsia="Times New Roman" w:hAnsi="Times New Roman"/>
          <w:b/>
          <w:bCs/>
          <w:sz w:val="24"/>
          <w:szCs w:val="24"/>
        </w:rPr>
        <w:t xml:space="preserve">Pseudonimização.</w:t>
      </w:r>
      <w:r>
        <w:rPr>
          <w:rFonts w:ascii="Times New Roman" w:cs="Times New Roman" w:eastAsia="Times New Roman" w:hAnsi="Times New Roman"/>
          <w:sz w:val="24"/>
          <w:szCs w:val="24"/>
        </w:rPr>
        <w:t xml:space="preserve"> Substituição de identificadores pessoais por códigos que não permitem identificar a pessoa sem informação adicional guardada separadamente.</w:t>
      </w:r>
    </w:p>
    <w:p>
      <w:pPr>
        <w:spacing w:after="140" w:line="300"/>
        <w:jc w:val="both"/>
      </w:pPr>
      <w:r>
        <w:rPr>
          <w:rFonts w:ascii="Times New Roman" w:cs="Times New Roman" w:eastAsia="Times New Roman" w:hAnsi="Times New Roman"/>
          <w:b/>
          <w:bCs/>
          <w:sz w:val="24"/>
          <w:szCs w:val="24"/>
        </w:rPr>
        <w:t xml:space="preserve">Precisão.</w:t>
      </w:r>
      <w:r>
        <w:rPr>
          <w:rFonts w:ascii="Times New Roman" w:cs="Times New Roman" w:eastAsia="Times New Roman" w:hAnsi="Times New Roman"/>
          <w:sz w:val="24"/>
          <w:szCs w:val="24"/>
        </w:rPr>
        <w:t xml:space="preserve"> Fracção das previsões de uma categoria que estão correctas.</w:t>
      </w:r>
    </w:p>
    <w:p>
      <w:pPr>
        <w:spacing w:after="140" w:line="300"/>
        <w:jc w:val="both"/>
      </w:pPr>
      <w:r>
        <w:rPr>
          <w:rFonts w:ascii="Times New Roman" w:cs="Times New Roman" w:eastAsia="Times New Roman" w:hAnsi="Times New Roman"/>
          <w:b/>
          <w:bCs/>
          <w:sz w:val="24"/>
          <w:szCs w:val="24"/>
        </w:rPr>
        <w:t xml:space="preserve">Precisão nos primeiros K.</w:t>
      </w:r>
      <w:r>
        <w:rPr>
          <w:rFonts w:ascii="Times New Roman" w:cs="Times New Roman" w:eastAsia="Times New Roman" w:hAnsi="Times New Roman"/>
          <w:sz w:val="24"/>
          <w:szCs w:val="24"/>
        </w:rPr>
        <w:t xml:space="preserve"> Fracção de ameaças confirmadas pelo analista entre os K primeiros itens da fila de revisão.</w:t>
      </w:r>
    </w:p>
    <w:p>
      <w:pPr>
        <w:spacing w:after="140" w:line="300"/>
        <w:jc w:val="both"/>
      </w:pPr>
      <w:r>
        <w:rPr>
          <w:rFonts w:ascii="Times New Roman" w:cs="Times New Roman" w:eastAsia="Times New Roman" w:hAnsi="Times New Roman"/>
          <w:b/>
          <w:bCs/>
          <w:sz w:val="24"/>
          <w:szCs w:val="24"/>
        </w:rPr>
        <w:t xml:space="preserve">Sensibilidade.</w:t>
      </w:r>
      <w:r>
        <w:rPr>
          <w:rFonts w:ascii="Times New Roman" w:cs="Times New Roman" w:eastAsia="Times New Roman" w:hAnsi="Times New Roman"/>
          <w:sz w:val="24"/>
          <w:szCs w:val="24"/>
        </w:rPr>
        <w:t xml:space="preserve"> Fracção dos exemplos de uma categoria que o modelo identifica (em inglês,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Subpalavra.</w:t>
      </w:r>
      <w:r>
        <w:rPr>
          <w:rFonts w:ascii="Times New Roman" w:cs="Times New Roman" w:eastAsia="Times New Roman" w:hAnsi="Times New Roman"/>
          <w:sz w:val="24"/>
          <w:szCs w:val="24"/>
        </w:rPr>
        <w:t xml:space="preserve"> Fragmento de palavra usado pelo tokenizador dos modelos BERT; palavras fora do vocabulário são divididas em subpalavras conhecidas.</w:t>
      </w:r>
    </w:p>
    <w:p>
      <w:pPr>
        <w:spacing w:after="140" w:line="300"/>
        <w:jc w:val="both"/>
      </w:pPr>
      <w:r>
        <w:rPr>
          <w:rFonts w:ascii="Times New Roman" w:cs="Times New Roman" w:eastAsia="Times New Roman" w:hAnsi="Times New Roman"/>
          <w:b/>
          <w:bCs/>
          <w:sz w:val="24"/>
          <w:szCs w:val="24"/>
        </w:rPr>
        <w:t xml:space="preserve">Teste de McNemar.</w:t>
      </w:r>
      <w:r>
        <w:rPr>
          <w:rFonts w:ascii="Times New Roman" w:cs="Times New Roman" w:eastAsia="Times New Roman" w:hAnsi="Times New Roman"/>
          <w:sz w:val="24"/>
          <w:szCs w:val="24"/>
        </w:rPr>
        <w:t xml:space="preserve"> Teste estatístico para comparar dois classificadores no mesmo conjunto de teste, com base nos casos em que apenas um deles acerta.</w:t>
      </w:r>
    </w:p>
    <w:p>
      <w:pPr>
        <w:spacing w:after="140" w:line="300"/>
        <w:jc w:val="both"/>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sz w:val="24"/>
          <w:szCs w:val="24"/>
        </w:rPr>
        <w:t xml:space="preserve"> Representação de um texto pela frequência dos seus termos, ponderada pela raridade de cada termo no conjunto de documentos.</w:t>
      </w:r>
    </w:p>
    <w:p>
      <w:pPr>
        <w:spacing w:after="140" w:line="300"/>
        <w:jc w:val="both"/>
      </w:pPr>
      <w:r>
        <w:rPr>
          <w:rFonts w:ascii="Times New Roman" w:cs="Times New Roman" w:eastAsia="Times New Roman" w:hAnsi="Times New Roman"/>
          <w:b/>
          <w:bCs/>
          <w:sz w:val="24"/>
          <w:szCs w:val="24"/>
        </w:rPr>
        <w:t xml:space="preserve">Transformer.</w:t>
      </w:r>
      <w:r>
        <w:rPr>
          <w:rFonts w:ascii="Times New Roman" w:cs="Times New Roman" w:eastAsia="Times New Roman" w:hAnsi="Times New Roman"/>
          <w:sz w:val="24"/>
          <w:szCs w:val="24"/>
        </w:rPr>
        <w:t xml:space="preserve"> Arquitectura de rede neuronal baseada em mecanismos de atenção, que processa toda a sequência em paralelo (Vaswani et al., 2017).</w:t>
      </w:r>
    </w:p>
    <w:p>
      <w:pPr>
        <w:sectPr>
          <w:headerReference w:type="default" r:id="rId25"/>
          <w:footerReference w:type="default" r:id="rId2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A – EXCERTOS DE CÓDIGO-FONTE</w:t>
      </w:r>
    </w:p>
    <w:p>
      <w:pPr>
        <w:spacing w:after="120" w:before="0" w:line="360"/>
        <w:ind w:firstLine="567"/>
        <w:jc w:val="both"/>
      </w:pPr>
      <w:r>
        <w:rPr>
          <w:rFonts w:ascii="Times New Roman" w:cs="Times New Roman" w:eastAsia="Times New Roman" w:hAnsi="Times New Roman"/>
          <w:sz w:val="24"/>
          <w:szCs w:val="24"/>
        </w:rPr>
        <w:t xml:space="preserve">Os excertos seguintes são reproduzidos, sem alterações, do código do protótipo (pasta sistema_uan do repositório do projecto). O código completo, com testes e documentação, está disponível em https://github.com/manuelmuinga/dissertacao-uan-angola.</w:t>
      </w:r>
    </w:p>
    <w:p>
      <w:pPr>
        <w:pStyle w:val="Heading2"/>
        <w:keepNext/>
        <w:keepLines/>
        <w:spacing w:after="160" w:before="360" w:line="300"/>
      </w:pPr>
      <w:r>
        <w:rPr>
          <w:rFonts w:ascii="Times New Roman" w:cs="Times New Roman" w:eastAsia="Times New Roman" w:hAnsi="Times New Roman"/>
          <w:b/>
          <w:bCs/>
          <w:sz w:val="26"/>
          <w:szCs w:val="26"/>
        </w:rPr>
        <w:t xml:space="preserve">A.1 Anonimização à entrada</w:t>
      </w:r>
    </w:p>
    <w:p>
      <w:pPr>
        <w:spacing w:after="120" w:before="0" w:line="360"/>
        <w:ind w:firstLine="567"/>
        <w:jc w:val="both"/>
      </w:pPr>
      <w:r>
        <w:rPr>
          <w:rFonts w:ascii="Times New Roman" w:cs="Times New Roman" w:eastAsia="Times New Roman" w:hAnsi="Times New Roman"/>
          <w:sz w:val="24"/>
          <w:szCs w:val="24"/>
        </w:rPr>
        <w:t xml:space="preserve">Máscaras de identificadores directos e pseudónimo do autor (módulo sistema/anonimizacao.py).</w:t>
      </w:r>
    </w:p>
    <w:p>
      <w:pPr>
        <w:shd w:fill="F4F3EF" w:color="auto" w:val="clear"/>
        <w:spacing w:after="0" w:before="120" w:line="220"/>
        <w:ind w:left="113" w:right="113"/>
      </w:pPr>
      <w:r>
        <w:rPr>
          <w:rFonts w:ascii="Courier New" w:cs="Courier New" w:eastAsia="Courier New" w:hAnsi="Courier New"/>
          <w:sz w:val="17"/>
          <w:szCs w:val="17"/>
        </w:rPr>
        <w:t xml:space="preserve">_PADROES: list[tuple[re.Pattern[str], str]] = [</w:t>
      </w:r>
    </w:p>
    <w:p>
      <w:pPr>
        <w:shd w:fill="F4F3EF" w:color="auto" w:val="clear"/>
        <w:spacing w:after="0" w:before="0" w:line="220"/>
        <w:ind w:left="113" w:right="113"/>
      </w:pPr>
      <w:r>
        <w:rPr>
          <w:rFonts w:ascii="Courier New" w:cs="Courier New" w:eastAsia="Courier New" w:hAnsi="Courier New"/>
          <w:sz w:val="17"/>
          <w:szCs w:val="17"/>
        </w:rPr>
        <w:t xml:space="preserve">    (re.compile(r"https?://\S+|www\.\S+", re.IGNORECASE), "[URL]"),</w:t>
      </w:r>
    </w:p>
    <w:p>
      <w:pPr>
        <w:shd w:fill="F4F3EF" w:color="auto" w:val="clear"/>
        <w:spacing w:after="0" w:before="0" w:line="220"/>
        <w:ind w:left="113" w:right="113"/>
      </w:pPr>
      <w:r>
        <w:rPr>
          <w:rFonts w:ascii="Courier New" w:cs="Courier New" w:eastAsia="Courier New" w:hAnsi="Courier New"/>
          <w:sz w:val="17"/>
          <w:szCs w:val="17"/>
        </w:rPr>
        <w:t xml:space="preserve">    (re.compile(r"\b[\w.+-]+@[\w-]+\.[\w.-]+\b"), "[EMAIL]"),</w:t>
      </w:r>
    </w:p>
    <w:p>
      <w:pPr>
        <w:shd w:fill="F4F3EF" w:color="auto" w:val="clear"/>
        <w:spacing w:after="0" w:before="0" w:line="220"/>
        <w:ind w:left="113" w:right="113"/>
      </w:pPr>
      <w:r>
        <w:rPr>
          <w:rFonts w:ascii="Courier New" w:cs="Courier New" w:eastAsia="Courier New" w:hAnsi="Courier New"/>
          <w:sz w:val="17"/>
          <w:szCs w:val="17"/>
        </w:rPr>
        <w:t xml:space="preserve">    # Telefones: +244 9xx xxx xxx, 9xxxxxxxx e variantes com espaços/hífenes.</w:t>
      </w:r>
    </w:p>
    <w:p>
      <w:pPr>
        <w:shd w:fill="F4F3EF" w:color="auto" w:val="clear"/>
        <w:spacing w:after="0" w:before="0" w:line="220"/>
        <w:ind w:left="113" w:right="113"/>
      </w:pPr>
      <w:r>
        <w:rPr>
          <w:rFonts w:ascii="Courier New" w:cs="Courier New" w:eastAsia="Courier New" w:hAnsi="Courier New"/>
          <w:sz w:val="17"/>
          <w:szCs w:val="17"/>
        </w:rPr>
        <w:t xml:space="preserve">    (re.compile(r"(?&lt;!\w)(?:\+?244[\s-]?)?9\d{2}[\s-]?\d{3}[\s-]?\d{3}(?!\w)"), "[TELEFONE]"),</w:t>
      </w:r>
    </w:p>
    <w:p>
      <w:pPr>
        <w:shd w:fill="F4F3EF" w:color="auto" w:val="clear"/>
        <w:spacing w:after="0" w:before="0" w:line="220"/>
        <w:ind w:left="113" w:right="113"/>
      </w:pPr>
      <w:r>
        <w:rPr>
          <w:rFonts w:ascii="Courier New" w:cs="Courier New" w:eastAsia="Courier New" w:hAnsi="Courier New"/>
          <w:sz w:val="17"/>
          <w:szCs w:val="17"/>
        </w:rPr>
        <w:t xml:space="preserve">    (re.compile(r"(?&lt;!\w)@[\w.]{2,}"), "@[UTILIZADOR]"),</w:t>
      </w:r>
    </w:p>
    <w:p>
      <w:pPr>
        <w:shd w:fill="F4F3EF" w:color="auto" w:val="clear"/>
        <w:spacing w:after="0" w:before="0" w:line="220"/>
        <w:ind w:left="113" w:right="113"/>
      </w:pPr>
      <w:r>
        <w:rPr>
          <w:rFonts w:ascii="Courier New" w:cs="Courier New" w:eastAsia="Courier New" w:hAnsi="Courier New"/>
          <w:sz w:val="17"/>
          <w:szCs w:val="17"/>
        </w:rPr>
        <w:t xml:space="preserve">]</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mascarar_texto(texto: str) -&gt; str:</w:t>
      </w:r>
    </w:p>
    <w:p>
      <w:pPr>
        <w:shd w:fill="F4F3EF" w:color="auto" w:val="clear"/>
        <w:spacing w:after="0" w:before="0" w:line="220"/>
        <w:ind w:left="113" w:right="113"/>
      </w:pPr>
      <w:r>
        <w:rPr>
          <w:rFonts w:ascii="Courier New" w:cs="Courier New" w:eastAsia="Courier New" w:hAnsi="Courier New"/>
          <w:sz w:val="17"/>
          <w:szCs w:val="17"/>
        </w:rPr>
        <w:t xml:space="preserve">    """Substitui identificadores directos no texto por marcadores."""</w:t>
      </w:r>
    </w:p>
    <w:p>
      <w:pPr>
        <w:shd w:fill="F4F3EF" w:color="auto" w:val="clear"/>
        <w:spacing w:after="0" w:before="0" w:line="220"/>
        <w:ind w:left="113" w:right="113"/>
      </w:pPr>
      <w:r>
        <w:rPr>
          <w:rFonts w:ascii="Courier New" w:cs="Courier New" w:eastAsia="Courier New" w:hAnsi="Courier New"/>
          <w:sz w:val="17"/>
          <w:szCs w:val="17"/>
        </w:rPr>
        <w:t xml:space="preserve">    if not texto:</w:t>
      </w:r>
    </w:p>
    <w:p>
      <w:pPr>
        <w:shd w:fill="F4F3EF" w:color="auto" w:val="clear"/>
        <w:spacing w:after="0" w:before="0" w:line="220"/>
        <w:ind w:left="113" w:right="113"/>
      </w:pPr>
      <w:r>
        <w:rPr>
          <w:rFonts w:ascii="Courier New" w:cs="Courier New" w:eastAsia="Courier New" w:hAnsi="Courier New"/>
          <w:sz w:val="17"/>
          <w:szCs w:val="17"/>
        </w:rPr>
        <w:t xml:space="preserve">        return ""</w:t>
      </w:r>
    </w:p>
    <w:p>
      <w:pPr>
        <w:shd w:fill="F4F3EF" w:color="auto" w:val="clear"/>
        <w:spacing w:after="0" w:before="0" w:line="220"/>
        <w:ind w:left="113" w:right="113"/>
      </w:pPr>
      <w:r>
        <w:rPr>
          <w:rFonts w:ascii="Courier New" w:cs="Courier New" w:eastAsia="Courier New" w:hAnsi="Courier New"/>
          <w:sz w:val="17"/>
          <w:szCs w:val="17"/>
        </w:rPr>
        <w:t xml:space="preserve">    for padrao, marcador in _PADROES:</w:t>
      </w:r>
    </w:p>
    <w:p>
      <w:pPr>
        <w:shd w:fill="F4F3EF" w:color="auto" w:val="clear"/>
        <w:spacing w:after="0" w:before="0" w:line="220"/>
        <w:ind w:left="113" w:right="113"/>
      </w:pPr>
      <w:r>
        <w:rPr>
          <w:rFonts w:ascii="Courier New" w:cs="Courier New" w:eastAsia="Courier New" w:hAnsi="Courier New"/>
          <w:sz w:val="17"/>
          <w:szCs w:val="17"/>
        </w:rPr>
        <w:t xml:space="preserve">        texto = padrao.sub(marcador, texto)</w:t>
      </w:r>
    </w:p>
    <w:p>
      <w:pPr>
        <w:shd w:fill="F4F3EF" w:color="auto" w:val="clear"/>
        <w:spacing w:after="0" w:before="0" w:line="220"/>
        <w:ind w:left="113" w:right="113"/>
      </w:pPr>
      <w:r>
        <w:rPr>
          <w:rFonts w:ascii="Courier New" w:cs="Courier New" w:eastAsia="Courier New" w:hAnsi="Courier New"/>
          <w:sz w:val="17"/>
          <w:szCs w:val="17"/>
        </w:rPr>
        <w:t xml:space="preserve">    return re.sub(r"\s+", " ", texto).strip()</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pseudonimo_autor(autor: str | None, segredo: str) -&gt; str | None:</w:t>
      </w:r>
    </w:p>
    <w:p>
      <w:pPr>
        <w:shd w:fill="F4F3EF" w:color="auto" w:val="clear"/>
        <w:spacing w:after="0" w:before="0" w:line="220"/>
        <w:ind w:left="113" w:right="113"/>
      </w:pPr>
      <w:r>
        <w:rPr>
          <w:rFonts w:ascii="Courier New" w:cs="Courier New" w:eastAsia="Courier New" w:hAnsi="Courier New"/>
          <w:sz w:val="17"/>
          <w:szCs w:val="17"/>
        </w:rPr>
        <w:t xml:space="preserve">    """Pseudónimo irreversível do autor (HMAC-SHA-256, 16 hex)."""</w:t>
      </w:r>
    </w:p>
    <w:p>
      <w:pPr>
        <w:shd w:fill="F4F3EF" w:color="auto" w:val="clear"/>
        <w:spacing w:after="0" w:before="0" w:line="220"/>
        <w:ind w:left="113" w:right="113"/>
      </w:pPr>
      <w:r>
        <w:rPr>
          <w:rFonts w:ascii="Courier New" w:cs="Courier New" w:eastAsia="Courier New" w:hAnsi="Courier New"/>
          <w:sz w:val="17"/>
          <w:szCs w:val="17"/>
        </w:rPr>
        <w:t xml:space="preserve">    if not autor:</w:t>
      </w:r>
    </w:p>
    <w:p>
      <w:pPr>
        <w:shd w:fill="F4F3EF" w:color="auto" w:val="clear"/>
        <w:spacing w:after="0" w:before="0" w:line="220"/>
        <w:ind w:left="113" w:right="113"/>
      </w:pPr>
      <w:r>
        <w:rPr>
          <w:rFonts w:ascii="Courier New" w:cs="Courier New" w:eastAsia="Courier New" w:hAnsi="Courier New"/>
          <w:sz w:val="17"/>
          <w:szCs w:val="17"/>
        </w:rPr>
        <w:t xml:space="preserve">        return None</w:t>
      </w:r>
    </w:p>
    <w:p>
      <w:pPr>
        <w:shd w:fill="F4F3EF" w:color="auto" w:val="clear"/>
        <w:spacing w:after="0" w:before="0" w:line="220"/>
        <w:ind w:left="113" w:right="113"/>
      </w:pPr>
      <w:r>
        <w:rPr>
          <w:rFonts w:ascii="Courier New" w:cs="Courier New" w:eastAsia="Courier New" w:hAnsi="Courier New"/>
          <w:sz w:val="17"/>
          <w:szCs w:val="17"/>
        </w:rPr>
        <w:t xml:space="preserve">    if not segredo:</w:t>
      </w:r>
    </w:p>
    <w:p>
      <w:pPr>
        <w:shd w:fill="F4F3EF" w:color="auto" w:val="clear"/>
        <w:spacing w:after="0" w:before="0" w:line="220"/>
        <w:ind w:left="113" w:right="113"/>
      </w:pPr>
      <w:r>
        <w:rPr>
          <w:rFonts w:ascii="Courier New" w:cs="Courier New" w:eastAsia="Courier New" w:hAnsi="Courier New"/>
          <w:sz w:val="17"/>
          <w:szCs w:val="17"/>
        </w:rPr>
        <w:t xml:space="preserve">        raise ValueError(</w:t>
      </w:r>
    </w:p>
    <w:p>
      <w:pPr>
        <w:shd w:fill="F4F3EF" w:color="auto" w:val="clear"/>
        <w:spacing w:after="0" w:before="0" w:line="220"/>
        <w:ind w:left="113" w:right="113"/>
      </w:pPr>
      <w:r>
        <w:rPr>
          <w:rFonts w:ascii="Courier New" w:cs="Courier New" w:eastAsia="Courier New" w:hAnsi="Courier New"/>
          <w:sz w:val="17"/>
          <w:szCs w:val="17"/>
        </w:rPr>
        <w:t xml:space="preserve">            "Defina UAN_SEGREDO_HASH: sem segredo, o hash de um nome de utilizador "</w:t>
      </w:r>
    </w:p>
    <w:p>
      <w:pPr>
        <w:shd w:fill="F4F3EF" w:color="auto" w:val="clear"/>
        <w:spacing w:after="0" w:before="0" w:line="220"/>
        <w:ind w:left="113" w:right="113"/>
      </w:pPr>
      <w:r>
        <w:rPr>
          <w:rFonts w:ascii="Courier New" w:cs="Courier New" w:eastAsia="Courier New" w:hAnsi="Courier New"/>
          <w:sz w:val="17"/>
          <w:szCs w:val="17"/>
        </w:rPr>
        <w:t xml:space="preserve">            "pode ser revertido por dicionário."</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digest = hmac.new(segredo.encode("utf-8"), autor.strip().lower().encode("utf-8"), hashlib.sha256)</w:t>
      </w:r>
    </w:p>
    <w:p>
      <w:pPr>
        <w:shd w:fill="F4F3EF" w:color="auto" w:val="clear"/>
        <w:spacing w:after="200" w:before="0" w:line="220"/>
        <w:ind w:left="113" w:right="113"/>
      </w:pPr>
      <w:r>
        <w:rPr>
          <w:rFonts w:ascii="Courier New" w:cs="Courier New" w:eastAsia="Courier New" w:hAnsi="Courier New"/>
          <w:sz w:val="17"/>
          <w:szCs w:val="17"/>
        </w:rPr>
        <w:t xml:space="preserve">    return digest.hexdigest()[:16]</w:t>
      </w:r>
    </w:p>
    <w:p>
      <w:pPr>
        <w:pStyle w:val="Heading2"/>
        <w:keepNext/>
        <w:keepLines/>
        <w:spacing w:after="160" w:before="360" w:line="300"/>
      </w:pPr>
      <w:r>
        <w:rPr>
          <w:rFonts w:ascii="Times New Roman" w:cs="Times New Roman" w:eastAsia="Times New Roman" w:hAnsi="Times New Roman"/>
          <w:b/>
          <w:bCs/>
          <w:sz w:val="26"/>
          <w:szCs w:val="26"/>
        </w:rPr>
        <w:t xml:space="preserve">A.2 Classificação em lote com o BERTimbau</w:t>
      </w:r>
    </w:p>
    <w:p>
      <w:pPr>
        <w:spacing w:after="120" w:before="0" w:line="360"/>
        <w:ind w:firstLine="567"/>
        <w:jc w:val="both"/>
      </w:pPr>
      <w:r>
        <w:rPr>
          <w:rFonts w:ascii="Times New Roman" w:cs="Times New Roman" w:eastAsia="Times New Roman" w:hAnsi="Times New Roman"/>
          <w:sz w:val="24"/>
          <w:szCs w:val="24"/>
        </w:rPr>
        <w:t xml:space="preserve">Método de classificação da classe ClassificadorBERTimbau (módulo sistema/classificador.py).</w:t>
      </w:r>
    </w:p>
    <w:p>
      <w:pPr>
        <w:shd w:fill="F4F3EF" w:color="auto" w:val="clear"/>
        <w:spacing w:after="0" w:before="120" w:line="220"/>
        <w:ind w:left="113" w:right="113"/>
      </w:pPr>
      <w:r>
        <w:rPr>
          <w:rFonts w:ascii="Courier New" w:cs="Courier New" w:eastAsia="Courier New" w:hAnsi="Courier New"/>
          <w:sz w:val="17"/>
          <w:szCs w:val="17"/>
        </w:rPr>
        <w:t xml:space="preserve">    def classificar(self, textos: list[str]) -&gt; list[Resultado]:</w:t>
      </w:r>
    </w:p>
    <w:p>
      <w:pPr>
        <w:shd w:fill="F4F3EF" w:color="auto" w:val="clear"/>
        <w:spacing w:after="0" w:before="0" w:line="220"/>
        <w:ind w:left="113" w:right="113"/>
      </w:pPr>
      <w:r>
        <w:rPr>
          <w:rFonts w:ascii="Courier New" w:cs="Courier New" w:eastAsia="Courier New" w:hAnsi="Courier New"/>
          <w:sz w:val="17"/>
          <w:szCs w:val="17"/>
        </w:rPr>
        <w:t xml:space="preserve">        torch = self._torch</w:t>
      </w:r>
    </w:p>
    <w:p>
      <w:pPr>
        <w:shd w:fill="F4F3EF" w:color="auto" w:val="clear"/>
        <w:spacing w:after="0" w:before="0" w:line="220"/>
        <w:ind w:left="113" w:right="113"/>
      </w:pPr>
      <w:r>
        <w:rPr>
          <w:rFonts w:ascii="Courier New" w:cs="Courier New" w:eastAsia="Courier New" w:hAnsi="Courier New"/>
          <w:sz w:val="17"/>
          <w:szCs w:val="17"/>
        </w:rPr>
        <w:t xml:space="preserve">        resultados: list[Resultado] = []</w:t>
      </w:r>
    </w:p>
    <w:p>
      <w:pPr>
        <w:shd w:fill="F4F3EF" w:color="auto" w:val="clear"/>
        <w:spacing w:after="0" w:before="0" w:line="220"/>
        <w:ind w:left="113" w:right="113"/>
      </w:pPr>
      <w:r>
        <w:rPr>
          <w:rFonts w:ascii="Courier New" w:cs="Courier New" w:eastAsia="Courier New" w:hAnsi="Courier New"/>
          <w:sz w:val="17"/>
          <w:szCs w:val="17"/>
        </w:rPr>
        <w:t xml:space="preserve">        for i in range(0, len(textos), self.tamanho_lote):</w:t>
      </w:r>
    </w:p>
    <w:p>
      <w:pPr>
        <w:shd w:fill="F4F3EF" w:color="auto" w:val="clear"/>
        <w:spacing w:after="0" w:before="0" w:line="220"/>
        <w:ind w:left="113" w:right="113"/>
      </w:pPr>
      <w:r>
        <w:rPr>
          <w:rFonts w:ascii="Courier New" w:cs="Courier New" w:eastAsia="Courier New" w:hAnsi="Courier New"/>
          <w:sz w:val="17"/>
          <w:szCs w:val="17"/>
        </w:rPr>
        <w:t xml:space="preserve">            lote = textos[i : i + self.tamanho_lote]</w:t>
      </w:r>
    </w:p>
    <w:p>
      <w:pPr>
        <w:shd w:fill="F4F3EF" w:color="auto" w:val="clear"/>
        <w:spacing w:after="0" w:before="0" w:line="220"/>
        <w:ind w:left="113" w:right="113"/>
      </w:pPr>
      <w:r>
        <w:rPr>
          <w:rFonts w:ascii="Courier New" w:cs="Courier New" w:eastAsia="Courier New" w:hAnsi="Courier New"/>
          <w:sz w:val="17"/>
          <w:szCs w:val="17"/>
        </w:rPr>
        <w:t xml:space="preserve">            enc = self.tokenizer(lote, truncation=True, max_length=self.max_length, padding=True, return_tensors="pt")</w:t>
      </w:r>
    </w:p>
    <w:p>
      <w:pPr>
        <w:shd w:fill="F4F3EF" w:color="auto" w:val="clear"/>
        <w:spacing w:after="0" w:before="0" w:line="220"/>
        <w:ind w:left="113" w:right="113"/>
      </w:pPr>
      <w:r>
        <w:rPr>
          <w:rFonts w:ascii="Courier New" w:cs="Courier New" w:eastAsia="Courier New" w:hAnsi="Courier New"/>
          <w:sz w:val="17"/>
          <w:szCs w:val="17"/>
        </w:rPr>
        <w:t xml:space="preserve">            enc = {k: v.to(self.dispositivo) for k, v in enc.items()}</w:t>
      </w:r>
    </w:p>
    <w:p>
      <w:pPr>
        <w:shd w:fill="F4F3EF" w:color="auto" w:val="clear"/>
        <w:spacing w:after="0" w:before="0" w:line="220"/>
        <w:ind w:left="113" w:right="113"/>
      </w:pPr>
      <w:r>
        <w:rPr>
          <w:rFonts w:ascii="Courier New" w:cs="Courier New" w:eastAsia="Courier New" w:hAnsi="Courier New"/>
          <w:sz w:val="17"/>
          <w:szCs w:val="17"/>
        </w:rPr>
        <w:t xml:space="preserve">            with torch.no_grad():</w:t>
      </w:r>
    </w:p>
    <w:p>
      <w:pPr>
        <w:shd w:fill="F4F3EF" w:color="auto" w:val="clear"/>
        <w:spacing w:after="0" w:before="0" w:line="220"/>
        <w:ind w:left="113" w:right="113"/>
      </w:pPr>
      <w:r>
        <w:rPr>
          <w:rFonts w:ascii="Courier New" w:cs="Courier New" w:eastAsia="Courier New" w:hAnsi="Courier New"/>
          <w:sz w:val="17"/>
          <w:szCs w:val="17"/>
        </w:rPr>
        <w:t xml:space="preserve">                probs = torch.softmax(self.modelo(**enc).logits, dim=-1).cpu().tolist()</w:t>
      </w:r>
    </w:p>
    <w:p>
      <w:pPr>
        <w:shd w:fill="F4F3EF" w:color="auto" w:val="clear"/>
        <w:spacing w:after="0" w:before="0" w:line="220"/>
        <w:ind w:left="113" w:right="113"/>
      </w:pPr>
      <w:r>
        <w:rPr>
          <w:rFonts w:ascii="Courier New" w:cs="Courier New" w:eastAsia="Courier New" w:hAnsi="Courier New"/>
          <w:sz w:val="17"/>
          <w:szCs w:val="17"/>
        </w:rPr>
        <w:t xml:space="preserve">            resultados.extend(Resultado(dict(zip(self.rotulos, map(float, p)))) for p in probs)</w:t>
      </w:r>
    </w:p>
    <w:p>
      <w:pPr>
        <w:shd w:fill="F4F3EF" w:color="auto" w:val="clear"/>
        <w:spacing w:after="200" w:before="0" w:line="220"/>
        <w:ind w:left="113" w:right="113"/>
      </w:pPr>
      <w:r>
        <w:rPr>
          <w:rFonts w:ascii="Courier New" w:cs="Courier New" w:eastAsia="Courier New" w:hAnsi="Courier New"/>
          <w:sz w:val="17"/>
          <w:szCs w:val="17"/>
        </w:rPr>
        <w:t xml:space="preserve">        return resultados</w:t>
      </w:r>
    </w:p>
    <w:p>
      <w:pPr>
        <w:pStyle w:val="Heading2"/>
        <w:keepNext/>
        <w:keepLines/>
        <w:spacing w:after="160" w:before="360" w:line="300"/>
      </w:pPr>
      <w:r>
        <w:rPr>
          <w:rFonts w:ascii="Times New Roman" w:cs="Times New Roman" w:eastAsia="Times New Roman" w:hAnsi="Times New Roman"/>
          <w:b/>
          <w:bCs/>
          <w:sz w:val="26"/>
          <w:szCs w:val="26"/>
        </w:rPr>
        <w:t xml:space="preserve">A.3 Prioridade e classificação das publicações pendentes</w:t>
      </w:r>
    </w:p>
    <w:p>
      <w:pPr>
        <w:spacing w:after="120" w:before="0" w:line="360"/>
        <w:ind w:firstLine="567"/>
        <w:jc w:val="both"/>
      </w:pPr>
      <w:r>
        <w:rPr>
          <w:rFonts w:ascii="Times New Roman" w:cs="Times New Roman" w:eastAsia="Times New Roman" w:hAnsi="Times New Roman"/>
          <w:sz w:val="24"/>
          <w:szCs w:val="24"/>
        </w:rPr>
        <w:t xml:space="preserve">Cálculo da prioridade na fila e gravação das classificações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prioridade(res: Resultado) -&gt; float:</w:t>
      </w:r>
    </w:p>
    <w:p>
      <w:pPr>
        <w:shd w:fill="F4F3EF" w:color="auto" w:val="clear"/>
        <w:spacing w:after="0" w:before="0" w:line="220"/>
        <w:ind w:left="113" w:right="113"/>
      </w:pPr>
      <w:r>
        <w:rPr>
          <w:rFonts w:ascii="Courier New" w:cs="Courier New" w:eastAsia="Courier New" w:hAnsi="Courier New"/>
          <w:sz w:val="17"/>
          <w:szCs w:val="17"/>
        </w:rPr>
        <w:t xml:space="preserve">    """Prioridade na fila = probabilidade de NÃO ser Normal.</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Ordena pela suspeita global e não pela categoria prevista, para que um item</w:t>
      </w:r>
    </w:p>
    <w:p>
      <w:pPr>
        <w:shd w:fill="F4F3EF" w:color="auto" w:val="clear"/>
        <w:spacing w:after="0" w:before="0" w:line="220"/>
        <w:ind w:left="113" w:right="113"/>
      </w:pPr>
      <w:r>
        <w:rPr>
          <w:rFonts w:ascii="Courier New" w:cs="Courier New" w:eastAsia="Courier New" w:hAnsi="Courier New"/>
          <w:sz w:val="17"/>
          <w:szCs w:val="17"/>
        </w:rPr>
        <w:t xml:space="preserve">    com 45% Mobilizacao e 50% Normal (previsto Normal) também suba na fila.</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return 1.0 - res.probabilidades.get("Normal", 0.0)</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classificar_pendentes(bd: BaseDados, clf: Classificador, limite: int = 1000) -&gt; dict:</w:t>
      </w:r>
    </w:p>
    <w:p>
      <w:pPr>
        <w:shd w:fill="F4F3EF" w:color="auto" w:val="clear"/>
        <w:spacing w:after="0" w:before="0" w:line="220"/>
        <w:ind w:left="113" w:right="113"/>
      </w:pPr>
      <w:r>
        <w:rPr>
          <w:rFonts w:ascii="Courier New" w:cs="Courier New" w:eastAsia="Courier New" w:hAnsi="Courier New"/>
          <w:sz w:val="17"/>
          <w:szCs w:val="17"/>
        </w:rPr>
        <w:t xml:space="preserve">    pend = bd.pendentes(limite)</w:t>
      </w:r>
    </w:p>
    <w:p>
      <w:pPr>
        <w:shd w:fill="F4F3EF" w:color="auto" w:val="clear"/>
        <w:spacing w:after="0" w:before="0" w:line="220"/>
        <w:ind w:left="113" w:right="113"/>
      </w:pPr>
      <w:r>
        <w:rPr>
          <w:rFonts w:ascii="Courier New" w:cs="Courier New" w:eastAsia="Courier New" w:hAnsi="Courier New"/>
          <w:sz w:val="17"/>
          <w:szCs w:val="17"/>
        </w:rPr>
        <w:t xml:space="preserve">    if not pend:</w:t>
      </w:r>
    </w:p>
    <w:p>
      <w:pPr>
        <w:shd w:fill="F4F3EF" w:color="auto" w:val="clear"/>
        <w:spacing w:after="0" w:before="0" w:line="220"/>
        <w:ind w:left="113" w:right="113"/>
      </w:pPr>
      <w:r>
        <w:rPr>
          <w:rFonts w:ascii="Courier New" w:cs="Courier New" w:eastAsia="Courier New" w:hAnsi="Courier New"/>
          <w:sz w:val="17"/>
          <w:szCs w:val="17"/>
        </w:rPr>
        <w:t xml:space="preserve">        return {"classificados": 0}</w:t>
      </w:r>
    </w:p>
    <w:p>
      <w:pPr>
        <w:shd w:fill="F4F3EF" w:color="auto" w:val="clear"/>
        <w:spacing w:after="0" w:before="0" w:line="220"/>
        <w:ind w:left="113" w:right="113"/>
      </w:pPr>
      <w:r>
        <w:rPr>
          <w:rFonts w:ascii="Courier New" w:cs="Courier New" w:eastAsia="Courier New" w:hAnsi="Courier New"/>
          <w:sz w:val="17"/>
          <w:szCs w:val="17"/>
        </w:rPr>
        <w:t xml:space="preserve">    t0 = time.perf_counter()</w:t>
      </w:r>
    </w:p>
    <w:p>
      <w:pPr>
        <w:shd w:fill="F4F3EF" w:color="auto" w:val="clear"/>
        <w:spacing w:after="0" w:before="0" w:line="220"/>
        <w:ind w:left="113" w:right="113"/>
      </w:pPr>
      <w:r>
        <w:rPr>
          <w:rFonts w:ascii="Courier New" w:cs="Courier New" w:eastAsia="Courier New" w:hAnsi="Courier New"/>
          <w:sz w:val="17"/>
          <w:szCs w:val="17"/>
        </w:rPr>
        <w:t xml:space="preserve">    resultados = clf.classificar([p["texto"] for p in pend])</w:t>
      </w:r>
    </w:p>
    <w:p>
      <w:pPr>
        <w:shd w:fill="F4F3EF" w:color="auto" w:val="clear"/>
        <w:spacing w:after="0" w:before="0" w:line="220"/>
        <w:ind w:left="113" w:right="113"/>
      </w:pPr>
      <w:r>
        <w:rPr>
          <w:rFonts w:ascii="Courier New" w:cs="Courier New" w:eastAsia="Courier New" w:hAnsi="Courier New"/>
          <w:sz w:val="17"/>
          <w:szCs w:val="17"/>
        </w:rPr>
        <w:t xml:space="preserve">    dur_ms = (time.perf_counter() - t0) * 1000 / len(pend)</w:t>
      </w:r>
    </w:p>
    <w:p>
      <w:pPr>
        <w:shd w:fill="F4F3EF" w:color="auto" w:val="clear"/>
        <w:spacing w:after="0" w:before="0" w:line="220"/>
        <w:ind w:left="113" w:right="113"/>
      </w:pPr>
      <w:r>
        <w:rPr>
          <w:rFonts w:ascii="Courier New" w:cs="Courier New" w:eastAsia="Courier New" w:hAnsi="Courier New"/>
          <w:sz w:val="17"/>
          <w:szCs w:val="17"/>
        </w:rPr>
        <w:t xml:space="preserve">    quando = agora()</w:t>
      </w:r>
    </w:p>
    <w:p>
      <w:pPr>
        <w:shd w:fill="F4F3EF" w:color="auto" w:val="clear"/>
        <w:spacing w:after="0" w:before="0" w:line="220"/>
        <w:ind w:left="113" w:right="113"/>
      </w:pPr>
      <w:r>
        <w:rPr>
          <w:rFonts w:ascii="Courier New" w:cs="Courier New" w:eastAsia="Courier New" w:hAnsi="Courier New"/>
          <w:sz w:val="17"/>
          <w:szCs w:val="17"/>
        </w:rPr>
        <w:t xml:space="preserve">    bd.gravar_classificacoes([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"id_pub": p["id_pub"],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"probabilidades": json.dumps(r.probabilidades), "categoria": r.categoria,</w:t>
      </w:r>
    </w:p>
    <w:p>
      <w:pPr>
        <w:shd w:fill="F4F3EF" w:color="auto" w:val="clear"/>
        <w:spacing w:after="0" w:before="0" w:line="220"/>
        <w:ind w:left="113" w:right="113"/>
      </w:pPr>
      <w:r>
        <w:rPr>
          <w:rFonts w:ascii="Courier New" w:cs="Courier New" w:eastAsia="Courier New" w:hAnsi="Courier New"/>
          <w:sz w:val="17"/>
          <w:szCs w:val="17"/>
        </w:rPr>
        <w:t xml:space="preserve">            "confianca": r.confianca, "prioridade": prioridade(r),</w:t>
      </w:r>
    </w:p>
    <w:p>
      <w:pPr>
        <w:shd w:fill="F4F3EF" w:color="auto" w:val="clear"/>
        <w:spacing w:after="0" w:before="0" w:line="220"/>
        <w:ind w:left="113" w:right="113"/>
      </w:pPr>
      <w:r>
        <w:rPr>
          <w:rFonts w:ascii="Courier New" w:cs="Courier New" w:eastAsia="Courier New" w:hAnsi="Courier New"/>
          <w:sz w:val="17"/>
          <w:szCs w:val="17"/>
        </w:rPr>
        <w:t xml:space="preserve">            "classificado_em": quando, "duracao_ms": dur_ms,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for p, r in zip(pend, resultados)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bd.auditar("sistema", "classificacao", {"n": len(pend),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return {"classificados": len(pend), "ms_por_item": round(dur_ms, 2),</w:t>
      </w:r>
    </w:p>
    <w:p>
      <w:pPr>
        <w:shd w:fill="F4F3EF" w:color="auto" w:val="clear"/>
        <w:spacing w:after="200" w:before="0" w:line="220"/>
        <w:ind w:left="113" w:right="113"/>
      </w:pPr>
      <w:r>
        <w:rPr>
          <w:rFonts w:ascii="Courier New" w:cs="Courier New" w:eastAsia="Courier New" w:hAnsi="Courier New"/>
          <w:sz w:val="17"/>
          <w:szCs w:val="17"/>
        </w:rPr>
        <w:t xml:space="preserve">            "categorias": dict(Counter(r.categoria for r in resultados))}</w:t>
      </w:r>
    </w:p>
    <w:p>
      <w:pPr>
        <w:pStyle w:val="Heading2"/>
        <w:keepNext/>
        <w:keepLines/>
        <w:spacing w:after="160" w:before="360" w:line="300"/>
      </w:pPr>
      <w:r>
        <w:rPr>
          <w:rFonts w:ascii="Times New Roman" w:cs="Times New Roman" w:eastAsia="Times New Roman" w:hAnsi="Times New Roman"/>
          <w:b/>
          <w:bCs/>
          <w:sz w:val="26"/>
          <w:szCs w:val="26"/>
        </w:rPr>
        <w:t xml:space="preserve">A.4 Métricas operacionais</w:t>
      </w:r>
    </w:p>
    <w:p>
      <w:pPr>
        <w:spacing w:after="120" w:before="0" w:line="360"/>
        <w:ind w:firstLine="567"/>
        <w:jc w:val="both"/>
      </w:pPr>
      <w:r>
        <w:rPr>
          <w:rFonts w:ascii="Times New Roman" w:cs="Times New Roman" w:eastAsia="Times New Roman" w:hAnsi="Times New Roman"/>
          <w:sz w:val="24"/>
          <w:szCs w:val="24"/>
        </w:rPr>
        <w:t xml:space="preserve">Precisão nos primeiros K, concordância e Kappa entre analista e sistema, e latência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metricas(bd: BaseDados, ks: tuple[int, ...] = (10, 25, 50, 100)) -&gt; dict:</w:t>
      </w:r>
    </w:p>
    <w:p>
      <w:pPr>
        <w:shd w:fill="F4F3EF" w:color="auto" w:val="clear"/>
        <w:spacing w:after="0" w:before="0" w:line="220"/>
        <w:ind w:left="113" w:right="113"/>
      </w:pPr>
      <w:r>
        <w:rPr>
          <w:rFonts w:ascii="Courier New" w:cs="Courier New" w:eastAsia="Courier New" w:hAnsi="Courier New"/>
          <w:sz w:val="17"/>
          <w:szCs w:val="17"/>
        </w:rPr>
        <w:t xml:space="preserve">    """Métricas operacionais a partir das revisões humanas.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 precisão@K: entre os K itens de maior prioridade já revistos, fracção que o</w:t>
      </w:r>
    </w:p>
    <w:p>
      <w:pPr>
        <w:shd w:fill="F4F3EF" w:color="auto" w:val="clear"/>
        <w:spacing w:after="0" w:before="0" w:line="220"/>
        <w:ind w:left="113" w:right="113"/>
      </w:pPr>
      <w:r>
        <w:rPr>
          <w:rFonts w:ascii="Courier New" w:cs="Courier New" w:eastAsia="Courier New" w:hAnsi="Courier New"/>
          <w:sz w:val="17"/>
          <w:szCs w:val="17"/>
        </w:rPr>
        <w:t xml:space="preserve">      analista confirmou como ameaça (qualquer categoria diferente de Normal);</w:t>
      </w:r>
    </w:p>
    <w:p>
      <w:pPr>
        <w:shd w:fill="F4F3EF" w:color="auto" w:val="clear"/>
        <w:spacing w:after="0" w:before="0" w:line="220"/>
        <w:ind w:left="113" w:right="113"/>
      </w:pPr>
      <w:r>
        <w:rPr>
          <w:rFonts w:ascii="Courier New" w:cs="Courier New" w:eastAsia="Courier New" w:hAnsi="Courier New"/>
          <w:sz w:val="17"/>
          <w:szCs w:val="17"/>
        </w:rPr>
        <w:t xml:space="preserve">    - concordância e Kappa analista–sistema;</w:t>
      </w:r>
    </w:p>
    <w:p>
      <w:pPr>
        <w:shd w:fill="F4F3EF" w:color="auto" w:val="clear"/>
        <w:spacing w:after="0" w:before="0" w:line="220"/>
        <w:ind w:left="113" w:right="113"/>
      </w:pPr>
      <w:r>
        <w:rPr>
          <w:rFonts w:ascii="Courier New" w:cs="Courier New" w:eastAsia="Courier New" w:hAnsi="Courier New"/>
          <w:sz w:val="17"/>
          <w:szCs w:val="17"/>
        </w:rPr>
        <w:t xml:space="preserve">    - latência recolha→classificação (mediana e P95), para a H2.</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rev = bd.consultar(</w:t>
      </w:r>
    </w:p>
    <w:p>
      <w:pPr>
        <w:shd w:fill="F4F3EF" w:color="auto" w:val="clear"/>
        <w:spacing w:after="0" w:before="0" w:line="220"/>
        <w:ind w:left="113" w:right="113"/>
      </w:pPr>
      <w:r>
        <w:rPr>
          <w:rFonts w:ascii="Courier New" w:cs="Courier New" w:eastAsia="Courier New" w:hAnsi="Courier New"/>
          <w:sz w:val="17"/>
          <w:szCs w:val="17"/>
        </w:rPr>
        <w:t xml:space="preserve">        """SELECT k.categoria AS sistema, r.categoria AS analista, k.prioridade</w:t>
      </w:r>
    </w:p>
    <w:p>
      <w:pPr>
        <w:shd w:fill="F4F3EF" w:color="auto" w:val="clear"/>
        <w:spacing w:after="0" w:before="0" w:line="220"/>
        <w:ind w:left="113" w:right="113"/>
      </w:pPr>
      <w:r>
        <w:rPr>
          <w:rFonts w:ascii="Courier New" w:cs="Courier New" w:eastAsia="Courier New" w:hAnsi="Courier New"/>
          <w:sz w:val="17"/>
          <w:szCs w:val="17"/>
        </w:rPr>
        <w:t xml:space="preserve">           FROM revisoes r JOIN classificacoes k ON k.id_pub = r.id_pub ORDER BY k.prioridade DESC"""</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out: dict = {"n_revistas": len(rev)}</w:t>
      </w:r>
    </w:p>
    <w:p>
      <w:pPr>
        <w:shd w:fill="F4F3EF" w:color="auto" w:val="clear"/>
        <w:spacing w:after="0" w:before="0" w:line="220"/>
        <w:ind w:left="113" w:right="113"/>
      </w:pPr>
      <w:r>
        <w:rPr>
          <w:rFonts w:ascii="Courier New" w:cs="Courier New" w:eastAsia="Courier New" w:hAnsi="Courier New"/>
          <w:sz w:val="17"/>
          <w:szCs w:val="17"/>
        </w:rPr>
        <w:t xml:space="preserve">    if rev:</w:t>
      </w:r>
    </w:p>
    <w:p>
      <w:pPr>
        <w:shd w:fill="F4F3EF" w:color="auto" w:val="clear"/>
        <w:spacing w:after="0" w:before="0" w:line="220"/>
        <w:ind w:left="113" w:right="113"/>
      </w:pPr>
      <w:r>
        <w:rPr>
          <w:rFonts w:ascii="Courier New" w:cs="Courier New" w:eastAsia="Courier New" w:hAnsi="Courier New"/>
          <w:sz w:val="17"/>
          <w:szCs w:val="17"/>
        </w:rPr>
        <w:t xml:space="preserve">        ameaca = [x["analista"] != "Normal" for x in rev]</w:t>
      </w:r>
    </w:p>
    <w:p>
      <w:pPr>
        <w:shd w:fill="F4F3EF" w:color="auto" w:val="clear"/>
        <w:spacing w:after="0" w:before="0" w:line="220"/>
        <w:ind w:left="113" w:right="113"/>
      </w:pPr>
      <w:r>
        <w:rPr>
          <w:rFonts w:ascii="Courier New" w:cs="Courier New" w:eastAsia="Courier New" w:hAnsi="Courier New"/>
          <w:sz w:val="17"/>
          <w:szCs w:val="17"/>
        </w:rPr>
        <w:t xml:space="preserve">        out["precisao_at_k"] = {k: round(sum(ameaca[:k]) / min(k, len(ameaca)), 3) for k in ks if len(ameaca) &gt;= k}</w:t>
      </w:r>
    </w:p>
    <w:p>
      <w:pPr>
        <w:shd w:fill="F4F3EF" w:color="auto" w:val="clear"/>
        <w:spacing w:after="0" w:before="0" w:line="220"/>
        <w:ind w:left="113" w:right="113"/>
      </w:pPr>
      <w:r>
        <w:rPr>
          <w:rFonts w:ascii="Courier New" w:cs="Courier New" w:eastAsia="Courier New" w:hAnsi="Courier New"/>
          <w:sz w:val="17"/>
          <w:szCs w:val="17"/>
        </w:rPr>
        <w:t xml:space="preserve">        s, a = [x["sistema"] for x in rev], [x["analista"] for x in rev]</w:t>
      </w:r>
    </w:p>
    <w:p>
      <w:pPr>
        <w:shd w:fill="F4F3EF" w:color="auto" w:val="clear"/>
        <w:spacing w:after="0" w:before="0" w:line="220"/>
        <w:ind w:left="113" w:right="113"/>
      </w:pPr>
      <w:r>
        <w:rPr>
          <w:rFonts w:ascii="Courier New" w:cs="Courier New" w:eastAsia="Courier New" w:hAnsi="Courier New"/>
          <w:sz w:val="17"/>
          <w:szCs w:val="17"/>
        </w:rPr>
        <w:t xml:space="preserve">        out["concordancia"] = round(sum(x == y for x, y in zip(s, a)) / len(rev), 3)</w:t>
      </w:r>
    </w:p>
    <w:p>
      <w:pPr>
        <w:shd w:fill="F4F3EF" w:color="auto" w:val="clear"/>
        <w:spacing w:after="0" w:before="0" w:line="220"/>
        <w:ind w:left="113" w:right="113"/>
      </w:pPr>
      <w:r>
        <w:rPr>
          <w:rFonts w:ascii="Courier New" w:cs="Courier New" w:eastAsia="Courier New" w:hAnsi="Courier New"/>
          <w:sz w:val="17"/>
          <w:szCs w:val="17"/>
        </w:rPr>
        <w:t xml:space="preserve">        k = _kappa(s, a)</w:t>
      </w:r>
    </w:p>
    <w:p>
      <w:pPr>
        <w:shd w:fill="F4F3EF" w:color="auto" w:val="clear"/>
        <w:spacing w:after="0" w:before="0" w:line="220"/>
        <w:ind w:left="113" w:right="113"/>
      </w:pPr>
      <w:r>
        <w:rPr>
          <w:rFonts w:ascii="Courier New" w:cs="Courier New" w:eastAsia="Courier New" w:hAnsi="Courier New"/>
          <w:sz w:val="17"/>
          <w:szCs w:val="17"/>
        </w:rPr>
        <w:t xml:space="preserve">        out["kappa_analista_sistema"] = None if k is None else round(k, 3)</w:t>
      </w:r>
    </w:p>
    <w:p>
      <w:pPr>
        <w:shd w:fill="F4F3EF" w:color="auto" w:val="clear"/>
        <w:spacing w:after="0" w:before="0" w:line="220"/>
        <w:ind w:left="113" w:right="113"/>
      </w:pPr>
      <w:r>
        <w:rPr>
          <w:rFonts w:ascii="Courier New" w:cs="Courier New" w:eastAsia="Courier New" w:hAnsi="Courier New"/>
          <w:sz w:val="17"/>
          <w:szCs w:val="17"/>
        </w:rPr>
        <w:t xml:space="preserve">        out["por_categoria"] = {</w:t>
      </w:r>
    </w:p>
    <w:p>
      <w:pPr>
        <w:shd w:fill="F4F3EF" w:color="auto" w:val="clear"/>
        <w:spacing w:after="0" w:before="0" w:line="220"/>
        <w:ind w:left="113" w:right="113"/>
      </w:pPr>
      <w:r>
        <w:rPr>
          <w:rFonts w:ascii="Courier New" w:cs="Courier New" w:eastAsia="Courier New" w:hAnsi="Courier New"/>
          <w:sz w:val="17"/>
          <w:szCs w:val="17"/>
        </w:rPr>
        <w:t xml:space="preserve">            c: {"previstas": s.count(c), "confirmadas": sum(1 for x, y in zip(s, a) if x == c and y == c)}</w:t>
      </w:r>
    </w:p>
    <w:p>
      <w:pPr>
        <w:shd w:fill="F4F3EF" w:color="auto" w:val="clear"/>
        <w:spacing w:after="0" w:before="0" w:line="220"/>
        <w:ind w:left="113" w:right="113"/>
      </w:pPr>
      <w:r>
        <w:rPr>
          <w:rFonts w:ascii="Courier New" w:cs="Courier New" w:eastAsia="Courier New" w:hAnsi="Courier New"/>
          <w:sz w:val="17"/>
          <w:szCs w:val="17"/>
        </w:rPr>
        <w:t xml:space="preserve">            for c in ROTULOS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lat = bd.consultar(</w:t>
      </w:r>
    </w:p>
    <w:p>
      <w:pPr>
        <w:shd w:fill="F4F3EF" w:color="auto" w:val="clear"/>
        <w:spacing w:after="0" w:before="0" w:line="220"/>
        <w:ind w:left="113" w:right="113"/>
      </w:pPr>
      <w:r>
        <w:rPr>
          <w:rFonts w:ascii="Courier New" w:cs="Courier New" w:eastAsia="Courier New" w:hAnsi="Courier New"/>
          <w:sz w:val="17"/>
          <w:szCs w:val="17"/>
        </w:rPr>
        <w:t xml:space="preserve">        """SELECT p.recolhido_em, k.classificado_em FROM classificacoes k JOIN publicacoes p ON p.id_pub = k.id_pub"""</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seg = [</w:t>
      </w:r>
    </w:p>
    <w:p>
      <w:pPr>
        <w:shd w:fill="F4F3EF" w:color="auto" w:val="clear"/>
        <w:spacing w:after="0" w:before="0" w:line="220"/>
        <w:ind w:left="113" w:right="113"/>
      </w:pPr>
      <w:r>
        <w:rPr>
          <w:rFonts w:ascii="Courier New" w:cs="Courier New" w:eastAsia="Courier New" w:hAnsi="Courier New"/>
          <w:sz w:val="17"/>
          <w:szCs w:val="17"/>
        </w:rPr>
        <w:t xml:space="preserve">        (datetime.fromisoformat(x["classificado_em"]) - datetime.fromisoformat(x["recolhido_em"])).total_seconds()</w:t>
      </w:r>
    </w:p>
    <w:p>
      <w:pPr>
        <w:shd w:fill="F4F3EF" w:color="auto" w:val="clear"/>
        <w:spacing w:after="0" w:before="0" w:line="220"/>
        <w:ind w:left="113" w:right="113"/>
      </w:pPr>
      <w:r>
        <w:rPr>
          <w:rFonts w:ascii="Courier New" w:cs="Courier New" w:eastAsia="Courier New" w:hAnsi="Courier New"/>
          <w:sz w:val="17"/>
          <w:szCs w:val="17"/>
        </w:rPr>
        <w:t xml:space="preserve">        for x in lat</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if seg:</w:t>
      </w:r>
    </w:p>
    <w:p>
      <w:pPr>
        <w:shd w:fill="F4F3EF" w:color="auto" w:val="clear"/>
        <w:spacing w:after="0" w:before="0" w:line="220"/>
        <w:ind w:left="113" w:right="113"/>
      </w:pPr>
      <w:r>
        <w:rPr>
          <w:rFonts w:ascii="Courier New" w:cs="Courier New" w:eastAsia="Courier New" w:hAnsi="Courier New"/>
          <w:sz w:val="17"/>
          <w:szCs w:val="17"/>
        </w:rPr>
        <w:t xml:space="preserve">        seg.sort()</w:t>
      </w:r>
    </w:p>
    <w:p>
      <w:pPr>
        <w:shd w:fill="F4F3EF" w:color="auto" w:val="clear"/>
        <w:spacing w:after="0" w:before="0" w:line="220"/>
        <w:ind w:left="113" w:right="113"/>
      </w:pPr>
      <w:r>
        <w:rPr>
          <w:rFonts w:ascii="Courier New" w:cs="Courier New" w:eastAsia="Courier New" w:hAnsi="Courier New"/>
          <w:sz w:val="17"/>
          <w:szCs w:val="17"/>
        </w:rPr>
        <w:t xml:space="preserve">        out["latencia_s"] = {</w:t>
      </w:r>
    </w:p>
    <w:p>
      <w:pPr>
        <w:shd w:fill="F4F3EF" w:color="auto" w:val="clear"/>
        <w:spacing w:after="0" w:before="0" w:line="220"/>
        <w:ind w:left="113" w:right="113"/>
      </w:pPr>
      <w:r>
        <w:rPr>
          <w:rFonts w:ascii="Courier New" w:cs="Courier New" w:eastAsia="Courier New" w:hAnsi="Courier New"/>
          <w:sz w:val="17"/>
          <w:szCs w:val="17"/>
        </w:rPr>
        <w:t xml:space="preserve">            "n": len(seg), "mediana": round(statistics.median(seg), 3),</w:t>
      </w:r>
    </w:p>
    <w:p>
      <w:pPr>
        <w:shd w:fill="F4F3EF" w:color="auto" w:val="clear"/>
        <w:spacing w:after="0" w:before="0" w:line="220"/>
        <w:ind w:left="113" w:right="113"/>
      </w:pPr>
      <w:r>
        <w:rPr>
          <w:rFonts w:ascii="Courier New" w:cs="Courier New" w:eastAsia="Courier New" w:hAnsi="Courier New"/>
          <w:sz w:val="17"/>
          <w:szCs w:val="17"/>
        </w:rPr>
        <w:t xml:space="preserve">            "p95": round(seg[min(len(seg) - 1, int(0.95 * len(seg)))], 3), "max": round(seg[-1], 3),</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inf = bd.consultar("SELECT AVG(duracao_ms) AS m FROM classificacoes")</w:t>
      </w:r>
    </w:p>
    <w:p>
      <w:pPr>
        <w:shd w:fill="F4F3EF" w:color="auto" w:val="clear"/>
        <w:spacing w:after="0" w:before="0" w:line="220"/>
        <w:ind w:left="113" w:right="113"/>
      </w:pPr>
      <w:r>
        <w:rPr>
          <w:rFonts w:ascii="Courier New" w:cs="Courier New" w:eastAsia="Courier New" w:hAnsi="Courier New"/>
          <w:sz w:val="17"/>
          <w:szCs w:val="17"/>
        </w:rPr>
        <w:t xml:space="preserve">    if inf and inf[0]["m"] is not None:</w:t>
      </w:r>
    </w:p>
    <w:p>
      <w:pPr>
        <w:shd w:fill="F4F3EF" w:color="auto" w:val="clear"/>
        <w:spacing w:after="0" w:before="0" w:line="220"/>
        <w:ind w:left="113" w:right="113"/>
      </w:pPr>
      <w:r>
        <w:rPr>
          <w:rFonts w:ascii="Courier New" w:cs="Courier New" w:eastAsia="Courier New" w:hAnsi="Courier New"/>
          <w:sz w:val="17"/>
          <w:szCs w:val="17"/>
        </w:rPr>
        <w:t xml:space="preserve">        out["inferencia_ms_por_item"] = round(inf[0]["m"], 2)</w:t>
      </w:r>
    </w:p>
    <w:p>
      <w:pPr>
        <w:shd w:fill="F4F3EF" w:color="auto" w:val="clear"/>
        <w:spacing w:after="200" w:before="0" w:line="220"/>
        <w:ind w:left="113" w:right="113"/>
      </w:pPr>
      <w:r>
        <w:rPr>
          <w:rFonts w:ascii="Courier New" w:cs="Courier New" w:eastAsia="Courier New" w:hAnsi="Courier New"/>
          <w:sz w:val="17"/>
          <w:szCs w:val="17"/>
        </w:rPr>
        <w:t xml:space="preserve">    return out</w:t>
      </w:r>
    </w:p>
    <w:p>
      <w:pPr>
        <w:sectPr>
          <w:headerReference w:type="default" r:id="rId27"/>
          <w:footerReference w:type="default" r:id="rId28"/>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B – GUIA DE ANOTAÇÃO PADRONIZADO</w:t>
      </w:r>
    </w:p>
    <w:p>
      <w:pPr>
        <w:spacing w:after="120" w:before="0" w:line="360"/>
        <w:ind w:firstLine="567"/>
        <w:jc w:val="both"/>
      </w:pPr>
      <w:r>
        <w:rPr>
          <w:rFonts w:ascii="Times New Roman" w:cs="Times New Roman" w:eastAsia="Times New Roman" w:hAnsi="Times New Roman"/>
          <w:sz w:val="24"/>
          <w:szCs w:val="24"/>
        </w:rPr>
        <w:t xml:space="preserve">Este guia orientou os três anotadores na classificação dos comentários do corpus angolano. Todos o receberam antes de começar e comprometeram-se a segui-lo de forma independente, sem comunicar entre si durante a anotação.</w:t>
      </w:r>
    </w:p>
    <w:p>
      <w:pPr>
        <w:pStyle w:val="Heading2"/>
        <w:keepNext/>
        <w:keepLines/>
        <w:spacing w:after="160" w:before="360" w:line="300"/>
      </w:pPr>
      <w:r>
        <w:rPr>
          <w:rFonts w:ascii="Times New Roman" w:cs="Times New Roman" w:eastAsia="Times New Roman" w:hAnsi="Times New Roman"/>
          <w:b/>
          <w:bCs/>
          <w:sz w:val="26"/>
          <w:szCs w:val="26"/>
        </w:rPr>
        <w:t xml:space="preserve">B.1 Identificação do projecto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20"/>
      </w:tblGrid>
      <w:tr>
        <w:trPr>
          <w:cantSplit/>
          <w:tblHeader/>
        </w:trPr>
        <w:tc>
          <w:tcPr>
            <w:tcW w:type="dxa" w:w="2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Campo</w:t>
            </w:r>
          </w:p>
        </w:tc>
        <w:tc>
          <w:tcPr>
            <w:tcW w:type="dxa" w:w="5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Informação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Título da investigação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Monitoramento inteligente de ameaças em redes sociais em Angola para o apoio à defesa e segurança nacional</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Investigador principal</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Manuel Gonga Muinga</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Instituição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Universidade Agostinho Neto, Faculdade de Engenharia</w:t>
            </w:r>
          </w:p>
        </w:tc>
      </w:tr>
      <w:tr>
        <w:trPr>
          <w:cantSplit/>
          <w:tblHeader w:val="false"/>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Período de anotação</w:t>
            </w:r>
          </w:p>
        </w:tc>
        <w:tc>
          <w:tcPr>
            <w:tcW w:type="dxa" w:w="5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Junho a Outubro de 2026</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B.2 Objectivo da anotação</w:t>
      </w:r>
    </w:p>
    <w:p>
      <w:pPr>
        <w:spacing w:after="120" w:before="0" w:line="360"/>
        <w:ind w:firstLine="567"/>
        <w:jc w:val="both"/>
      </w:pPr>
      <w:r>
        <w:rPr>
          <w:rFonts w:ascii="Times New Roman" w:cs="Times New Roman" w:eastAsia="Times New Roman" w:hAnsi="Times New Roman"/>
          <w:sz w:val="24"/>
          <w:szCs w:val="24"/>
        </w:rPr>
        <w:t xml:space="preserve">Atribuir a cada comentário uma, e só uma, das quatro categorias definidas abaixo. As anotações constituem a referência para treinar e avaliar os modelos, pelo que a sua consistência determina a validade dos resultados.</w:t>
      </w:r>
    </w:p>
    <w:p>
      <w:pPr>
        <w:pStyle w:val="Heading2"/>
        <w:keepNext/>
        <w:keepLines/>
        <w:spacing w:after="160" w:before="360" w:line="300"/>
      </w:pPr>
      <w:r>
        <w:rPr>
          <w:rFonts w:ascii="Times New Roman" w:cs="Times New Roman" w:eastAsia="Times New Roman" w:hAnsi="Times New Roman"/>
          <w:b/>
          <w:bCs/>
          <w:sz w:val="26"/>
          <w:szCs w:val="26"/>
        </w:rPr>
        <w:t xml:space="preserve">B.3 Categorias</w:t>
      </w:r>
    </w:p>
    <w:p>
      <w:pPr>
        <w:pStyle w:val="Heading3"/>
        <w:keepNext/>
        <w:spacing w:after="120" w:before="240"/>
      </w:pPr>
      <w:r>
        <w:rPr>
          <w:rFonts w:ascii="Times New Roman" w:cs="Times New Roman" w:eastAsia="Times New Roman" w:hAnsi="Times New Roman"/>
          <w:b/>
          <w:bCs/>
          <w:sz w:val="24"/>
          <w:szCs w:val="24"/>
        </w:rPr>
        <w:t xml:space="preserve">B.3.1 Normal (rótulo Normal)</w:t>
      </w:r>
    </w:p>
    <w:p>
      <w:pPr>
        <w:spacing w:after="120" w:before="0" w:line="360"/>
        <w:ind w:firstLine="567"/>
        <w:jc w:val="both"/>
      </w:pPr>
      <w:r>
        <w:rPr>
          <w:rFonts w:ascii="Times New Roman" w:cs="Times New Roman" w:eastAsia="Times New Roman" w:hAnsi="Times New Roman"/>
          <w:sz w:val="24"/>
          <w:szCs w:val="24"/>
        </w:rPr>
        <w:t xml:space="preserve">Comentários que não representam ameaça à segurança, à ordem pública ou aos direitos fundamentais. Inclui notícias factuais, entretenimento, crítica política legítima, humor e conversa quotidiana. Exemplos: «O Governo anunciou hoje a inauguração da nova estrada em Benguela»; «As políticas económicas precisam de ser revistas urgentemente» (crítica sem incitação).</w:t>
      </w:r>
    </w:p>
    <w:p>
      <w:pPr>
        <w:pStyle w:val="Heading3"/>
        <w:keepNext/>
        <w:spacing w:after="120" w:before="240"/>
      </w:pPr>
      <w:r>
        <w:rPr>
          <w:rFonts w:ascii="Times New Roman" w:cs="Times New Roman" w:eastAsia="Times New Roman" w:hAnsi="Times New Roman"/>
          <w:b/>
          <w:bCs/>
          <w:sz w:val="24"/>
          <w:szCs w:val="24"/>
        </w:rPr>
        <w:t xml:space="preserve">B.3.2 Desinformação (rótulo Desinformacao)</w:t>
      </w:r>
    </w:p>
    <w:p>
      <w:pPr>
        <w:spacing w:after="120" w:before="0" w:line="360"/>
        <w:ind w:firstLine="567"/>
        <w:jc w:val="both"/>
      </w:pPr>
      <w:r>
        <w:rPr>
          <w:rFonts w:ascii="Times New Roman" w:cs="Times New Roman" w:eastAsia="Times New Roman" w:hAnsi="Times New Roman"/>
          <w:sz w:val="24"/>
          <w:szCs w:val="24"/>
        </w:rPr>
        <w:t xml:space="preserve">Informação falsa, enganosa ou deliberadamente distorcida, com potencial para causar dano público, manipular a opinião ou criar pânico. Inclui notícias fabricadas, vídeos fora de contexto ou manipulados e declarações falsamente atribuídas a figuras públicas. Exemplos: «URGENTE: vídeo mostra um governante a confessar desvio de fundos. PARTILHA!» (vídeo manipulado); «Surto de doença mortal em Luanda, as autoridades estão a esconder a verdade» (sem fonte). Se a publicação apresentar factos reais com contexto distorcido para enganar, classifique como Desinformação.</w:t>
      </w:r>
    </w:p>
    <w:p>
      <w:pPr>
        <w:pStyle w:val="Heading3"/>
        <w:keepNext/>
        <w:spacing w:after="120" w:before="240"/>
      </w:pPr>
      <w:r>
        <w:rPr>
          <w:rFonts w:ascii="Times New Roman" w:cs="Times New Roman" w:eastAsia="Times New Roman" w:hAnsi="Times New Roman"/>
          <w:b/>
          <w:bCs/>
          <w:sz w:val="24"/>
          <w:szCs w:val="24"/>
        </w:rPr>
        <w:t xml:space="preserve">B.3.3 Discurso de ódio (rótulo Odio)</w:t>
      </w:r>
    </w:p>
    <w:p>
      <w:pPr>
        <w:spacing w:after="120" w:before="0" w:line="360"/>
        <w:ind w:firstLine="567"/>
        <w:jc w:val="both"/>
      </w:pPr>
      <w:r>
        <w:rPr>
          <w:rFonts w:ascii="Times New Roman" w:cs="Times New Roman" w:eastAsia="Times New Roman" w:hAnsi="Times New Roman"/>
          <w:sz w:val="24"/>
          <w:szCs w:val="24"/>
        </w:rPr>
        <w:t xml:space="preserve">Conteúdo que promove, incita ou justifica discriminação, hostilidade ou violência com base em etnia, religião, origem regional, género ou orientação sexual, de forma explícita ou implícita (estereótipos, desumanização, linguagem codificada). O calão com conteúdo discriminatório entra nesta categoria. A crítica a governos, partidos ou figuras públicas não é discurso de ódio; o critério é a desumanização ou a discriminação por identidade.</w:t>
      </w:r>
    </w:p>
    <w:p>
      <w:pPr>
        <w:pStyle w:val="Heading3"/>
        <w:keepNext/>
        <w:spacing w:after="120" w:before="240"/>
      </w:pPr>
      <w:r>
        <w:rPr>
          <w:rFonts w:ascii="Times New Roman" w:cs="Times New Roman" w:eastAsia="Times New Roman" w:hAnsi="Times New Roman"/>
          <w:b/>
          <w:bCs/>
          <w:sz w:val="24"/>
          <w:szCs w:val="24"/>
        </w:rPr>
        <w:t xml:space="preserve">B.3.4 Mobilização hostil (rótulo Mobilizacao)</w:t>
      </w:r>
    </w:p>
    <w:p>
      <w:pPr>
        <w:spacing w:after="120" w:before="0" w:line="360"/>
        <w:ind w:firstLine="567"/>
        <w:jc w:val="both"/>
      </w:pPr>
      <w:r>
        <w:rPr>
          <w:rFonts w:ascii="Times New Roman" w:cs="Times New Roman" w:eastAsia="Times New Roman" w:hAnsi="Times New Roman"/>
          <w:sz w:val="24"/>
          <w:szCs w:val="24"/>
        </w:rPr>
        <w:t xml:space="preserve">Comentários que organizam, coordenam ou incitam à participação em acções ilegais ou violentas, ou que ameacem a ordem pública. Exemplos: «Amanhã Luanda pára. Quem não aparecer é traidor. Tragam o que foi combinado.» Uma convocatória para manifestação pacífica e legal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é Mobilização Hostil e deve ser classificada como Normal.</w:t>
      </w:r>
    </w:p>
    <w:p>
      <w:pPr>
        <w:pStyle w:val="Heading2"/>
        <w:keepNext/>
        <w:keepLines/>
        <w:spacing w:after="160" w:before="360" w:line="300"/>
      </w:pPr>
      <w:r>
        <w:rPr>
          <w:rFonts w:ascii="Times New Roman" w:cs="Times New Roman" w:eastAsia="Times New Roman" w:hAnsi="Times New Roman"/>
          <w:b/>
          <w:bCs/>
          <w:sz w:val="26"/>
          <w:szCs w:val="26"/>
        </w:rPr>
        <w:t xml:space="preserve">B.4 Casos limítrofes</w:t>
      </w:r>
    </w:p>
    <w:p>
      <w:pPr>
        <w:spacing w:after="120" w:before="0" w:line="360"/>
        <w:ind w:firstLine="567"/>
        <w:jc w:val="both"/>
      </w:pPr>
      <w:r>
        <w:rPr>
          <w:rFonts w:ascii="Times New Roman" w:cs="Times New Roman" w:eastAsia="Times New Roman" w:hAnsi="Times New Roman"/>
          <w:b/>
          <w:bCs/>
          <w:sz w:val="24"/>
          <w:szCs w:val="24"/>
        </w:rPr>
        <w:t xml:space="preserve">Crítica política ou desinformação.</w:t>
      </w:r>
      <w:r>
        <w:rPr>
          <w:rFonts w:ascii="Times New Roman" w:cs="Times New Roman" w:eastAsia="Times New Roman" w:hAnsi="Times New Roman"/>
          <w:sz w:val="24"/>
          <w:szCs w:val="24"/>
        </w:rPr>
        <w:t xml:space="preserve"> Dados incorrectos numa crítica são Normal se o erro parecer involuntário e verificável; são Desinformação se forem apresentados como verdade sem fonte, com marcadores de manipulação (por exemplo, «partilha antes que apaguem»).</w:t>
      </w:r>
    </w:p>
    <w:p>
      <w:pPr>
        <w:spacing w:after="120" w:before="0" w:line="360"/>
        <w:ind w:firstLine="567"/>
        <w:jc w:val="both"/>
      </w:pPr>
      <w:r>
        <w:rPr>
          <w:rFonts w:ascii="Times New Roman" w:cs="Times New Roman" w:eastAsia="Times New Roman" w:hAnsi="Times New Roman"/>
          <w:b/>
          <w:bCs/>
          <w:sz w:val="24"/>
          <w:szCs w:val="24"/>
        </w:rPr>
        <w:t xml:space="preserve">Convocatória pacífica ou mobilização hostil.</w:t>
      </w:r>
      <w:r>
        <w:rPr>
          <w:rFonts w:ascii="Times New Roman" w:cs="Times New Roman" w:eastAsia="Times New Roman" w:hAnsi="Times New Roman"/>
          <w:sz w:val="24"/>
          <w:szCs w:val="24"/>
        </w:rPr>
        <w:t xml:space="preserve"> É Normal quando explicita o carácter pacífico e legal da acção; é Mobilização Hostil quando combina coordenação, linguagem coerciva ou de violência e ausência de referência ao carácter legal.</w:t>
      </w:r>
    </w:p>
    <w:p>
      <w:pPr>
        <w:spacing w:after="120" w:before="0" w:line="360"/>
        <w:ind w:firstLine="567"/>
        <w:jc w:val="both"/>
      </w:pPr>
      <w:r>
        <w:rPr>
          <w:rFonts w:ascii="Times New Roman" w:cs="Times New Roman" w:eastAsia="Times New Roman" w:hAnsi="Times New Roman"/>
          <w:b/>
          <w:bCs/>
          <w:sz w:val="24"/>
          <w:szCs w:val="24"/>
        </w:rPr>
        <w:t xml:space="preserve">Ódio implícito ou observação.</w:t>
      </w:r>
      <w:r>
        <w:rPr>
          <w:rFonts w:ascii="Times New Roman" w:cs="Times New Roman" w:eastAsia="Times New Roman" w:hAnsi="Times New Roman"/>
          <w:sz w:val="24"/>
          <w:szCs w:val="24"/>
        </w:rPr>
        <w:t xml:space="preserve"> É Discurso de Ódio quando atribui características negativas a um grupo pela sua identidade e usa linguagem de exclusão, mesmo que formulada como «facto».</w:t>
      </w:r>
    </w:p>
    <w:p>
      <w:pPr>
        <w:pStyle w:val="Heading2"/>
        <w:keepNext/>
        <w:keepLines/>
        <w:spacing w:after="160" w:before="360" w:line="300"/>
      </w:pPr>
      <w:r>
        <w:rPr>
          <w:rFonts w:ascii="Times New Roman" w:cs="Times New Roman" w:eastAsia="Times New Roman" w:hAnsi="Times New Roman"/>
          <w:b/>
          <w:bCs/>
          <w:sz w:val="26"/>
          <w:szCs w:val="26"/>
        </w:rPr>
        <w:t xml:space="preserve">B.5 Regras de desempate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 a publicação tiver elementos de mais de uma categoria, escolha a mais grave: Mobilização Hostil &gt; Discurso de Ódio &gt; Desinformação &gt; Normal.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comentários com calão ou expressões de línguas nacionais, aplique os mesmos critérios; em caso de dúvida sobre o significado, registe-a na coluna de observações.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Ironia e sátira sem intenção de dano são Normal; ironia que mascara conteúdo nocivo segue a categoria correspondente.</w:t>
      </w:r>
    </w:p>
    <w:p>
      <w:pPr>
        <w:pStyle w:val="Heading2"/>
        <w:keepNext/>
        <w:keepLines/>
        <w:spacing w:after="160" w:before="360" w:line="300"/>
      </w:pPr>
      <w:r>
        <w:rPr>
          <w:rFonts w:ascii="Times New Roman" w:cs="Times New Roman" w:eastAsia="Times New Roman" w:hAnsi="Times New Roman"/>
          <w:b/>
          <w:bCs/>
          <w:sz w:val="26"/>
          <w:szCs w:val="26"/>
        </w:rPr>
        <w:t xml:space="preserve">B.6 Instruções de preenchimento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Ler cada comentário na íntegra antes de classificar.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Registar a categoria e, nos casos difíceis, uma observação.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consultar os outros anotadores durante a fase individual.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caso de dúvida persistente, registar e continuar, sem bloquear o processo.</w:t>
      </w:r>
    </w:p>
    <w:p>
      <w:pPr>
        <w:sectPr>
          <w:headerReference w:type="default" r:id="rId29"/>
          <w:footerReference w:type="default" r:id="rId30"/>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C – ACORDO ENTRE ANOTADORES</w:t>
      </w:r>
    </w:p>
    <w:p>
      <w:pPr>
        <w:spacing w:after="120" w:before="0" w:line="360"/>
        <w:ind w:firstLine="567"/>
        <w:jc w:val="both"/>
      </w:pPr>
      <w:r>
        <w:rPr>
          <w:rFonts w:ascii="Times New Roman" w:cs="Times New Roman" w:eastAsia="Times New Roman" w:hAnsi="Times New Roman"/>
          <w:sz w:val="24"/>
          <w:szCs w:val="24"/>
        </w:rPr>
        <w:t xml:space="preserve">Este apêndice documenta o cálculo do acordo entre os três anotadores do corpus angolano.</w:t>
      </w:r>
    </w:p>
    <w:p>
      <w:pPr>
        <w:pStyle w:val="Heading2"/>
        <w:keepNext/>
        <w:keepLines/>
        <w:spacing w:after="160" w:before="360" w:line="300"/>
      </w:pPr>
      <w:r>
        <w:rPr>
          <w:rFonts w:ascii="Times New Roman" w:cs="Times New Roman" w:eastAsia="Times New Roman" w:hAnsi="Times New Roman"/>
          <w:b/>
          <w:bCs/>
          <w:sz w:val="26"/>
          <w:szCs w:val="26"/>
        </w:rPr>
        <w:t xml:space="preserve">C.1 Escala de interpretação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C.1 – Escala de interpretação do Kappa (Landis &amp; Koch, 1977)</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2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Valor de κ</w:t>
            </w:r>
          </w:p>
        </w:tc>
        <w:tc>
          <w:tcPr>
            <w:tcW w:type="dxa" w:w="5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Grau de acordo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&lt; 0,00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Pobre</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0,00–0,20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Ligeiro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0,21–0,40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Razoável</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0,41–0,60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Moderado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0,61–0,80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Substancial</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0,81–1,00</w:t>
            </w:r>
          </w:p>
        </w:tc>
        <w:tc>
          <w:tcPr>
            <w:tcW w:type="dxa" w:w="5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Quase perfeito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C.2 Fórmulas</w:t>
      </w:r>
    </w:p>
    <w:p>
      <w:pPr>
        <w:spacing w:after="120" w:before="0" w:line="360"/>
        <w:ind w:firstLine="567"/>
        <w:jc w:val="both"/>
      </w:pPr>
      <w:r>
        <w:rPr>
          <w:rFonts w:ascii="Times New Roman" w:cs="Times New Roman" w:eastAsia="Times New Roman" w:hAnsi="Times New Roman"/>
          <w:sz w:val="24"/>
          <w:szCs w:val="24"/>
        </w:rPr>
        <w:t xml:space="preserve">O Kappa de Cohen, para um par de anotadores, é κ = (Po − Pe) / (1 − Pe), onde Po é a proporção de acordo observado e Pe a proporção de acordo esperada ao acaso, calculada a partir das distribuições marginais de cada anotador (Cohen, 1960). O Kappa de Fleiss generaliza esta medida para três ou mais anotadores, calculando Po como a média, por item, da proporção de pares de anotadores em acordo e Pe a partir da distribuição global das categorias (Fleiss, 1971).</w:t>
      </w:r>
    </w:p>
    <w:p>
      <w:pPr>
        <w:pStyle w:val="Heading2"/>
        <w:keepNext/>
        <w:keepLines/>
        <w:spacing w:after="160" w:before="360" w:line="300"/>
      </w:pPr>
      <w:r>
        <w:rPr>
          <w:rFonts w:ascii="Times New Roman" w:cs="Times New Roman" w:eastAsia="Times New Roman" w:hAnsi="Times New Roman"/>
          <w:b/>
          <w:bCs/>
          <w:sz w:val="26"/>
          <w:szCs w:val="26"/>
        </w:rPr>
        <w:t xml:space="preserve">C.3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C.2 – Acordo entre os três anotadores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020"/>
      </w:tblGrid>
      <w:tr>
        <w:trPr>
          <w:cantSplit/>
          <w:tblHeader/>
        </w:trPr>
        <w:tc>
          <w:tcPr>
            <w:tcW w:type="dxa" w:w="3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2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 [0,695; 0,741]</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 médio (3 pares)</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Concordância observada</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81,3%</w:t>
            </w:r>
          </w:p>
        </w:tc>
      </w:tr>
      <w:tr>
        <w:trPr>
          <w:cantSplit/>
          <w:tblHeader w:val="false"/>
        </w:trP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temático de vídeos (284 itens)</w:t>
            </w:r>
          </w:p>
        </w:tc>
        <w:tc>
          <w:tcPr>
            <w:tcW w:type="dxa" w:w="2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0,818 [0,763; 0,869]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do lote temático não é comparável com o das amostras aleatórias, por resultar de uma selecção não aleatória com distribuição de categorias diferente.</w:t>
      </w:r>
    </w:p>
    <w:p>
      <w:pPr>
        <w:spacing w:after="120" w:before="0" w:line="360"/>
        <w:ind w:firstLine="567"/>
        <w:jc w:val="both"/>
      </w:pPr>
      <w:r>
        <w:rPr>
          <w:rFonts w:ascii="Times New Roman" w:cs="Times New Roman" w:eastAsia="Times New Roman" w:hAnsi="Times New Roman"/>
          <w:sz w:val="24"/>
          <w:szCs w:val="24"/>
        </w:rPr>
        <w:t xml:space="preserve">A Tabela C.3 detalha o acordo nas amostras aleatórias do piloto (2.443 itens com etiqueta dos três anotadores), por par de anotadores e por categoria. Os anotadores são identificados por letras. O par menos concordante fica em 0,684 e o mais concordante em 0,772, todos no intervalo substancial. Por categoria, a Desinformação é a que reúne menos acordo (0,625), o que é coerente com a dificuldade de a distinguir da crítica política sem verificar os factos alegados.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C.3 – Acordo por par de anotadores e por categoria (amostras aleatórias, n = 2.443)</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3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Desagregação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A–B</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0,700</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0,684</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B–C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Média dos pares [IC 95%]</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 [0,696; 0,741]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0,738</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0,625</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0,753</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sem lotes enriquecidos (n = 2.352)</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0,717</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enriquecido por léxico (n = 91)</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0,697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de Fleiss por categoria trata cada categoria contra as restantes. Valores calculados pelo script compute_pilot_kappa.py (ficheiro kappa_piloto.json).</w:t>
      </w:r>
    </w:p>
    <w:p>
      <w:pPr>
        <w:pStyle w:val="Heading2"/>
        <w:keepNext/>
        <w:keepLines/>
        <w:spacing w:after="160" w:before="360" w:line="300"/>
      </w:pPr>
      <w:r>
        <w:rPr>
          <w:rFonts w:ascii="Times New Roman" w:cs="Times New Roman" w:eastAsia="Times New Roman" w:hAnsi="Times New Roman"/>
          <w:b/>
          <w:bCs/>
          <w:sz w:val="26"/>
          <w:szCs w:val="26"/>
        </w:rPr>
        <w:t xml:space="preserve">C.4 Distribuição das etiquetas finais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C.4 – Distribuição das etiquetas finais do corpus angolano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Comentários</w:t>
            </w:r>
          </w:p>
        </w:tc>
        <w:tc>
          <w:tcPr>
            <w:tcW w:type="dxa" w:w="2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Percentagem</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63,1%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13,8%</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326</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12,4%</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10,7%</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2.637</w:t>
            </w:r>
          </w:p>
        </w:tc>
        <w:tc>
          <w:tcPr>
            <w:tcW w:type="dxa" w:w="2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100%</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Inclui as amostras aleatórias e os dois lotes enriquecidos, antes da deduplicação feita na harmonização do corpus.</w:t>
      </w:r>
    </w:p>
    <w:p>
      <w:pPr>
        <w:sectPr>
          <w:headerReference w:type="default" r:id="rId31"/>
          <w:footerReference w:type="default" r:id="rId32"/>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D – DECLARAÇÃO DE CONSENTIMENTO E CONFIDENCIALIDADE DOS ANOTADORES</w:t>
      </w:r>
    </w:p>
    <w:p>
      <w:pPr>
        <w:spacing w:after="120" w:before="0" w:line="360"/>
        <w:ind w:firstLine="567"/>
        <w:jc w:val="both"/>
      </w:pPr>
      <w:r>
        <w:rPr>
          <w:rFonts w:ascii="Times New Roman" w:cs="Times New Roman" w:eastAsia="Times New Roman" w:hAnsi="Times New Roman"/>
          <w:sz w:val="24"/>
          <w:szCs w:val="24"/>
        </w:rPr>
        <w:t xml:space="preserve">Esta declaração foi assinada por cada anotador antes do início da anotação.</w:t>
      </w:r>
    </w:p>
    <w:p>
      <w:pPr>
        <w:spacing w:after="120" w:before="0" w:line="360"/>
        <w:jc w:val="both"/>
      </w:pPr>
      <w:r>
        <w:rPr>
          <w:rFonts w:ascii="Times New Roman" w:cs="Times New Roman" w:eastAsia="Times New Roman" w:hAnsi="Times New Roman"/>
          <w:sz w:val="24"/>
          <w:szCs w:val="24"/>
        </w:rPr>
        <w:t xml:space="preserve">Eu, abaixo assinado(a), declaro que: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sobre os objectivos, a metodologia e a finalidade da investigação «Monitoramento inteligente de ameaças em redes sociais em Angola para o apoio à defesa e segurança nacional», conduzida por Manuel Gonga Muinga na Universidade Agostinho Neto.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Participo voluntariamente como anotador(a), sem remuneração, e posso retirar o meu consentimento a qualquer momento sem penalização.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minha função consiste em classificar comentários de redes sociais em quatro categorias, seguindo o Guia de Anotação (Apêndice B), de forma independente.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Comprometo-me a manter a confidencialidade do conteúdo analisado e a não o usar para outro fim.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tenho conflitos de interesses com o investigador nem com os temas analisados.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Autorizo o uso das minhas anotações para fins exclusivamente académicos e científicos, sem identificação nominal nos resultados publicados.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de que os meus dados pessoais (nome e assinatura) serão tratados de forma confidencial, nos termos da Lei n.º 22/11, de 17 de Junho.</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Luanda, ____ de ________________ de 2026</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Nome do(a) anotador(a): ____________________________________________</w:t>
      </w:r>
    </w:p>
    <w:p>
      <w:pPr>
        <w:spacing w:after="120" w:before="0" w:line="360"/>
        <w:jc w:val="both"/>
      </w:pPr>
      <w:r>
        <w:rPr>
          <w:rFonts w:ascii="Times New Roman" w:cs="Times New Roman" w:eastAsia="Times New Roman" w:hAnsi="Times New Roman"/>
          <w:sz w:val="24"/>
          <w:szCs w:val="24"/>
        </w:rPr>
        <w:t xml:space="preserve">Assinatura: ______________________________________________________</w:t>
      </w:r>
    </w:p>
    <w:p>
      <w:pPr>
        <w:spacing w:after="120" w:before="0" w:line="360"/>
        <w:jc w:val="both"/>
      </w:pPr>
      <w:r>
        <w:rPr>
          <w:rFonts w:ascii="Times New Roman" w:cs="Times New Roman" w:eastAsia="Times New Roman" w:hAnsi="Times New Roman"/>
          <w:sz w:val="24"/>
          <w:szCs w:val="24"/>
        </w:rPr>
        <w:t xml:space="preserve">Investigador principal: Manuel Gonga Muinga  ________________________</w:t>
      </w:r>
    </w:p>
    <w:p>
      <w:pPr>
        <w:sectPr>
          <w:headerReference w:type="default" r:id="rId33"/>
          <w:footerReference w:type="default" r:id="rId3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E – AMOSTRA ANOTADA DO CORPUS</w:t>
      </w:r>
    </w:p>
    <w:p>
      <w:pPr>
        <w:spacing w:after="120" w:before="0" w:line="360"/>
        <w:ind w:firstLine="567"/>
        <w:jc w:val="both"/>
      </w:pPr>
      <w:r>
        <w:rPr>
          <w:rFonts w:ascii="Times New Roman" w:cs="Times New Roman" w:eastAsia="Times New Roman" w:hAnsi="Times New Roman"/>
          <w:sz w:val="24"/>
          <w:szCs w:val="24"/>
        </w:rPr>
        <w:t xml:space="preserve">Este apêndice apresenta 20 comentários reais do corpus angolano, com as anotações individuais e a etiqueta final. A amostra foi extraída do ficheiro corpus_ground_truth_com_texto_v13.csv por sorteio com semente fixa (42), cinco comentários por categoria, entre os comentários de YouTube das amostras aleatórias cuja etiqueta final coincide com a maioria dos anotadores. Ficaram de fora as publicações de imprensa e de organizações e os lotes enriquecidos. Os textos mantêm a grafia original. Os nomes de pessoas foram substituídos por descritores entre parênteses rectos, e os comentários longos foram reduzidos ao trecho relevante, assinalado com (…).</w:t>
      </w:r>
    </w:p>
    <w:p>
      <w:pPr>
        <w:pStyle w:val="LegendaTabela"/>
        <w:keepNext/>
        <w:spacing w:after="80" w:before="240" w:line="240"/>
        <w:jc w:val="center"/>
      </w:pPr>
      <w:r>
        <w:rPr>
          <w:rFonts w:ascii="Times New Roman" w:cs="Times New Roman" w:eastAsia="Times New Roman" w:hAnsi="Times New Roman"/>
          <w:b/>
          <w:bCs/>
          <w:sz w:val="20"/>
          <w:szCs w:val="20"/>
        </w:rPr>
        <w:t xml:space="preserve">Tabela E.1 – Amostra de comentários anotados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120"/>
        <w:gridCol w:w="520"/>
        <w:gridCol w:w="520"/>
        <w:gridCol w:w="520"/>
        <w:gridCol w:w="900"/>
        <w:gridCol w:w="1140"/>
      </w:tblGrid>
      <w:tr>
        <w:trPr>
          <w:cantSplit/>
          <w:tblHeader/>
        </w:trPr>
        <w:tc>
          <w:tcPr>
            <w:tcW w:type="dxa" w:w="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N.º</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Excerto (anonimizado)</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Final</w:t>
            </w:r>
          </w:p>
        </w:tc>
        <w:tc>
          <w:tcPr>
            <w:tcW w:type="dxa" w:w="114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Unânime</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Mesmo no Brasil 🇧🇷 creio que são piores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Minha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Meu Deus do céu como pode uma pessoa se aproveitar da pobreza dos outros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Máximo respeito Gangster.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Axo muito bem força mano deus esta com nosco, nao tenha medo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 [pessoa referida]? Laranjas e chocolates, e uma mansão de 6 milhões comprada em plena pandemia.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Só Deus para nós livrar das garras desses senhores que se intitulam donos de Angola e de todos os recursos que existe neste País. Verdade bem dita.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isso cá no meu país é proibido passar em órgãos públicos! Eu garanto que o Mplá é a máfia mais perigosa do mundo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[político brasileiro] deu palestra e ganhou meio milhão. Seu sobrinho faturou legal tb.</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Essa reportagem é encomendada por [líder religioso] e a Universal. A Universal está nesse momento sendo expulsa de Angola, por conta de crimes cometidos e por conta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GOVERNO DE ESQUERDA É MARAVILHOSO QUE O DIGA O DIGA O POVO VENEZUELANO E NORTE COREANO!!!!!🤣🤣🤣🤣🤣🤣🤣🤣🤣🤣🤣🤣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o povo angolano anda muito atrasado pois mesmo se apercebendo duq tem acontecido ñ faz nada contra a causa' apenas obcerva a sua própria destruição por parte dos dirigentes pa p#t@ do país.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Nada justifica o que??? É medo que você tem de apoiar o povo. Tem sim uma justificativa 💔 deixa disso homem do MPLA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Mano essa currupcao será difícil acaba cm MPLA n poder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Força vamos libertar o país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no puder. Viva povo de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Os fins justificam os meios... Estou orgulhoso de vocês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Está faltar chegarmos até aos condomínios 👌 eles moram lá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É QUE SE UNEM E VÃO NO PALÁCIO..E NÃO CULPO ESTE POVO SOFREDOR E ABANDONADO 😢</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Normal; D = Desinformação; O = Discurso de Ódio; M = Mobilização Hostil. A amostra não foi escolhida para ilustrar casos claros, e mostra também o ruído da anotação: o comentário 12, composto apenas por emojis, recebeu a etiqueta Discurso de Ódio de dois anotadores, e o 11 é sarcasmo político, de fronteira discutível com a categoria Normal. Casos como estes ajudam a explicar o κ substancial, mas não quase perfeito, do Apêndice C.</w:t>
      </w:r>
    </w:p>
    <w:p>
      <w:pPr>
        <w:sectPr>
          <w:headerReference w:type="default" r:id="rId35"/>
          <w:footerReference w:type="default" r:id="rId36"/>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F – MANUAL DE INSTALAÇÃO E UTILIZAÇÃO DO SISTEMA</w:t>
      </w:r>
    </w:p>
    <w:p>
      <w:pPr>
        <w:spacing w:after="120" w:before="0" w:line="360"/>
        <w:ind w:firstLine="567"/>
        <w:jc w:val="both"/>
      </w:pPr>
      <w:r>
        <w:rPr>
          <w:rFonts w:ascii="Times New Roman" w:cs="Times New Roman" w:eastAsia="Times New Roman" w:hAnsi="Times New Roman"/>
          <w:sz w:val="24"/>
          <w:szCs w:val="24"/>
        </w:rPr>
        <w:t xml:space="preserve">O sistema está na pasta sistema_uan do repositório do projecto. Os comandos seguintes destinam-se à linha de comandos do Windows (cmd), executados nessa pasta.</w:t>
      </w:r>
    </w:p>
    <w:p>
      <w:pPr>
        <w:pStyle w:val="Heading2"/>
        <w:keepNext/>
        <w:keepLines/>
        <w:spacing w:after="160" w:before="360" w:line="300"/>
      </w:pPr>
      <w:r>
        <w:rPr>
          <w:rFonts w:ascii="Times New Roman" w:cs="Times New Roman" w:eastAsia="Times New Roman" w:hAnsi="Times New Roman"/>
          <w:b/>
          <w:bCs/>
          <w:sz w:val="26"/>
          <w:szCs w:val="26"/>
        </w:rPr>
        <w:t xml:space="preserve">F.1 Instalação</w:t>
      </w:r>
    </w:p>
    <w:p>
      <w:pPr>
        <w:shd w:fill="F4F3EF" w:color="auto" w:val="clear"/>
        <w:spacing w:after="0" w:before="120" w:line="220"/>
        <w:ind w:left="113" w:right="113"/>
      </w:pPr>
      <w:r>
        <w:rPr>
          <w:rFonts w:ascii="Courier New" w:cs="Courier New" w:eastAsia="Courier New" w:hAnsi="Courier New"/>
          <w:sz w:val="17"/>
          <w:szCs w:val="17"/>
        </w:rPr>
        <w:t xml:space="preserve">python -m pip install -r requirements.txt</w:t>
      </w:r>
    </w:p>
    <w:p>
      <w:pPr>
        <w:shd w:fill="F4F3EF" w:color="auto" w:val="clear"/>
        <w:spacing w:after="200" w:before="0" w:line="220"/>
        <w:ind w:left="113" w:right="113"/>
      </w:pPr>
      <w:r>
        <w:rPr>
          <w:rFonts w:ascii="Courier New" w:cs="Courier New" w:eastAsia="Courier New" w:hAnsi="Courier New"/>
          <w:sz w:val="17"/>
          <w:szCs w:val="17"/>
        </w:rPr>
        <w:t xml:space="preserve">python -m pytest -q</w:t>
      </w:r>
    </w:p>
    <w:p>
      <w:pPr>
        <w:pStyle w:val="Heading2"/>
        <w:keepNext/>
        <w:keepLines/>
        <w:spacing w:after="160" w:before="360" w:line="300"/>
      </w:pPr>
      <w:r>
        <w:rPr>
          <w:rFonts w:ascii="Times New Roman" w:cs="Times New Roman" w:eastAsia="Times New Roman" w:hAnsi="Times New Roman"/>
          <w:b/>
          <w:bCs/>
          <w:sz w:val="26"/>
          <w:szCs w:val="26"/>
        </w:rPr>
        <w:t xml:space="preserve">F.2 Configuração</w:t>
      </w:r>
    </w:p>
    <w:p>
      <w:pPr>
        <w:spacing w:after="120" w:before="0" w:line="360"/>
        <w:ind w:firstLine="567"/>
        <w:jc w:val="both"/>
      </w:pPr>
      <w:r>
        <w:rPr>
          <w:rFonts w:ascii="Times New Roman" w:cs="Times New Roman" w:eastAsia="Times New Roman" w:hAnsi="Times New Roman"/>
          <w:sz w:val="24"/>
          <w:szCs w:val="24"/>
        </w:rPr>
        <w:t xml:space="preserve">O sistema lê a configuração do ficheiro uan.env, na pasta do sistema, que se cria a partir de uan.env.exemplo e nunca é guardado no repositório. As duas variáveis essenciais são a pasta do modelo e o segredo dos pseudónimos:</w:t>
      </w:r>
    </w:p>
    <w:p>
      <w:pPr>
        <w:shd w:fill="F4F3EF" w:color="auto" w:val="clear"/>
        <w:spacing w:after="0" w:before="120" w:line="220"/>
        <w:ind w:left="113" w:right="113"/>
      </w:pPr>
      <w:r>
        <w:rPr>
          <w:rFonts w:ascii="Courier New" w:cs="Courier New" w:eastAsia="Courier New" w:hAnsi="Courier New"/>
          <w:sz w:val="17"/>
          <w:szCs w:val="17"/>
        </w:rPr>
        <w:t xml:space="preserve">UAN_MODELO=C:\modelos\bertimbau_uan_v13_s42</w:t>
      </w:r>
    </w:p>
    <w:p>
      <w:pPr>
        <w:shd w:fill="F4F3EF" w:color="auto" w:val="clear"/>
        <w:spacing w:after="200" w:before="0" w:line="220"/>
        <w:ind w:left="113" w:right="113"/>
      </w:pPr>
      <w:r>
        <w:rPr>
          <w:rFonts w:ascii="Courier New" w:cs="Courier New" w:eastAsia="Courier New" w:hAnsi="Courier New"/>
          <w:sz w:val="17"/>
          <w:szCs w:val="17"/>
        </w:rPr>
        <w:t xml:space="preserve">UAN_SEGREDO_HASH=frase-secreta-longa</w:t>
      </w:r>
    </w:p>
    <w:p>
      <w:pPr>
        <w:pStyle w:val="LegendaTabela"/>
        <w:keepNext/>
        <w:spacing w:after="80" w:before="240" w:line="240"/>
        <w:jc w:val="center"/>
      </w:pPr>
      <w:r>
        <w:rPr>
          <w:rFonts w:ascii="Times New Roman" w:cs="Times New Roman" w:eastAsia="Times New Roman" w:hAnsi="Times New Roman"/>
          <w:b/>
          <w:bCs/>
          <w:sz w:val="20"/>
          <w:szCs w:val="20"/>
        </w:rPr>
        <w:t xml:space="preserve">Tabela F.1 – Variáveis de configuração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920"/>
      </w:tblGrid>
      <w:tr>
        <w:trPr>
          <w:cantSplit/>
          <w:tblHeader/>
        </w:trPr>
        <w:tc>
          <w:tcPr>
            <w:tcW w:type="dxa" w:w="2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Variável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Valor por omissão</w:t>
            </w:r>
          </w:p>
        </w:tc>
        <w:tc>
          <w:tcPr>
            <w:tcW w:type="dxa" w:w="39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Significado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UAN_MODELO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Pasta do modelo; vazio activa o classificador de demonstração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UAN_SEGREDO_HASH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Segredo do pseudónimo dos autores; obrigatório para importar</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UAN_CHAVE_API</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Chave da interface de programação em /api; vazio desactiva-a</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UAN_BD</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dados\sistema.db</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Ficheiro da base de dados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UAN_MAX_LENGTH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Comprimento máximo em subpalavras (igual ao do treino)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UAN_LOTE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 de inferência e sublote de gravação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UAN_DISPOSITIVO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auto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cpu, cuda ou auto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UAN_DIAS_CONSERVACAO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180</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Prazo de conservação das publicações não revistas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UAN_HORAS_SESSAO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Duração da sessão na aplicação web</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UAN_COOKIE_SEGURO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quando o sistema for servido por HTTPS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UAN_YOUTUBE_CHAVE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Chave da YouTube Data API v3; vazio limita a recolha às fontes web</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UAN_RECOLHA_INTERVALO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Segundos entre pedidos ao mesmo sítio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UAN_RECOLHA_MAX_PAGINAS</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40</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Máximo de páginas visitadas por fonte em cada recolha</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UAN_SMTP_SERVIDOR</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Servidor de e-mail dos alertas; vazio deixa os alertas só na aplicação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UAN_SMTP_PORTA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587</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587 com STARTTLS ou 465 com SSL</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UAN_SMTP_UTILIZADOR, UAN_SMTP_SENHA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Conta de envio, quando o servidor exige autenticação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UAN_SMTP_REMETENTE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Endereço que aparece como remetente</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UAN_URL_BASE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http://127.0.0.1:8000</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Endereço do sistema, usado nas ligações dos e-mails</w:t>
            </w:r>
          </w:p>
        </w:tc>
      </w:tr>
      <w:tr>
        <w:trPr>
          <w:cantSplit/>
          <w:tblHeader w:val="false"/>
        </w:trPr>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UAN_DEMONSTRACAO</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w:t>
            </w:r>
          </w:p>
        </w:tc>
        <w:tc>
          <w:tcPr>
            <w:tcW w:type="dxa" w:w="39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activa o modo de demonstração (normalmente activado pela opção --demonstracao)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F.3 Arranque e primeira utilização</w:t>
      </w:r>
    </w:p>
    <w:p>
      <w:pPr>
        <w:shd w:fill="F4F3EF" w:color="auto" w:val="clear"/>
        <w:spacing w:after="200" w:before="120" w:line="220"/>
        <w:ind w:left="113" w:right="113"/>
      </w:pPr>
      <w:r>
        <w:rPr>
          <w:rFonts w:ascii="Courier New" w:cs="Courier New" w:eastAsia="Courier New" w:hAnsi="Courier New"/>
          <w:sz w:val="17"/>
          <w:szCs w:val="17"/>
        </w:rPr>
        <w:t xml:space="preserve">python uan.py servir</w:t>
      </w:r>
    </w:p>
    <w:p>
      <w:pPr>
        <w:spacing w:after="120" w:before="0" w:line="360"/>
        <w:ind w:firstLine="567"/>
        <w:jc w:val="both"/>
      </w:pPr>
      <w:r>
        <w:rPr>
          <w:rFonts w:ascii="Times New Roman" w:cs="Times New Roman" w:eastAsia="Times New Roman" w:hAnsi="Times New Roman"/>
          <w:sz w:val="24"/>
          <w:szCs w:val="24"/>
        </w:rPr>
        <w:t xml:space="preserve">Depois de arrancar, abre-se o endereço http://127.0.0.1:8000 no navegador. Na primeira utilização, a aplicação pede a criação da conta do supervisor, que depois cria as contas dos analistas na página Utilizadores. Por omissão, o servidor só aceita ligações do próprio computador; para o abrir à rede interna usa-se a opção --anfitriao 0.0.0.0, com a porta protegida pela firewall e, fora de ensaios, atrás de HTTPS.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F.2 – Páginas da aplicação web</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4120"/>
      </w:tblGrid>
      <w:tr>
        <w:trPr>
          <w:cantSplit/>
          <w:tblHeader/>
        </w:trPr>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Página</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Acesso</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Função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Panorama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Contagens por categoria, dia, plataforma e lote, sem vistas por autor</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Fila de revisão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sinalizados por prioridade; decisão com botões ou teclas 1 a 4</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Amostra de controlo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classificados como Normal, sorteados, sempre sem sugestão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Fontes e recolha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Registo de fontes públicas (YouTube, RSS, páginas e sítios) e recolha</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Alertas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Ameaças confirmadas e tendências; contador no menu e sino no topo, actualizados em tempo real</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Mapa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Taxa de ameaças por província e variação face ao período anterior; cartão por província, reprodução semana a semana, linhas de tendência, descarga em SVG ou PNG</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Relatório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 (enviar: 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Relatório de alertas de ameaças: imprimir, PDF, CSV e e-mail</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Sobre o modelo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Ficha do modelo: desempenho por categoria e em conteúdo angolano, limitações e acordo observado com os analistas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 (importar: 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Importação, proveniência e classificação de pendentes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Métricas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Precisão@K, κ analista–sistema e entre analistas, sensibilidade, latência; exportações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Utilizadores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Criação, desactivação e redefinição de palavra-passe</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Registo de todas as acções relevantes</w:t>
            </w:r>
          </w:p>
        </w:tc>
      </w:tr>
      <w:tr>
        <w:trPr>
          <w:cantSplit/>
          <w:tblHeader w:val="false"/>
        </w:trPr>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Definições</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Revisão cega, regras e destinatários dos alertas, limpeza de conservação e cópias de segurança</w:t>
            </w:r>
          </w:p>
        </w:tc>
      </w:tr>
    </w:tbl>
    <w:p>
      <w:pPr>
        <w:spacing w:after="240" w:before="60" w:line="240"/>
        <w:jc w:val="both"/>
      </w:pPr>
    </w:p>
    <w:p>
      <w:pPr>
        <w:spacing w:after="120" w:before="0" w:line="360"/>
        <w:ind w:firstLine="567"/>
        <w:jc w:val="both"/>
      </w:pPr>
      <w:r>
        <w:rPr>
          <w:rFonts w:ascii="Times New Roman" w:cs="Times New Roman" w:eastAsia="Times New Roman" w:hAnsi="Times New Roman"/>
          <w:sz w:val="24"/>
          <w:szCs w:val="24"/>
        </w:rPr>
        <w:t xml:space="preserve">No topo de cada página estão a caixa Procurar (Ctrl+K), que abre a paleta de comandos, o sino dos alertas e o botão do tema (automático, escuro ou claro). Na primeira entrada, a visita guiada apresenta as páginas principais; pode ser repetida no fundo do menu. A Tabela F.3 resume os atalhos de teclado; a tecla ? mostra-os na própria aplicação.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F.3 – Atalhos de teclado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20"/>
      </w:tblGrid>
      <w:tr>
        <w:trPr>
          <w:cantSplit/>
          <w:tblHeader/>
        </w:trPr>
        <w:tc>
          <w:tcPr>
            <w:tcW w:type="dxa" w:w="2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Tecla</w:t>
            </w:r>
          </w:p>
        </w:tc>
        <w:tc>
          <w:tcPr>
            <w:tcW w:type="dxa" w:w="5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Acção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1, 2, 3, 4</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Decidir o item seleccionado: Normal, Desinformação, Discurso de Ódio, Mobilização Hostil</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J, K (ou setas)</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Item seguinte ou anterior na fila</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Desfazer a última decisão (durante 5 segundos)</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Abrir o detalhe do item no painel lateral</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Escrever uma nota no item</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 seguido de F, A, M, R, P ou 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Ir para Fila, Alertas, Mapa, Relatório, Panorama ou Sobre o modelo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Ctrl+K</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Procurar páginas e acções</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Mostrar a ajuda dos atalhos</w:t>
            </w:r>
          </w:p>
        </w:tc>
      </w:tr>
      <w:tr>
        <w:trPr>
          <w:cantSplit/>
          <w:tblHeader w:val="false"/>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Esc</w:t>
            </w:r>
          </w:p>
        </w:tc>
        <w:tc>
          <w:tcPr>
            <w:tcW w:type="dxa" w:w="5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Fechar painéis, a paleta e a visita guiada</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F.4 Modo de demonstração</w:t>
      </w:r>
    </w:p>
    <w:p>
      <w:pPr>
        <w:spacing w:after="120" w:before="0" w:line="360"/>
        <w:ind w:firstLine="567"/>
        <w:jc w:val="both"/>
      </w:pPr>
      <w:r>
        <w:rPr>
          <w:rFonts w:ascii="Times New Roman" w:cs="Times New Roman" w:eastAsia="Times New Roman" w:hAnsi="Times New Roman"/>
          <w:sz w:val="24"/>
          <w:szCs w:val="24"/>
        </w:rPr>
        <w:t xml:space="preserve">Para apresentar o sistema sem usar dados reais, arranca-se com a opção --demonstracao. Na primeira vez, o sistema cria a base de dados dados\demonstracao.db com publicações fictícias de 16 semanas, decisões de analistas e alertas, e usa o classificador de palavras-chave. A base de dados real não é aberta, todas as páginas mostram a faixa «Demonstração» e nenhum e-mail é enviado. As contas são demo.supervisor, demo.analista e demo.revisor, com a palavra-passe demonstracao. A opção --repor apaga e recria os dados fictícios.</w:t>
      </w:r>
    </w:p>
    <w:p>
      <w:pPr>
        <w:shd w:fill="F4F3EF" w:color="auto" w:val="clear"/>
        <w:spacing w:after="200" w:before="120" w:line="220"/>
        <w:ind w:left="113" w:right="113"/>
      </w:pPr>
      <w:r>
        <w:rPr>
          <w:rFonts w:ascii="Courier New" w:cs="Courier New" w:eastAsia="Courier New" w:hAnsi="Courier New"/>
          <w:sz w:val="17"/>
          <w:szCs w:val="17"/>
        </w:rPr>
        <w:t xml:space="preserve">python uan.py servir --demonstracao</w:t>
      </w:r>
    </w:p>
    <w:p>
      <w:pPr>
        <w:pStyle w:val="Heading2"/>
        <w:keepNext/>
        <w:keepLines/>
        <w:spacing w:after="160" w:before="360" w:line="300"/>
      </w:pPr>
      <w:r>
        <w:rPr>
          <w:rFonts w:ascii="Times New Roman" w:cs="Times New Roman" w:eastAsia="Times New Roman" w:hAnsi="Times New Roman"/>
          <w:b/>
          <w:bCs/>
          <w:sz w:val="26"/>
          <w:szCs w:val="26"/>
        </w:rPr>
        <w:t xml:space="preserve">F.5 Recolha de novos dados</w:t>
      </w:r>
    </w:p>
    <w:p>
      <w:pPr>
        <w:spacing w:after="120" w:before="0" w:line="360"/>
        <w:ind w:firstLine="567"/>
        <w:jc w:val="both"/>
      </w:pPr>
      <w:r>
        <w:rPr>
          <w:rFonts w:ascii="Times New Roman" w:cs="Times New Roman" w:eastAsia="Times New Roman" w:hAnsi="Times New Roman"/>
          <w:sz w:val="24"/>
          <w:szCs w:val="24"/>
        </w:rPr>
        <w:t xml:space="preserve">Na página Fontes e recolha, o supervisor regista cada fonte pelo tipo e pelo endereço: a ligação de um vídeo ou de um canal do YouTube (por exemplo, https://www.youtube.com/@canal), o endereço de um feed RSS, a ligação de um artigo ou a página inicial de um sítio de notícias. O botão Recolher percorre as fontes activas, cria um lote por fonte e envia-o para classificação. A recolha do YouTube exige a chave UAN_YOUTUBE_CHAVE, obtida na Google Cloud Console. Para recolha periódica, agenda-se o comando python uan.py recolher no Agendador de Tarefas do Windows. Só se recolhe conteúdo público: o sistema respeita o robots.txt, ignora páginas que pedem palavra-passe e não contorna protecções; o conteúdo de redes que exigem conta entra por importação de ficheiros.</w:t>
      </w:r>
    </w:p>
    <w:p>
      <w:pPr>
        <w:pStyle w:val="Heading2"/>
        <w:keepNext/>
        <w:keepLines/>
        <w:spacing w:after="160" w:before="360" w:line="300"/>
      </w:pPr>
      <w:r>
        <w:rPr>
          <w:rFonts w:ascii="Times New Roman" w:cs="Times New Roman" w:eastAsia="Times New Roman" w:hAnsi="Times New Roman"/>
          <w:b/>
          <w:bCs/>
          <w:sz w:val="26"/>
          <w:szCs w:val="26"/>
        </w:rPr>
        <w:t xml:space="preserve">F.6 Alertas, mapa e relatório</w:t>
      </w:r>
    </w:p>
    <w:p>
      <w:pPr>
        <w:spacing w:after="120" w:before="0" w:line="360"/>
        <w:ind w:firstLine="567"/>
        <w:jc w:val="both"/>
      </w:pPr>
      <w:r>
        <w:rPr>
          <w:rFonts w:ascii="Times New Roman" w:cs="Times New Roman" w:eastAsia="Times New Roman" w:hAnsi="Times New Roman"/>
          <w:sz w:val="24"/>
          <w:szCs w:val="24"/>
        </w:rPr>
        <w:t xml:space="preserve">Para os alertas por e-mail, definem-se no uan.env o servidor de envio (UAN_SMTP_SERVIDOR) e o remetente (UAN_SMTP_REMETENTE) e, na página Definições, os destinatários. Na mesma página o supervisor ajusta o número de analistas que confirmam uma ameaça, a janela e o mínimo de casos da tendência e o crescimento mínimo, e pode enviar um e-mail de teste. Sem servidor configurado, os alertas ficam apenas na aplicação. A página Mapa e a página Relatório aceitam um período escolhido pelo utilizador (datas ou 7, 30 e 90 dias). O relatório pode ser impresso ou guardado em PDF a partir do navegador, descarregado em CSV ou, pelo supervisor, enviado por e-mail. Para um relatório periódico, agenda-se python uan.py relatorio --dias 7 --email no Agendador de Tarefas do Windows.</w:t>
      </w:r>
    </w:p>
    <w:p>
      <w:pPr>
        <w:pStyle w:val="Heading2"/>
        <w:keepNext/>
        <w:keepLines/>
        <w:spacing w:after="160" w:before="360" w:line="300"/>
      </w:pPr>
      <w:r>
        <w:rPr>
          <w:rFonts w:ascii="Times New Roman" w:cs="Times New Roman" w:eastAsia="Times New Roman" w:hAnsi="Times New Roman"/>
          <w:b/>
          <w:bCs/>
          <w:sz w:val="26"/>
          <w:szCs w:val="26"/>
        </w:rPr>
        <w:t xml:space="preserve">F.7 Linha de comandos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F.4 – Comandos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3620"/>
      </w:tblGrid>
      <w:tr>
        <w:trPr>
          <w:cantSplit/>
          <w:tblHeader/>
        </w:trPr>
        <w:tc>
          <w:tcPr>
            <w:tcW w:type="dxa" w:w="4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Comando</w:t>
            </w:r>
          </w:p>
        </w:tc>
        <w:tc>
          <w:tcPr>
            <w:tcW w:type="dxa" w:w="3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Função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servir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Arranca a aplicação web</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servir --demonstracao</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Arranca com dados fictícios, numa base de dados separada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criar-utilizador ana --nome "Ana" --papel analista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conta (pede a palavra-passe)</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importar ficheiro.csv --plataforma YouTube --via api_oficial</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Importa e anonimiza um lote, registando a proveniência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fonte-adicionar --tipo sitio --endereco https://exemplo.ao --nome "Jornal"</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Regista uma fonte pública (tipos: youtube_video, youtube_canal, rss, pagina, sitio)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fontes</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Lista as fontes e o estado da última recolha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recolher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Recolhe as fontes activas, cria um lote por fonte e classifica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classificar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Classifica as publicações pendentes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alertas</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Verifica tendências, envia os alertas por e-mail e lista os mais recentes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relatorio --dias 30 --csv relatorio.csv --email</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Gera o relatório de alertas do período; grava em CSV e envia o resumo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metricas</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Calcula as métricas operacionais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exportar revisoes.csv</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Exporta as revisões para novo treino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limpar --dias 180</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Aplica o prazo de conservação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copia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cópia de segurança da base de dados</w:t>
            </w:r>
          </w:p>
        </w:tc>
      </w:tr>
      <w:tr>
        <w:trPr>
          <w:cantSplit/>
          <w:tblHeader w:val="false"/>
        </w:trPr>
        <w:tc>
          <w:tcPr>
            <w:tcW w:type="dxa" w:w="4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medir-latencia ficheiro.csv</w:t>
            </w:r>
          </w:p>
        </w:tc>
        <w:tc>
          <w:tcPr>
            <w:tcW w:type="dxa" w:w="3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Mede o tempo de processamento (H2)</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F.8 Guardar o modelo depois do treino</w:t>
      </w:r>
    </w:p>
    <w:p>
      <w:pPr>
        <w:spacing w:after="120" w:before="0" w:line="360"/>
        <w:ind w:firstLine="567"/>
        <w:jc w:val="both"/>
      </w:pPr>
      <w:r>
        <w:rPr>
          <w:rFonts w:ascii="Times New Roman" w:cs="Times New Roman" w:eastAsia="Times New Roman" w:hAnsi="Times New Roman"/>
          <w:sz w:val="24"/>
          <w:szCs w:val="24"/>
        </w:rPr>
        <w:t xml:space="preserve">No fim da sessão de treino no Google Colab, o modelo deve ser gravado no formato da biblioteca Transformers (config.json, pesos e ficheiros do tokenizador) numa pasta do Google Drive, com a célula fornecida no ficheiro colab_guardar_modelo.py. Essa pasta é depois copiada para o computador e indicada em UAN_MODELO. Junto do modelo deve ficar o ficheiro ficha_modelo.json, copiado de sistema\ficha_modelo.json e actualizado com os resultados do novo treino; é esse ficheiro que a página Sobre o modelo apresenta.</w:t>
      </w:r>
    </w:p>
    <w:sectPr>
      <w:headerReference w:type="default" r:id="rId37"/>
      <w:footerReference w:type="default" r:id="rId38"/>
      <w:type w:val="nextPage"/>
      <w:pgSz w:w="11906" w:h="16838" w:orient="portrait"/>
      <w:pgMar w:top="1701" w:right="1701" w:bottom="1417" w:left="1984" w:header="850"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E</w:t>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F</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1 – Introdução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2 – Revisão da literatura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3 – Metodologia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4 – Resultados e discussão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5 – Conclusões e recomendações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Referências bibliográficas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Glossário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A – Excertos de código-fonte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B – Guia de anotação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C – Acordo entre anotadores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D – Declaração dos anotadores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E – Amostra anotada do corpus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F – Manual do protótipo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LegendaTabela">
    <w:name w:val="LegendaTabela"/>
    <w:basedOn w:val="Normal"/>
    <w:rPr>
      <w:rFonts w:ascii="Times New Roman" w:cs="Times New Roman" w:eastAsia="Times New Roman" w:hAnsi="Times New Roman"/>
      <w:b/>
      <w:bCs/>
      <w:sz w:val="20"/>
      <w:szCs w:val="20"/>
    </w:rPr>
  </w:style>
  <w:style w:type="paragraph" w:styleId="LegendaFigura">
    <w:name w:val="LegendaFigura"/>
    <w:basedOn w:val="Normal"/>
    <w:rPr>
      <w:rFonts w:ascii="Times New Roman" w:cs="Times New Roman" w:eastAsia="Times New Roman" w:hAnsi="Times New Roman"/>
      <w:b/>
      <w:bCs/>
      <w:sz w:val="20"/>
      <w:szCs w:val="20"/>
    </w:rPr>
  </w:style>
  <w:style w:type="paragraph" w:styleId="TituloSemIndice">
    <w:name w:val="TituloSemIndice"/>
    <w:basedOn w:val="Normal"/>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c816aef37e22984724a83e3e10c5dd351647ae01.png"/><Relationship Id="rId40" Type="http://schemas.openxmlformats.org/officeDocument/2006/relationships/image" Target="media/c109c6b9ce633d91afc6e89bbdb8ab4873404065.png"/><Relationship Id="rId41" Type="http://schemas.openxmlformats.org/officeDocument/2006/relationships/image" Target="media/5be778db715b7aa4e89c0d547cc98872a2b22911.png"/><Relationship Id="rId42" Type="http://schemas.openxmlformats.org/officeDocument/2006/relationships/image" Target="media/f3a51382c5cf1e4cbde2ae43cd64aa5a620ad4ff.png"/><Relationship Id="rId43" Type="http://schemas.openxmlformats.org/officeDocument/2006/relationships/image" Target="media/07fb60bd22141ba5613a8c6efd6ec2dfd1eeae87.png"/><Relationship Id="rId44" Type="http://schemas.openxmlformats.org/officeDocument/2006/relationships/image" Target="media/e17474243c328ebd835d6d2930973bcca8c1916e.png"/><Relationship Id="rId45" Type="http://schemas.openxmlformats.org/officeDocument/2006/relationships/image" Target="media/e7bca9b24f2643deb8c15aaca03c7976804397ec.png"/><Relationship Id="rId46" Type="http://schemas.openxmlformats.org/officeDocument/2006/relationships/image" Target="media/ed14317e7338b44f5b563c294fe1ad83a252e79c.png"/><Relationship Id="rId47" Type="http://schemas.openxmlformats.org/officeDocument/2006/relationships/image" Target="media/760dcdb0bcdc29efd263e9d80fa38c7a1268af70.png"/><Relationship Id="rId48" Type="http://schemas.openxmlformats.org/officeDocument/2006/relationships/image" Target="media/579a837ab091c746aa7f8182e1e54ff369958d35.png"/><Relationship Id="rId49" Type="http://schemas.openxmlformats.org/officeDocument/2006/relationships/image" Target="media/358b1766c9812d2047b322c41da73405e7da1477.png"/><Relationship Id="rId50" Type="http://schemas.openxmlformats.org/officeDocument/2006/relationships/image" Target="media/c65b4bc8314e569328de1fc98dcaaffdcbf6ddbb.png"/><Relationship Id="rId51" Type="http://schemas.openxmlformats.org/officeDocument/2006/relationships/image" Target="media/95b3dbf413b63a0eedf5f1ca9f4e92d6d0d189b7.png"/><Relationship Id="rId52" Type="http://schemas.openxmlformats.org/officeDocument/2006/relationships/image" Target="media/115dc5f3dd6cafdadaba5dd89c79eb1d3768a10d.png"/><Relationship Id="rId53" Type="http://schemas.openxmlformats.org/officeDocument/2006/relationships/image" Target="media/3ada2f9ff4d717b97e71d13c161f43fc88490f57.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inteligente de ameaças em redes sociais em Angola</dc:title>
  <dc:creator>Manuel Gonga Muinga</dc:creator>
  <dc:description>Dissertação de Mestrado em Engenharia e Ciência de Dados, UAN, 2026</dc:description>
  <cp:lastModifiedBy>Un-named</cp:lastModifiedBy>
  <cp:revision>1</cp:revision>
  <dcterms:created xsi:type="dcterms:W3CDTF">2026-10-15T16:36:12.070Z</dcterms:created>
  <dcterms:modified xsi:type="dcterms:W3CDTF">2026-10-15T16:36:12.070Z</dcterms:modified>
</cp:coreProperties>
</file>

<file path=docProps/custom.xml><?xml version="1.0" encoding="utf-8"?>
<Properties xmlns="http://schemas.openxmlformats.org/officeDocument/2006/custom-properties" xmlns:vt="http://schemas.openxmlformats.org/officeDocument/2006/docPropsVTypes"/>
</file>