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276"/>
        <w:jc w:val="center"/>
      </w:pPr>
      <w:r>
        <w:rPr>
          <w:rFonts w:ascii="Times New Roman" w:cs="Times New Roman" w:eastAsia="Times New Roman" w:hAnsi="Times New Roman"/>
          <w:sz w:val="26"/>
          <w:szCs w:val="26"/>
        </w:rPr>
        <w:t xml:space="preserve">Manuel Gonga Muinga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sectPr>
          <w:headerReference w:type="default" r:id="rId7"/>
          <w:footerReference w:type="default" r:id="rId8"/>
          <w:pgSz w:w="11906" w:h="16838" w:orient="portrait"/>
          <w:pgMar w:top="1701" w:right="1701" w:bottom="1417" w:left="1984" w:header="850" w:footer="567" w:gutter="0"/>
          <w:pgNumType/>
          <w:docGrid w:linePitch="360"/>
        </w:sectPr>
      </w:pPr>
    </w:p>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48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pPr>
        <w:spacing w:after="480" w:line="240"/>
        <w:ind w:left="4110"/>
        <w:jc w:val="both"/>
      </w:pPr>
      <w:r>
        <w:rPr>
          <w:rFonts w:ascii="Times New Roman" w:cs="Times New Roman" w:eastAsia="Times New Roman" w:hAnsi="Times New Roman"/>
          <w:sz w:val="22"/>
          <w:szCs w:val="22"/>
        </w:rPr>
        <w:t xml:space="preserve">Dissertação submetida à Faculdade de Engenharia da Universidade Agostinho Neto como requisito para obtenção do título de Mestre em </w:t>
      </w:r>
      <w:r>
        <w:rPr>
          <w:rFonts w:ascii="Times New Roman" w:cs="Times New Roman" w:eastAsia="Times New Roman" w:hAnsi="Times New Roman"/>
          <w:b/>
          <w:bCs/>
          <w:sz w:val="22"/>
          <w:szCs w:val="22"/>
        </w:rPr>
        <w:t xml:space="preserve">Engenharia e Ciência de Dados</w:t>
      </w:r>
    </w:p>
    <w:p>
      <w:pPr>
        <w:spacing w:after="40" w:before="0" w:line="276"/>
        <w:jc w:val="center"/>
      </w:pPr>
      <w:r>
        <w:rPr>
          <w:rFonts w:ascii="Times New Roman" w:cs="Times New Roman" w:eastAsia="Times New Roman" w:hAnsi="Times New Roman"/>
          <w:sz w:val="24"/>
          <w:szCs w:val="24"/>
        </w:rPr>
        <w:t xml:space="preserve">Manuel Gonga Muinga</w:t>
      </w:r>
    </w:p>
    <w:p>
      <w:pPr>
        <w:spacing w:after="600" w:before="0" w:line="276"/>
        <w:jc w:val="center"/>
      </w:pPr>
      <w:r>
        <w:rPr>
          <w:rFonts w:ascii="Times New Roman" w:cs="Times New Roman" w:eastAsia="Times New Roman" w:hAnsi="Times New Roman"/>
          <w:sz w:val="22"/>
          <w:szCs w:val="22"/>
        </w:rPr>
        <w:t xml:space="preserve">Engenheiro Electrotécnico</w:t>
      </w:r>
    </w:p>
    <w:p>
      <w:pPr>
        <w:spacing w:after="40" w:line="240"/>
        <w:ind w:left="4110"/>
        <w:jc w:val="both"/>
      </w:pPr>
      <w:r>
        <w:rPr>
          <w:rFonts w:ascii="Times New Roman" w:cs="Times New Roman" w:eastAsia="Times New Roman" w:hAnsi="Times New Roman"/>
          <w:b/>
          <w:bCs/>
          <w:sz w:val="22"/>
          <w:szCs w:val="22"/>
        </w:rPr>
        <w:t xml:space="preserve">Orientador científico:</w:t>
      </w:r>
    </w:p>
    <w:p>
      <w:pPr>
        <w:spacing w:after="240" w:line="240"/>
        <w:ind w:left="4110"/>
        <w:jc w:val="both"/>
      </w:pPr>
      <w:r>
        <w:rPr>
          <w:rFonts w:ascii="Times New Roman" w:cs="Times New Roman" w:eastAsia="Times New Roman" w:hAnsi="Times New Roman"/>
          <w:i/>
          <w:iCs/>
          <w:sz w:val="22"/>
          <w:szCs w:val="22"/>
        </w:rPr>
        <w:t xml:space="preserve">Professor Doutor Joaquim Fortes (UAN)</w:t>
      </w:r>
    </w:p>
    <w:p>
      <w:pPr>
        <w:spacing w:after="40" w:line="240"/>
        <w:ind w:left="4110"/>
        <w:jc w:val="both"/>
      </w:pPr>
      <w:r>
        <w:rPr>
          <w:rFonts w:ascii="Times New Roman" w:cs="Times New Roman" w:eastAsia="Times New Roman" w:hAnsi="Times New Roman"/>
          <w:b/>
          <w:bCs/>
          <w:sz w:val="22"/>
          <w:szCs w:val="22"/>
        </w:rPr>
        <w:t xml:space="preserve">Co-orientador:</w:t>
      </w:r>
    </w:p>
    <w:p>
      <w:pPr>
        <w:spacing w:after="240" w:line="240"/>
        <w:ind w:left="4110"/>
        <w:jc w:val="both"/>
      </w:pPr>
      <w:r>
        <w:rPr>
          <w:rFonts w:ascii="Times New Roman" w:cs="Times New Roman" w:eastAsia="Times New Roman" w:hAnsi="Times New Roman"/>
          <w:i/>
          <w:iCs/>
          <w:sz w:val="22"/>
          <w:szCs w:val="22"/>
        </w:rPr>
        <w:t xml:space="preserve">Professor Doutor Judice Cumbunga (UAN)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pStyle w:val="TituloSemIndice"/>
        <w:pageBreakBefore/>
        <w:spacing w:after="480" w:before="567"/>
        <w:jc w:val="center"/>
      </w:pPr>
      <w:r>
        <w:rPr>
          <w:rFonts w:ascii="Times New Roman" w:cs="Times New Roman" w:eastAsia="Times New Roman" w:hAnsi="Times New Roman"/>
          <w:b/>
          <w:bCs/>
          <w:sz w:val="28"/>
          <w:szCs w:val="28"/>
        </w:rPr>
        <w:t xml:space="preserve">FICHA CATALOGRÁFICA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Mar>
              <w:top w:type="dxa" w:w="200"/>
              <w:left w:type="dxa" w:w="240"/>
              <w:bottom w:type="dxa" w:w="200"/>
              <w:right w:type="dxa" w:w="240"/>
            </w:tcMar>
          </w:tcPr>
          <w:p>
            <w:pPr>
              <w:spacing w:after="140" w:line="240"/>
              <w:jc w:val="both"/>
            </w:pPr>
            <w:r>
              <w:rPr>
                <w:rFonts w:ascii="Times New Roman" w:cs="Times New Roman" w:eastAsia="Times New Roman" w:hAnsi="Times New Roman"/>
                <w:b/>
                <w:bCs/>
                <w:sz w:val="20"/>
                <w:szCs w:val="20"/>
              </w:rPr>
              <w:t xml:space="preserve">Muinga, M. G.</w:t>
            </w:r>
            <w:r>
              <w:rPr>
                <w:rFonts w:ascii="Times New Roman" w:cs="Times New Roman" w:eastAsia="Times New Roman" w:hAnsi="Times New Roman"/>
                <w:sz w:val="20"/>
                <w:szCs w:val="20"/>
              </w:rPr>
              <w:t xml:space="preserve"> (2026). </w:t>
            </w:r>
            <w:r>
              <w:rPr>
                <w:rFonts w:ascii="Times New Roman" w:cs="Times New Roman" w:eastAsia="Times New Roman" w:hAnsi="Times New Roman"/>
                <w:i/>
                <w:iCs/>
                <w:sz w:val="20"/>
                <w:szCs w:val="20"/>
              </w:rPr>
              <w:t xml:space="preserve">Monitoramento inteligente de ameaças em redes sociais em Angola para o apoio à defesa e segurança nacional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[n.º]</w:t>
            </w:r>
            <w:r>
              <w:rPr>
                <w:rFonts w:ascii="Times New Roman" w:cs="Times New Roman" w:eastAsia="Times New Roman" w:hAnsi="Times New Roman"/>
                <w:sz w:val="20"/>
                <w:szCs w:val="20"/>
              </w:rPr>
              <w:t xml:space="preserve"> p.; il.; 30 cm.</w:t>
            </w:r>
          </w:p>
          <w:p>
            <w:pPr>
              <w:spacing w:after="140" w:line="240"/>
              <w:jc w:val="both"/>
            </w:pPr>
            <w:r>
              <w:rPr>
                <w:rFonts w:ascii="Times New Roman" w:cs="Times New Roman" w:eastAsia="Times New Roman" w:hAnsi="Times New Roman"/>
                <w:sz w:val="20"/>
                <w:szCs w:val="20"/>
              </w:rPr>
              <w:t xml:space="preserve">Dissertação de Mestrado em Engenharia e Ciência de Dados (Mecdata), 2024–2026. Universidade Agostinho Neto, Faculdade de Engenharia, Departamento de Engenharia Mecânica.</w:t>
            </w:r>
          </w:p>
          <w:p>
            <w:pPr>
              <w:spacing w:after="140" w:line="240"/>
              <w:jc w:val="both"/>
            </w:pPr>
            <w:r>
              <w:rPr>
                <w:rFonts w:ascii="Times New Roman" w:cs="Times New Roman" w:eastAsia="Times New Roman" w:hAnsi="Times New Roman"/>
                <w:sz w:val="20"/>
                <w:szCs w:val="20"/>
              </w:rPr>
              <w:t xml:space="preserve">Orientador: Professor Doutor Joaquim Fortes. Co-orientador: Professor Doutor Judice Cumbunga.</w:t>
            </w:r>
          </w:p>
          <w:p>
            <w:pPr>
              <w:spacing w:after="140" w:line="240"/>
              <w:jc w:val="both"/>
            </w:pPr>
            <w:r>
              <w:rPr>
                <w:rFonts w:ascii="Times New Roman" w:cs="Times New Roman" w:eastAsia="Times New Roman" w:hAnsi="Times New Roman"/>
                <w:sz w:val="20"/>
                <w:szCs w:val="20"/>
              </w:rPr>
              <w:t xml:space="preserve">Palavras-chave: 1. Redes sociais. 2. Detecção de discurso de ódio. 3. Desinformação. 4. BERTimbau. 5. Processamento de linguagem natural. 6. Segurança nacional.</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i/>
          <w:iCs/>
          <w:sz w:val="20"/>
          <w:szCs w:val="20"/>
        </w:rPr>
        <w:t xml:space="preserve">É permitida a reprodução total ou parcial deste documento para fins académicos e não comerciais, desde que citada a fonte.</w:t>
      </w:r>
    </w:p>
    <w:p>
      <w:pPr>
        <w:pStyle w:val="TituloSemIndice"/>
        <w:pageBreakBefore/>
        <w:spacing w:after="480" w:before="567"/>
        <w:jc w:val="center"/>
      </w:pPr>
      <w:r>
        <w:rPr>
          <w:rFonts w:ascii="Times New Roman" w:cs="Times New Roman" w:eastAsia="Times New Roman" w:hAnsi="Times New Roman"/>
          <w:b/>
          <w:bCs/>
          <w:sz w:val="28"/>
          <w:szCs w:val="28"/>
        </w:rPr>
        <w:t xml:space="preserve">EPÍGRAFE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ind w:left="4110"/>
        <w:jc w:val="right"/>
      </w:pPr>
      <w:r>
        <w:rPr>
          <w:rFonts w:ascii="Times New Roman" w:cs="Times New Roman" w:eastAsia="Times New Roman" w:hAnsi="Times New Roman"/>
          <w:i/>
          <w:iCs/>
          <w:sz w:val="24"/>
          <w:szCs w:val="24"/>
        </w:rPr>
        <w:t xml:space="preserve">"A informação é a moeda do século XXI. Quem a controla, controla o futuro."</w:t>
      </w:r>
    </w:p>
    <w:p>
      <w:pPr>
        <w:ind w:left="4110"/>
        <w:jc w:val="right"/>
      </w:pPr>
      <w:r>
        <w:rPr>
          <w:rFonts w:ascii="Times New Roman" w:cs="Times New Roman" w:eastAsia="Times New Roman" w:hAnsi="Times New Roman"/>
          <w:sz w:val="22"/>
          <w:szCs w:val="22"/>
        </w:rPr>
        <w:t xml:space="preserve">Adaptado de Peter Drucker</w:t>
      </w:r>
    </w:p>
    <w:p>
      <w:pPr>
        <w:pStyle w:val="TituloSemIndice"/>
        <w:pageBreakBefore/>
        <w:spacing w:after="480" w:before="567"/>
        <w:jc w:val="center"/>
      </w:pPr>
      <w:r>
        <w:rPr>
          <w:rFonts w:ascii="Times New Roman" w:cs="Times New Roman" w:eastAsia="Times New Roman" w:hAnsi="Times New Roman"/>
          <w:b/>
          <w:bCs/>
          <w:sz w:val="28"/>
          <w:szCs w:val="28"/>
        </w:rPr>
        <w:t xml:space="preserve">DEDICATÓRIA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ind w:left="3402"/>
        <w:jc w:val="both"/>
      </w:pPr>
      <w:r>
        <w:rPr>
          <w:rFonts w:ascii="Times New Roman" w:cs="Times New Roman" w:eastAsia="Times New Roman" w:hAnsi="Times New Roman"/>
          <w:i/>
          <w:iCs/>
          <w:sz w:val="24"/>
          <w:szCs w:val="24"/>
        </w:rPr>
        <w:t xml:space="preserve">À minha querida esposa, Rosalina Muinga, cuja presença ilumina cada etapa da minha vida. Este trabalho é dedicado a ti, pelo amor, pela paciência e pelo apoio incondicional que sempre me ofereceste. A tua força e a tua compreensão foram fundamentais para que eu pudesse chegar até aqui. Que esta conquista seja também o reflexo da nossa caminhada conjunta, marcada pela fé, pela perseverança e pela esperança.</w:t>
      </w:r>
    </w:p>
    <w:p>
      <w:pPr>
        <w:pStyle w:val="TituloSemIndice"/>
        <w:pageBreakBefore/>
        <w:spacing w:after="480" w:before="567"/>
        <w:jc w:val="center"/>
      </w:pPr>
      <w:r>
        <w:rPr>
          <w:rFonts w:ascii="Times New Roman" w:cs="Times New Roman" w:eastAsia="Times New Roman" w:hAnsi="Times New Roman"/>
          <w:b/>
          <w:bCs/>
          <w:sz w:val="28"/>
          <w:szCs w:val="28"/>
        </w:rPr>
        <w:t xml:space="preserve">AGRADECIMENTOS</w:t>
      </w:r>
    </w:p>
    <w:p>
      <w:pPr>
        <w:spacing w:after="120" w:before="0" w:line="360"/>
        <w:ind w:firstLine="567"/>
        <w:jc w:val="both"/>
      </w:pPr>
      <w:r>
        <w:rPr>
          <w:rFonts w:ascii="Times New Roman" w:cs="Times New Roman" w:eastAsia="Times New Roman" w:hAnsi="Times New Roman"/>
          <w:sz w:val="24"/>
          <w:szCs w:val="24"/>
        </w:rPr>
        <w:t xml:space="preserve">Tenho a honra de expressar os meus mais sinceros agradecimentos aos meus orientadores, pela orientação científica, pela disponibilidade e pelo rigor académico que tornaram possível a realização desta dissertação.</w:t>
      </w:r>
    </w:p>
    <w:p>
      <w:pPr>
        <w:spacing w:after="120" w:before="0" w:line="360"/>
        <w:ind w:firstLine="567"/>
        <w:jc w:val="both"/>
      </w:pPr>
      <w:r>
        <w:rPr>
          <w:rFonts w:ascii="Times New Roman" w:cs="Times New Roman" w:eastAsia="Times New Roman" w:hAnsi="Times New Roman"/>
          <w:sz w:val="24"/>
          <w:szCs w:val="24"/>
        </w:rPr>
        <w:t xml:space="preserve">À Universidade Agostinho Neto e à Faculdade de Engenharia, pela sólida formação académica e pelo ambiente científico que proporcionaram ao longo desta jornada.</w:t>
      </w:r>
    </w:p>
    <w:p>
      <w:pPr>
        <w:spacing w:after="120" w:before="0" w:line="360"/>
        <w:ind w:firstLine="567"/>
        <w:jc w:val="both"/>
      </w:pPr>
      <w:r>
        <w:rPr>
          <w:rFonts w:ascii="Times New Roman" w:cs="Times New Roman" w:eastAsia="Times New Roman" w:hAnsi="Times New Roman"/>
          <w:sz w:val="24"/>
          <w:szCs w:val="24"/>
        </w:rPr>
        <w:t xml:space="preserve">À minha família e aos meus amigos, pelo apoio incondicional, pela paciência e pelo encorajamento, que foram fundamentais para superar os desafios e alcançar esta etapa.</w:t>
      </w:r>
    </w:p>
    <w:p>
      <w:pPr>
        <w:spacing w:after="120" w:before="0" w:line="360"/>
        <w:ind w:firstLine="567"/>
        <w:jc w:val="both"/>
      </w:pPr>
      <w:r>
        <w:rPr>
          <w:rFonts w:ascii="Times New Roman" w:cs="Times New Roman" w:eastAsia="Times New Roman" w:hAnsi="Times New Roman"/>
          <w:sz w:val="24"/>
          <w:szCs w:val="24"/>
        </w:rPr>
        <w:t xml:space="preserve">Às Forças Armadas Angolanas, instituição que financiou a minha formação, pelo investimento e pela confiança depositada.</w:t>
      </w:r>
    </w:p>
    <w:p>
      <w:pPr>
        <w:spacing w:after="120" w:before="0" w:line="360"/>
        <w:ind w:firstLine="567"/>
        <w:jc w:val="both"/>
      </w:pPr>
      <w:r>
        <w:rPr>
          <w:rFonts w:ascii="Times New Roman" w:cs="Times New Roman" w:eastAsia="Times New Roman" w:hAnsi="Times New Roman"/>
          <w:sz w:val="24"/>
          <w:szCs w:val="24"/>
        </w:rPr>
        <w:t xml:space="preserve">Ao Comando da Brigada de Forças Especiais, pela confiança, pelo apoio institucional e pelo incentivo constante ao meu desenvolvimento académico e profissional.</w:t>
      </w:r>
    </w:p>
    <w:p>
      <w:pPr>
        <w:spacing w:after="120" w:before="0" w:line="360"/>
        <w:ind w:firstLine="567"/>
        <w:jc w:val="both"/>
      </w:pPr>
      <w:r>
        <w:rPr>
          <w:rFonts w:ascii="Times New Roman" w:cs="Times New Roman" w:eastAsia="Times New Roman" w:hAnsi="Times New Roman"/>
          <w:sz w:val="24"/>
          <w:szCs w:val="24"/>
        </w:rPr>
        <w:t xml:space="preserve">Um agradecimento especial a Sua Excelência Tenente General Tussen, cujo incentivo e motivação foram decisivos para que eu pudesse frequentar este curso e concretizar este trabalho.</w:t>
      </w:r>
    </w:p>
    <w:p>
      <w:pPr>
        <w:spacing w:after="120" w:before="0" w:line="360"/>
        <w:ind w:firstLine="567"/>
        <w:jc w:val="both"/>
      </w:pPr>
      <w:r>
        <w:rPr>
          <w:rFonts w:ascii="Times New Roman" w:cs="Times New Roman" w:eastAsia="Times New Roman" w:hAnsi="Times New Roman"/>
          <w:sz w:val="24"/>
          <w:szCs w:val="24"/>
        </w:rPr>
        <w:t xml:space="preserve">Aos anotadores que classificaram, com paciência e rigor, os comentários do corpus angolano, e aos colegas investigadores e a todos os que, de forma directa ou indirecta, contribuíram para a realização desta dissertação, manifesto a minha profunda gratidão.</w:t>
      </w:r>
    </w:p>
    <w:p>
      <w:pPr>
        <w:pStyle w:val="TituloSemIndice"/>
        <w:pageBreakBefore/>
        <w:spacing w:after="480" w:before="567"/>
        <w:jc w:val="center"/>
      </w:pPr>
      <w:r>
        <w:rPr>
          <w:rFonts w:ascii="Times New Roman" w:cs="Times New Roman" w:eastAsia="Times New Roman" w:hAnsi="Times New Roman"/>
          <w:b/>
          <w:bCs/>
          <w:sz w:val="28"/>
          <w:szCs w:val="28"/>
        </w:rPr>
        <w:t xml:space="preserve">AUTORIZAÇÃO INSTITUCIONAL DO PROJECTO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276"/>
        <w:jc w:val="center"/>
      </w:pPr>
      <w:r>
        <w:rPr>
          <w:rFonts w:ascii="Times New Roman" w:cs="Times New Roman" w:eastAsia="Times New Roman" w:hAnsi="Times New Roman"/>
          <w:sz w:val="24"/>
          <w:szCs w:val="24"/>
          <w:highlight w:val="yellow"/>
        </w:rPr>
        <w:t xml:space="preserve">[Inserir aqui o documento de autorização institucional digitalizado.]</w:t>
      </w:r>
    </w:p>
    <w:p>
      <w:pPr>
        <w:pStyle w:val="TituloSemIndice"/>
        <w:pageBreakBefore/>
        <w:spacing w:after="480" w:before="567"/>
        <w:jc w:val="center"/>
      </w:pPr>
      <w:r>
        <w:rPr>
          <w:rFonts w:ascii="Times New Roman" w:cs="Times New Roman" w:eastAsia="Times New Roman" w:hAnsi="Times New Roman"/>
          <w:b/>
          <w:bCs/>
          <w:sz w:val="28"/>
          <w:szCs w:val="28"/>
        </w:rPr>
        <w:t xml:space="preserve">RESUMO</w:t>
      </w:r>
    </w:p>
    <w:p>
      <w:pPr>
        <w:spacing w:after="120" w:before="0" w:line="360"/>
        <w:ind w:firstLine="567"/>
        <w:jc w:val="both"/>
      </w:pPr>
      <w:r>
        <w:rPr>
          <w:rFonts w:ascii="Times New Roman" w:cs="Times New Roman" w:eastAsia="Times New Roman" w:hAnsi="Times New Roman"/>
          <w:sz w:val="24"/>
          <w:szCs w:val="24"/>
        </w:rPr>
        <w:t xml:space="preserve">As redes sociais tornaram-se, em Angola, um espaço onde a desinformação, o discurso de ódio e os apelos à mobilização hostil circulam lado a lado com a conversa quotidiana. Com cerca de 5,5 milhões de identidades activas em redes sociais no final de 2025, o volume de publicações excede o que uma equipa de analistas consegue ler. Esta dissertação desenvolve e avalia um sistema de apoio à triagem dessas publicações, concebido para ordenar o trabalho do analista e não para o substituir.</w:t>
      </w:r>
    </w:p>
    <w:p>
      <w:pPr>
        <w:spacing w:after="120" w:before="0" w:line="360"/>
        <w:ind w:firstLine="567"/>
        <w:jc w:val="both"/>
      </w:pPr>
      <w:r>
        <w:rPr>
          <w:rFonts w:ascii="Times New Roman" w:cs="Times New Roman" w:eastAsia="Times New Roman" w:hAnsi="Times New Roman"/>
          <w:sz w:val="24"/>
          <w:szCs w:val="24"/>
        </w:rPr>
        <w:t xml:space="preserve">Construiu-se um corpus de 2.637 comentários públicos do YouTube sobre temas angolanos, anotados por três anotadores em quatro categorias (Normal, Desinformação, Discurso de Ódio e Mobilização Hostil), com κ de Fleiss de 0,718. Este corpus foi combinado com três corpora públicos em português do Brasil (HateBR, ToLD-BR e Fake.br), num total de 26.859 registos. Compararam-se quatro classificadores: SVM, Floresta Aleatória, Bi-LSTM e BERTimbau. No conjunto de teste (n = 3.987), o BERTimbau obteve F1-macro de 0,807 (IC 95%: 0,774–0,838), entre 14,6 e 17,4 pontos percentuais acima dos restantes (teste de McNemar com correcção de Bonferroni,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se distinguiu da Floresta Aleatória. No subconjunto angolano, porém, o F1-macro do BERTimbau desceu para 0,533, contra 0,919 no corpus público, uma lacuna de domínio de 38,6 pontos percentuais. A queda é mais acentuada na Desinformação, o que indica que o modelo aprendeu sobretudo o estilo das notícias do Fake.br.</w:t>
      </w:r>
    </w:p>
    <w:p>
      <w:pPr>
        <w:spacing w:after="120" w:before="0" w:line="360"/>
        <w:ind w:firstLine="567"/>
        <w:jc w:val="both"/>
      </w:pPr>
      <w:r>
        <w:rPr>
          <w:rFonts w:ascii="Times New Roman" w:cs="Times New Roman" w:eastAsia="Times New Roman" w:hAnsi="Times New Roman"/>
          <w:sz w:val="24"/>
          <w:szCs w:val="24"/>
        </w:rPr>
        <w:t xml:space="preserve">Com base nestes resultados, desenvolveu-se um protótipo de sistema com anonimização à entrada, em conformidade com a Lei n.º 22/11, base de dados com registo de proveniência, serviço de inferência e aplicação web com contas individuais e fila de revisão ordenada por prioridade, sem qualquer decisão automática. Com o modelo do sistema, o protótipo processou cada publicação em cerca de 0,63 segundos num computador sem GPU, o que confirma a hipótese de tempo de processamento para lotes até cerca de 90 publicações; a antecedência de detecção não foi testada. Os contributos principais são o corpus angolano anotado, a quantificação da lacuna de domínio e uma arquitectura reprodutível e de baixo custo para triagem com revisão humana.</w:t>
      </w:r>
    </w:p>
    <w:p>
      <w:pPr>
        <w:spacing w:after="120" w:before="0" w:line="360"/>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redes sociais; detecção de discurso de ódio; desinformação; BERTimbau; adaptação de domínio; português de Angola; segurança nacional.</w:t>
      </w:r>
    </w:p>
    <w:p>
      <w:pPr>
        <w:pStyle w:val="TituloSemIndice"/>
        <w:pageBreakBefore/>
        <w:spacing w:after="480" w:before="567"/>
        <w:jc w:val="center"/>
      </w:pPr>
      <w:r>
        <w:rPr>
          <w:rFonts w:ascii="Times New Roman" w:cs="Times New Roman" w:eastAsia="Times New Roman" w:hAnsi="Times New Roman"/>
          <w:b/>
          <w:bCs/>
          <w:sz w:val="28"/>
          <w:szCs w:val="28"/>
        </w:rPr>
        <w:t xml:space="preserve">ABSTRACT</w:t>
      </w:r>
    </w:p>
    <w:p>
      <w:pPr>
        <w:spacing w:after="120" w:before="0" w:line="360"/>
        <w:ind w:firstLine="567"/>
        <w:jc w:val="both"/>
      </w:pPr>
      <w:r>
        <w:rPr>
          <w:rFonts w:ascii="Times New Roman" w:cs="Times New Roman" w:eastAsia="Times New Roman" w:hAnsi="Times New Roman"/>
          <w:sz w:val="24"/>
          <w:szCs w:val="24"/>
        </w:rPr>
        <w:t xml:space="preserve">In Angola, social media have become a space where disinformation, hate speech and calls for hostile mobilisation circulate alongside everyday conversation. With about 5.5 million active social media identities at the end of 2025, the volume of posts exceeds what a team of analysts can read. This dissertation develops and evaluates a system that supports the triage of such posts; it is designed to order the analyst's work, not to replace it.</w:t>
      </w:r>
    </w:p>
    <w:p>
      <w:pPr>
        <w:spacing w:after="120" w:before="0" w:line="360"/>
        <w:ind w:firstLine="567"/>
        <w:jc w:val="both"/>
      </w:pPr>
      <w:r>
        <w:rPr>
          <w:rFonts w:ascii="Times New Roman" w:cs="Times New Roman" w:eastAsia="Times New Roman" w:hAnsi="Times New Roman"/>
          <w:sz w:val="24"/>
          <w:szCs w:val="24"/>
        </w:rPr>
        <w:t xml:space="preserve">A corpus of 2,637 public YouTube comments on Angolan topics was built and annotated by three annotators into four categories (Normal, Disinformation, Hate Speech and Hostile Mobilisation), with a Fleiss' kappa of 0.718. It was combined with three public Brazilian Portuguese corpora (HateBR, ToLD-BR and Fake.br), for a total of 26,859 records. Four classifiers were compared: SVM, Random Forest, Bi-LSTM and BERTimbau. On the test set (n = 3,987), BERTimbau reached a macro-F1 of 0.807 (95% CI: 0.774–0.838), between 14.6 and 17.4 percentage points above the other models (McNemar test with Bonferroni correction,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the Bi-LSTM did not differ from the Random Forest. On the Angolan subset, however, BERTimbau's macro-F1 fell to 0.533, against 0.919 on the public corpus, a domain gap of 38.6 percentage points. The drop is largest for disinformation, which indicates that the model learned mainly the style of the Fake.br news articles.</w:t>
      </w:r>
    </w:p>
    <w:p>
      <w:pPr>
        <w:spacing w:after="120" w:before="0" w:line="360"/>
        <w:ind w:firstLine="567"/>
        <w:jc w:val="both"/>
      </w:pPr>
      <w:r>
        <w:rPr>
          <w:rFonts w:ascii="Times New Roman" w:cs="Times New Roman" w:eastAsia="Times New Roman" w:hAnsi="Times New Roman"/>
          <w:sz w:val="24"/>
          <w:szCs w:val="24"/>
        </w:rPr>
        <w:t xml:space="preserve">Building on these results, a prototype was developed with anonymisation at ingestion, in line with Angolan Law No. 22/11, a database that records data provenance, an inference service and a web application with individual accounts and a review queue ordered by priority, with no automatic decisions. With the system's model, the prototype processed each post in about 0.63 seconds on a computer without a GPU, which supports the processing-time hypothesis for batches of up to about 90 posts; early warning was not tested. The main contributions are the annotated Angolan corpus, the quantification of the domain gap and a reproducible, low-cost architecture for human-in-the-loop triage.</w:t>
      </w:r>
    </w:p>
    <w:p>
      <w:pPr>
        <w:spacing w:after="12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social media; hate speech detection; disinformation; BERTimbau; domain adaptation; Angolan Portuguese; national security.</w:t>
      </w:r>
    </w:p>
    <w:p>
      <w:pPr>
        <w:pStyle w:val="TituloSemIndice"/>
        <w:pageBreakBefore/>
        <w:spacing w:after="480" w:before="567"/>
        <w:jc w:val="center"/>
      </w:pPr>
      <w:r>
        <w:rPr>
          <w:rFonts w:ascii="Times New Roman" w:cs="Times New Roman" w:eastAsia="Times New Roman" w:hAnsi="Times New Roman"/>
          <w:b/>
          <w:bCs/>
          <w:sz w:val="28"/>
          <w:szCs w:val="28"/>
        </w:rPr>
        <w:t xml:space="preserve">ABREVIATURAS, SIGLAS E SÍMBOLOS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Sigla ou símbolo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Significado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Interface de programação de aplicações (</w:t>
            </w:r>
            <w:r>
              <w:rPr>
                <w:rFonts w:ascii="Times New Roman" w:cs="Times New Roman" w:eastAsia="Times New Roman" w:hAnsi="Times New Roman"/>
                <w:b w:val="false"/>
                <w:bCs w:val="false"/>
                <w:i/>
                <w:iCs/>
                <w:sz w:val="20"/>
                <w:szCs w:val="20"/>
              </w:rPr>
              <w:t xml:space="preserve">Application Programming Interface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AUC-ROC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Área sob a curva ROC (</w:t>
            </w:r>
            <w:r>
              <w:rPr>
                <w:rFonts w:ascii="Times New Roman" w:cs="Times New Roman" w:eastAsia="Times New Roman" w:hAnsi="Times New Roman"/>
                <w:b w:val="false"/>
                <w:bCs w:val="false"/>
                <w:i/>
                <w:iCs/>
                <w:sz w:val="20"/>
                <w:szCs w:val="20"/>
              </w:rPr>
              <w:t xml:space="preserve">Receiver Operating Characteristic</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BERT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Representações bidireccionais de codificador baseadas em </w:t>
            </w:r>
            <w:r>
              <w:rPr>
                <w:rFonts w:ascii="Times New Roman" w:cs="Times New Roman" w:eastAsia="Times New Roman" w:hAnsi="Times New Roman"/>
                <w:b w:val="false"/>
                <w:bCs w:val="false"/>
                <w:i/>
                <w:iCs/>
                <w:sz w:val="20"/>
                <w:szCs w:val="20"/>
              </w:rPr>
              <w:t xml:space="preserve">Transformers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Rede de memória de longo e curto prazo bidireccional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CPLP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Comunidade dos Países de Língua Portuguesa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CRA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Constituição da República de Angola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CSV</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Valores separados por vírgulas (formato de ficheiro)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F1</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Média harmónica entre precisão e sensibilidade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GPU</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Unidade de processamento gráfico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HMAC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Código de autenticação de mensagens baseado em </w:t>
            </w:r>
            <w:r>
              <w:rPr>
                <w:rFonts w:ascii="Times New Roman" w:cs="Times New Roman" w:eastAsia="Times New Roman" w:hAnsi="Times New Roman"/>
                <w:b w:val="false"/>
                <w:bCs w:val="false"/>
                <w:i/>
                <w:iCs/>
                <w:sz w:val="20"/>
                <w:szCs w:val="20"/>
              </w:rPr>
              <w:t xml:space="preserve">hash</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artificial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IC 95%</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Intervalo de confiança a 95%</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Memória de longo e curto prazo (</w:t>
            </w:r>
            <w:r>
              <w:rPr>
                <w:rFonts w:ascii="Times New Roman" w:cs="Times New Roman" w:eastAsia="Times New Roman" w:hAnsi="Times New Roman"/>
                <w:b w:val="false"/>
                <w:bCs w:val="false"/>
                <w:i/>
                <w:iCs/>
                <w:sz w:val="20"/>
                <w:szCs w:val="20"/>
              </w:rPr>
              <w:t xml:space="preserve">Long Short-Term Memory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OSINT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de fontes abertas (</w:t>
            </w:r>
            <w:r>
              <w:rPr>
                <w:rFonts w:ascii="Times New Roman" w:cs="Times New Roman" w:eastAsia="Times New Roman" w:hAnsi="Times New Roman"/>
                <w:b w:val="false"/>
                <w:bCs w:val="false"/>
                <w:i/>
                <w:iCs/>
                <w:sz w:val="20"/>
                <w:szCs w:val="20"/>
              </w:rPr>
              <w:t xml:space="preserve">Open Source Intelligence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Pontos percentuais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PLN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Processamento de linguagem natural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SHA-256</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Algoritmo de </w:t>
            </w:r>
            <w:r>
              <w:rPr>
                <w:rFonts w:ascii="Times New Roman" w:cs="Times New Roman" w:eastAsia="Times New Roman" w:hAnsi="Times New Roman"/>
                <w:b w:val="false"/>
                <w:bCs w:val="false"/>
                <w:i/>
                <w:iCs/>
                <w:sz w:val="20"/>
                <w:szCs w:val="20"/>
              </w:rPr>
              <w:t xml:space="preserve">hash</w:t>
            </w:r>
            <w:r>
              <w:rPr>
                <w:rFonts w:ascii="Times New Roman" w:cs="Times New Roman" w:eastAsia="Times New Roman" w:hAnsi="Times New Roman"/>
                <w:b w:val="false"/>
                <w:bCs w:val="false"/>
                <w:sz w:val="20"/>
                <w:szCs w:val="20"/>
              </w:rPr>
              <w:t xml:space="preserve"> seguro de 256 bits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SMOTE</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Técnica de sobreamostragem sintética de minorias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SQL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consulta estruturada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Máquina de vectores de suporte (</w:t>
            </w:r>
            <w:r>
              <w:rPr>
                <w:rFonts w:ascii="Times New Roman" w:cs="Times New Roman" w:eastAsia="Times New Roman" w:hAnsi="Times New Roman"/>
                <w:b w:val="false"/>
                <w:bCs w:val="false"/>
                <w:i/>
                <w:iCs/>
                <w:sz w:val="20"/>
                <w:szCs w:val="20"/>
              </w:rPr>
              <w:t xml:space="preserve">Support Vector Machine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TF-IDF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Frequência do termo × inverso da frequência nos documentos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UAN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Universidade Agostinho Neto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UML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modelação unificada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κ</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Coeficiente Kappa (de Cohen ou de Fleiss)</w:t>
            </w:r>
          </w:p>
        </w:tc>
      </w:tr>
    </w:tbl>
    <w:p>
      <w:pPr>
        <w:pStyle w:val="TituloSemIndice"/>
        <w:pageBreakBefore/>
        <w:spacing w:after="480" w:before="567"/>
        <w:jc w:val="center"/>
      </w:pPr>
      <w:r>
        <w:rPr>
          <w:rFonts w:ascii="Times New Roman" w:cs="Times New Roman" w:eastAsia="Times New Roman" w:hAnsi="Times New Roman"/>
          <w:b/>
          <w:bCs/>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TABELAS</w:t>
      </w:r>
    </w:p>
    <w:sdt>
      <w:sdtPr>
        <w:alias w:val="Índice de tabelas"/>
      </w:sdtPr>
      <w:sdtContent>
        <w:p>
          <w:r>
            <w:fldChar w:fldCharType="begin" w:dirty="true"/>
            <w:instrText xml:space="preserve">TOC \h \t "LegendaTabela,1"</w:instrText>
            <w:fldChar w:fldCharType="separate"/>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FIGURAS</w:t>
      </w:r>
    </w:p>
    <w:sdt>
      <w:sdtPr>
        <w:alias w:val="Índice de figuras"/>
      </w:sdtPr>
      <w:sdtContent>
        <w:p>
          <w:r>
            <w:fldChar w:fldCharType="begin" w:dirty="true"/>
            <w:instrText xml:space="preserve">TOC \h \t "LegendaFigura,1"</w:instrText>
            <w:fldChar w:fldCharType="separate"/>
          </w:r>
        </w:p>
        <w:p>
          <w:r>
            <w:fldChar w:fldCharType="end"/>
          </w:r>
        </w:p>
      </w:sdtContent>
    </w:sdt>
    <w:p>
      <w:pPr>
        <w:spacing w:after="120" w:before="240" w:line="276"/>
        <w:jc w:val="center"/>
      </w:pPr>
      <w:r>
        <w:rPr>
          <w:rFonts w:ascii="Times New Roman" w:cs="Times New Roman" w:eastAsia="Times New Roman" w:hAnsi="Times New Roman"/>
          <w:i/>
          <w:iCs/>
          <w:sz w:val="18"/>
          <w:szCs w:val="18"/>
        </w:rPr>
        <w:t xml:space="preserve">Nota: no Word, clique com o botão direito sobre cada índice e escolha "Actualizar campo" para gerar os números de página.</w:t>
      </w:r>
    </w:p>
    <w:p>
      <w:pPr>
        <w:sectPr>
          <w:headerReference w:type="default" r:id="rId9"/>
          <w:headerReference w:type="first" r:id="rId10"/>
          <w:footerReference w:type="default" r:id="rId11"/>
          <w:footerReference w:type="first" r:id="rId12"/>
          <w:type w:val="nextPage"/>
          <w:pgSz w:w="11906" w:h="16838" w:orient="portrait"/>
          <w:pgMar w:top="1701" w:right="1701" w:bottom="1417" w:left="1984" w:header="850" w:footer="567" w:gutter="0"/>
          <w:pgNumType w:start="1" w:fmt="lowerRoman"/>
          <w:titlePg/>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1 – INTRODUÇÃO</w:t>
      </w:r>
    </w:p>
    <w:p>
      <w:pPr>
        <w:pStyle w:val="Heading2"/>
        <w:keepNext/>
        <w:keepLines/>
        <w:spacing w:after="160" w:before="360" w:line="300"/>
      </w:pPr>
      <w:r>
        <w:rPr>
          <w:rFonts w:ascii="Times New Roman" w:cs="Times New Roman" w:eastAsia="Times New Roman" w:hAnsi="Times New Roman"/>
          <w:b/>
          <w:bCs/>
          <w:sz w:val="26"/>
          <w:szCs w:val="26"/>
        </w:rPr>
        <w:t xml:space="preserve">1.1 Contextualização</w:t>
      </w:r>
    </w:p>
    <w:p>
      <w:pPr>
        <w:spacing w:after="120" w:before="0" w:line="360"/>
        <w:ind w:firstLine="567"/>
        <w:jc w:val="both"/>
      </w:pPr>
      <w:r>
        <w:rPr>
          <w:rFonts w:ascii="Times New Roman" w:cs="Times New Roman" w:eastAsia="Times New Roman" w:hAnsi="Times New Roman"/>
          <w:sz w:val="24"/>
          <w:szCs w:val="24"/>
        </w:rPr>
        <w:t xml:space="preserve">As redes sociais deixaram de ser apenas lugares de convívio. Hoje é nelas que muitas pessoas se informam, discutem política e combinam encontros, e é também nelas que circulam boatos, insultos dirigidos a grupos e convocatórias que podem pôr em risco a ordem pública. Este duplo papel transformou as plataformas digitais num tema de segurança nacional em praticamente todos os países com acesso generalizado à Internet.</w:t>
      </w:r>
    </w:p>
    <w:p>
      <w:pPr>
        <w:spacing w:after="120" w:before="0" w:line="360"/>
        <w:ind w:firstLine="567"/>
        <w:jc w:val="both"/>
      </w:pPr>
      <w:r>
        <w:rPr>
          <w:rFonts w:ascii="Times New Roman" w:cs="Times New Roman" w:eastAsia="Times New Roman" w:hAnsi="Times New Roman"/>
          <w:sz w:val="24"/>
          <w:szCs w:val="24"/>
        </w:rPr>
        <w:t xml:space="preserve">Em Angola, o fenómeno tem uma escala considerável. Segundo o relatório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o país tinha, em Outubro de 2025, cerca de 17,6 milhões de utilizadores da Internet (44,8% da população) e 5,50 milhões de identidades em redes sociais, o equivalente a 14,0% da população (Kemp, 2025). O Facebook é a plataforma com maior alcance publicitário, seguido do TikTok, e as ligações móveis (30,6 milhões) superam largamente o número de computadores, o que faz do telemóvel o principal ponto de acesso. A Figura 1.1 resume estes indicadores.</w:t>
      </w:r>
    </w:p>
    <w:p>
      <w:pPr>
        <w:keepNext/>
        <w:spacing w:after="40" w:before="160"/>
        <w:jc w:val="center"/>
      </w:pPr>
      <w:r>
        <w:drawing>
          <wp:inline distT="0" distB="0" distL="0" distR="0">
            <wp:extent cx="5038725" cy="2524125"/>
            <wp:effectExtent t="0" r="0" b="0" l="0"/>
            <wp:docPr id="1" name="fig1_1_ecossistema.png" descr="fig1_1_ecossistema.png" title="fig1_1_ecos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38725" cy="25241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1.1 – Indicadores do ecossistema digital angolano (Outubro de 2025)</w:t>
      </w:r>
    </w:p>
    <w:p>
      <w:pPr>
        <w:spacing w:after="240" w:before="0" w:line="240"/>
        <w:jc w:val="center"/>
      </w:pPr>
      <w:r>
        <w:rPr>
          <w:rFonts w:ascii="Times New Roman" w:cs="Times New Roman" w:eastAsia="Times New Roman" w:hAnsi="Times New Roman"/>
          <w:i/>
          <w:iCs/>
          <w:sz w:val="18"/>
          <w:szCs w:val="18"/>
        </w:rPr>
        <w:t xml:space="preserve">Fonte: elaborado a partir de Kemp (2025). Os valores de alcance publicitário não correspondem a utilizadores únicos.</w:t>
      </w:r>
    </w:p>
    <w:p>
      <w:pPr>
        <w:spacing w:after="120" w:before="0" w:line="360"/>
        <w:ind w:firstLine="567"/>
        <w:jc w:val="both"/>
      </w:pPr>
      <w:r>
        <w:rPr>
          <w:rFonts w:ascii="Times New Roman" w:cs="Times New Roman" w:eastAsia="Times New Roman" w:hAnsi="Times New Roman"/>
          <w:sz w:val="24"/>
          <w:szCs w:val="24"/>
        </w:rPr>
        <w:t xml:space="preserve">Dois episódios ilustram o peso político deste espaço. A campanha «2022 Vais Gostar» nasceu nas redes sociais e acabou por se traduzir em manifestações em várias províncias (Hassane, 2021). A influência das redes no comportamento eleitoral dos jovens nas eleições de 2022 foi igualmente documentada (Sambaca &amp; Pessoa, 2026). Em ambos os casos, a mobilização começou online, ganhou velocidade em poucos dias e só depois chegou às ruas.</w:t>
      </w:r>
    </w:p>
    <w:p>
      <w:pPr>
        <w:spacing w:after="120" w:before="0" w:line="360"/>
        <w:ind w:firstLine="567"/>
        <w:jc w:val="both"/>
      </w:pPr>
      <w:r>
        <w:rPr>
          <w:rFonts w:ascii="Times New Roman" w:cs="Times New Roman" w:eastAsia="Times New Roman" w:hAnsi="Times New Roman"/>
          <w:sz w:val="24"/>
          <w:szCs w:val="24"/>
        </w:rPr>
        <w:t xml:space="preserve">Para as estruturas de defesa e segurança, a dificuldade está no volume. Não é possível ler tudo o que se publica, e as ferramentas comerciais de monitorização foram concebidas para outras línguas, outros contextos e outros orçamentos. Há, por isso, espaço para um sistema que ajude o analista a decidir o que ler primeiro, adaptado ao português usado em Angola e assente em princípios claros de protecção de dados.</w:t>
      </w:r>
    </w:p>
    <w:p>
      <w:pPr>
        <w:pStyle w:val="Heading2"/>
        <w:keepNext/>
        <w:keepLines/>
        <w:spacing w:after="160" w:before="360" w:line="300"/>
      </w:pPr>
      <w:r>
        <w:rPr>
          <w:rFonts w:ascii="Times New Roman" w:cs="Times New Roman" w:eastAsia="Times New Roman" w:hAnsi="Times New Roman"/>
          <w:b/>
          <w:bCs/>
          <w:sz w:val="26"/>
          <w:szCs w:val="26"/>
        </w:rPr>
        <w:t xml:space="preserve">1.2 Problema de investigação</w:t>
      </w:r>
    </w:p>
    <w:p>
      <w:pPr>
        <w:spacing w:after="120" w:before="0" w:line="360"/>
        <w:ind w:firstLine="567"/>
        <w:jc w:val="both"/>
      </w:pPr>
      <w:r>
        <w:rPr>
          <w:rFonts w:ascii="Times New Roman" w:cs="Times New Roman" w:eastAsia="Times New Roman" w:hAnsi="Times New Roman"/>
          <w:sz w:val="24"/>
          <w:szCs w:val="24"/>
        </w:rPr>
        <w:t xml:space="preserve">O problema que motiva esta dissertação tem duas faces. A primeira é técnica: não existe, tanto quanto foi possível apurar, um classificador de conteúdos ameaçadores treinado e avaliado com dados angolanos. Os modelos de linguagem disponíveis para o português, como o BERTimbau (Souza et al., 2020), foram pré-treinados sobretudo com texto brasileiro, e os corpora anotados para discurso de ódio e desinformação em português provêm igualmente do Brasil (Leite et al., 2020; Monteiro et al., 2018; Vargas et al., 2022). Não se sabe, portanto, quanto do desempenho reportado nesses trabalhos se mantém quando o texto é angolano.</w:t>
      </w:r>
    </w:p>
    <w:p>
      <w:pPr>
        <w:spacing w:after="120" w:before="0" w:line="360"/>
        <w:ind w:firstLine="567"/>
        <w:jc w:val="both"/>
      </w:pPr>
      <w:r>
        <w:rPr>
          <w:rFonts w:ascii="Times New Roman" w:cs="Times New Roman" w:eastAsia="Times New Roman" w:hAnsi="Times New Roman"/>
          <w:sz w:val="24"/>
          <w:szCs w:val="24"/>
        </w:rPr>
        <w:t xml:space="preserve">A segunda face é operacional. Mesmo um bom classificador comete erros, e esses erros têm custos diferentes. Classificar uma convocatória pacífica como mobilização hostil pode lesar direitos constitucionais; deixar passar uma convocatória para a violência pode ter consequências graves. Um sistema útil para a segurança nacional tem de ser desenhado em função desta assimetria, mantendo o analista humano no centro da decisão.</w:t>
      </w:r>
    </w:p>
    <w:p>
      <w:pPr>
        <w:spacing w:after="120" w:before="0" w:line="360"/>
        <w:ind w:firstLine="567"/>
        <w:jc w:val="both"/>
      </w:pPr>
      <w:r>
        <w:rPr>
          <w:rFonts w:ascii="Times New Roman" w:cs="Times New Roman" w:eastAsia="Times New Roman" w:hAnsi="Times New Roman"/>
          <w:sz w:val="24"/>
          <w:szCs w:val="24"/>
        </w:rPr>
        <w:t xml:space="preserve">Daqui resulta a pergunta de partida: </w:t>
      </w:r>
      <w:r>
        <w:rPr>
          <w:rFonts w:ascii="Times New Roman" w:cs="Times New Roman" w:eastAsia="Times New Roman" w:hAnsi="Times New Roman"/>
          <w:b/>
          <w:bCs/>
          <w:sz w:val="24"/>
          <w:szCs w:val="24"/>
        </w:rPr>
        <w:t xml:space="preserve">em que medida um sistema baseado em aprendizagem automática consegue apoiar, de forma fiável e juridicamente responsável, a triagem de publicações ameaçadoras em redes sociais angolanas?</w:t>
      </w:r>
    </w:p>
    <w:p>
      <w:pPr>
        <w:pStyle w:val="Heading2"/>
        <w:keepNext/>
        <w:keepLines/>
        <w:spacing w:after="160" w:before="360" w:line="300"/>
      </w:pPr>
      <w:r>
        <w:rPr>
          <w:rFonts w:ascii="Times New Roman" w:cs="Times New Roman" w:eastAsia="Times New Roman" w:hAnsi="Times New Roman"/>
          <w:b/>
          <w:bCs/>
          <w:sz w:val="26"/>
          <w:szCs w:val="26"/>
        </w:rPr>
        <w:t xml:space="preserve">1.3 Hipóteses de investigação</w:t>
      </w:r>
    </w:p>
    <w:p>
      <w:pPr>
        <w:spacing w:after="120" w:before="0" w:line="360"/>
        <w:ind w:firstLine="567"/>
        <w:jc w:val="both"/>
      </w:pPr>
      <w:r>
        <w:rPr>
          <w:rFonts w:ascii="Times New Roman" w:cs="Times New Roman" w:eastAsia="Times New Roman" w:hAnsi="Times New Roman"/>
          <w:sz w:val="24"/>
          <w:szCs w:val="24"/>
        </w:rPr>
        <w:t xml:space="preserve">As hipóteses foram formuladas para serem refutáveis e para terem um critério quantitativo de decisão. Cada uma responde a um ou mais objectivos específicos (Secção 1.4).</w:t>
      </w:r>
    </w:p>
    <w:p>
      <w:pPr>
        <w:spacing w:after="120" w:before="0" w:line="360"/>
        <w:ind w:firstLine="567"/>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Os modelos de aprendizagem profunda (BERTimbau e Bi-LSTM) superam os modelos clássicos (SVM e Floresta Aleatória) na classificação das quatro categorias, com diferença de F1-macro de pelo menos 5 pontos percentuais e significância estatística (p &lt; 0,05 no teste de McNemar com correcção de Bonferroni).</w:t>
      </w:r>
    </w:p>
    <w:p>
      <w:pPr>
        <w:spacing w:after="120" w:before="0" w:line="360"/>
        <w:ind w:firstLine="567"/>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O sistema processa cada publicação recolhida (importação, anonimização, classificação e entrada na fila de revisão) em menos de 60 segundos.</w:t>
      </w:r>
    </w:p>
    <w:p>
      <w:pPr>
        <w:spacing w:after="120" w:before="0" w:line="360"/>
        <w:ind w:firstLine="567"/>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O sistema detecta padrões de risco com pelo menos 48 horas de antecedência em relação a eventos de segurança documentados, numa validação retrospectiva com divisão cronológica dos dados.</w:t>
      </w:r>
    </w:p>
    <w:p>
      <w:pPr>
        <w:spacing w:after="120" w:before="0" w:line="360"/>
        <w:ind w:firstLine="567"/>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O desempenho do modelo seleccionado degrada-se significativamente (pelo menos 5 pontos percentuais de F1-macro) em conteúdo angolano, quando comparado com o conteúdo dos corpora públicos usados no treino.</w:t>
      </w:r>
    </w:p>
    <w:p>
      <w:pPr>
        <w:spacing w:after="120" w:before="0" w:line="360"/>
        <w:ind w:firstLine="567"/>
        <w:jc w:val="both"/>
      </w:pPr>
      <w:r>
        <w:rPr>
          <w:rFonts w:ascii="Times New Roman" w:cs="Times New Roman" w:eastAsia="Times New Roman" w:hAnsi="Times New Roman"/>
          <w:sz w:val="24"/>
          <w:szCs w:val="24"/>
        </w:rPr>
        <w:t xml:space="preserve">A H4 foi reformulada durante a investigação. Na versão inicial, comparava subconjuntos de calão urbano e de línguas nacionais; como o corpus anotado não tem marcação que permita isolar esses subconjuntos, a hipótese passou a comparar o conteúdo angolano no seu todo com o conteúdo público, o que corresponde ao desenho experimental efectivamente realizado.</w:t>
      </w:r>
    </w:p>
    <w:p>
      <w:pPr>
        <w:pStyle w:val="Heading2"/>
        <w:keepNext/>
        <w:keepLines/>
        <w:spacing w:after="160" w:before="360" w:line="300"/>
      </w:pPr>
      <w:r>
        <w:rPr>
          <w:rFonts w:ascii="Times New Roman" w:cs="Times New Roman" w:eastAsia="Times New Roman" w:hAnsi="Times New Roman"/>
          <w:b/>
          <w:bCs/>
          <w:sz w:val="26"/>
          <w:szCs w:val="26"/>
        </w:rPr>
        <w:t xml:space="preserve">1.4 Objectivos</w:t>
      </w:r>
    </w:p>
    <w:p>
      <w:pPr>
        <w:pStyle w:val="Heading3"/>
        <w:keepNext/>
        <w:spacing w:after="120" w:before="240"/>
      </w:pPr>
      <w:r>
        <w:rPr>
          <w:rFonts w:ascii="Times New Roman" w:cs="Times New Roman" w:eastAsia="Times New Roman" w:hAnsi="Times New Roman"/>
          <w:b/>
          <w:bCs/>
          <w:sz w:val="24"/>
          <w:szCs w:val="24"/>
        </w:rPr>
        <w:t xml:space="preserve">1.4.1 Objectivo geral</w:t>
      </w:r>
    </w:p>
    <w:p>
      <w:pPr>
        <w:spacing w:after="120" w:before="0" w:line="360"/>
        <w:ind w:firstLine="567"/>
        <w:jc w:val="both"/>
      </w:pPr>
      <w:r>
        <w:rPr>
          <w:rFonts w:ascii="Times New Roman" w:cs="Times New Roman" w:eastAsia="Times New Roman" w:hAnsi="Times New Roman"/>
          <w:sz w:val="24"/>
          <w:szCs w:val="24"/>
        </w:rPr>
        <w:t xml:space="preserve">Desenvolver e avaliar um sistema de apoio à triagem de publicações ameaçadoras em redes sociais angolanas, que combine um classificador de linguagem natural adaptado ao português com revisão humana obrigatória e com protecção de dados pessoais desde a concepção.</w:t>
      </w:r>
    </w:p>
    <w:p>
      <w:pPr>
        <w:pStyle w:val="Heading3"/>
        <w:keepNext/>
        <w:spacing w:after="120" w:before="240"/>
      </w:pPr>
      <w:r>
        <w:rPr>
          <w:rFonts w:ascii="Times New Roman" w:cs="Times New Roman" w:eastAsia="Times New Roman" w:hAnsi="Times New Roman"/>
          <w:b/>
          <w:bCs/>
          <w:sz w:val="24"/>
          <w:szCs w:val="24"/>
        </w:rPr>
        <w:t xml:space="preserve">1.4.2 Objectivos específicos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Construir um corpus de comentários públicos angolanos anotado em quatro categorias por três anotadores, medindo o acordo entre anotadores e registando a proveniência de cada lote de dados.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Comparar quatro algoritmos de classificação (SVM, Floresta Aleatória, Bi-LSTM e BERTimbau) com intervalos de confiança e testes estatísticos emparelhados.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Quantificar a diferença de desempenho entre conteúdo angolano e conteúdo dos corpora públicos e identificar as suas causas prováveis.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Desenvolver um protótipo de sistema de triagem com fila de revisão, painel do analista e serviço de inferência, e definir o protocolo da sua avaliação operacional.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OE5.</w:t>
      </w:r>
      <w:r>
        <w:rPr>
          <w:rFonts w:ascii="Times New Roman" w:cs="Times New Roman" w:eastAsia="Times New Roman" w:hAnsi="Times New Roman"/>
          <w:sz w:val="24"/>
          <w:szCs w:val="24"/>
        </w:rPr>
        <w:t xml:space="preserve"> Propor um quadro de uso responsável do sistema, conforme a Lei n.º 22/11 de Protecção de Dados Pessoais e os direitos consagrados na Constituição da República de Angola.</w:t>
      </w:r>
    </w:p>
    <w:p>
      <w:pPr>
        <w:spacing w:after="120" w:before="120" w:line="360"/>
        <w:ind w:firstLine="567"/>
        <w:jc w:val="both"/>
      </w:pPr>
      <w:r>
        <w:rPr>
          <w:rFonts w:ascii="Times New Roman" w:cs="Times New Roman" w:eastAsia="Times New Roman" w:hAnsi="Times New Roman"/>
          <w:sz w:val="24"/>
          <w:szCs w:val="24"/>
        </w:rPr>
        <w:t xml:space="preserve">A Tabela 1.1 relaciona os objectivos específicos com as hipóteses.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1.1 – Correspondência entre objectivos específicos e hipóteses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0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Objectivo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Hipótese</w:t>
            </w:r>
          </w:p>
        </w:tc>
        <w:tc>
          <w:tcPr>
            <w:tcW w:type="dxa" w:w="3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Natureza</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OE1 – Corpus angolano anotado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Construção de dados</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OE2 – Comparação de algoritmos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H1</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OE3 – Lacuna de domínio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H4</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OE4 – Protótipo do sistema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H2, H3</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(protocolo definido)</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OE5 – Quadro ético e legal</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Normativo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1.5 Justificação e relevância</w:t>
      </w:r>
    </w:p>
    <w:p>
      <w:pPr>
        <w:spacing w:after="120" w:before="0" w:line="360"/>
        <w:ind w:firstLine="567"/>
        <w:jc w:val="both"/>
      </w:pPr>
      <w:r>
        <w:rPr>
          <w:rFonts w:ascii="Times New Roman" w:cs="Times New Roman" w:eastAsia="Times New Roman" w:hAnsi="Times New Roman"/>
          <w:sz w:val="24"/>
          <w:szCs w:val="24"/>
        </w:rPr>
        <w:t xml:space="preserve">A investigação justifica-se por três razões. Do ponto de vista científico, o português de Angola continua pouco representado nos recursos de processamento de linguagem natural. Um corpus anotado de comentários angolanos, mesmo de dimensão modesta, permite medir pela primeira vez quanto se perde ao aplicar modelos brasileiros a este domínio, e serve de base a trabalhos futuros.</w:t>
      </w:r>
    </w:p>
    <w:p>
      <w:pPr>
        <w:spacing w:after="120" w:before="0" w:line="360"/>
        <w:ind w:firstLine="567"/>
        <w:jc w:val="both"/>
      </w:pPr>
      <w:r>
        <w:rPr>
          <w:rFonts w:ascii="Times New Roman" w:cs="Times New Roman" w:eastAsia="Times New Roman" w:hAnsi="Times New Roman"/>
          <w:sz w:val="24"/>
          <w:szCs w:val="24"/>
        </w:rPr>
        <w:t xml:space="preserve">Do ponto de vista operacional, uma ferramenta que ordene as publicações por probabilidade de serem problemáticas reduz o tempo que o analista gasta com conteúdo irrelevante, sem lhe retirar a decisão. A arquitectura proposta usa apenas software livre e pode funcionar num único servidor, o que a torna compatível com os recursos disponíveis e com a soberania sobre os dados.</w:t>
      </w:r>
    </w:p>
    <w:p>
      <w:pPr>
        <w:spacing w:after="120" w:before="0" w:line="360"/>
        <w:ind w:firstLine="567"/>
        <w:jc w:val="both"/>
      </w:pPr>
      <w:r>
        <w:rPr>
          <w:rFonts w:ascii="Times New Roman" w:cs="Times New Roman" w:eastAsia="Times New Roman" w:hAnsi="Times New Roman"/>
          <w:sz w:val="24"/>
          <w:szCs w:val="24"/>
        </w:rPr>
        <w:t xml:space="preserve">Do ponto de vista institucional e jurídico, o trabalho mostra que é possível conceber estes sistemas com salvaguardas concretas: anonimização à entrada, registo de proveniência, prazos de conservação, auditoria e proibição de decisões automáticas sobre pessoas. Estas salvaguardas não são acessórias; são condição para que um sistema deste tipo seja aceitável num Estado de direito.</w:t>
      </w:r>
    </w:p>
    <w:p>
      <w:pPr>
        <w:pStyle w:val="Heading2"/>
        <w:keepNext/>
        <w:keepLines/>
        <w:spacing w:after="160" w:before="360" w:line="300"/>
      </w:pPr>
      <w:r>
        <w:rPr>
          <w:rFonts w:ascii="Times New Roman" w:cs="Times New Roman" w:eastAsia="Times New Roman" w:hAnsi="Times New Roman"/>
          <w:b/>
          <w:bCs/>
          <w:sz w:val="26"/>
          <w:szCs w:val="26"/>
        </w:rPr>
        <w:t xml:space="preserve">1.6 Delimitação do estudo</w:t>
      </w:r>
    </w:p>
    <w:p>
      <w:pPr>
        <w:spacing w:after="120" w:before="0" w:line="360"/>
        <w:ind w:firstLine="567"/>
        <w:jc w:val="both"/>
      </w:pPr>
      <w:r>
        <w:rPr>
          <w:rFonts w:ascii="Times New Roman" w:cs="Times New Roman" w:eastAsia="Times New Roman" w:hAnsi="Times New Roman"/>
          <w:sz w:val="24"/>
          <w:szCs w:val="24"/>
        </w:rPr>
        <w:t xml:space="preserve">O estudo limita-se a texto em português publicado em espaços públicos. O corpus angolano provém de comentários públicos do YouTube, recolhidos através da interface oficial da plataforma; não foram recolhidas mensagens privadas, grupos fechados nem conteúdo que exija autenticação. Imagens, áudio e vídeo ficam fora do âmbito, assim como textos escritos integralmente em línguas nacionais. A avaliação incide sobre o classificador e sobre o funcionamento do protótipo; a integração com sistemas institucionais e a avaliação com analistas em contexto real ficam para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1.7 Estrutura da dissertação</w:t>
      </w:r>
    </w:p>
    <w:p>
      <w:pPr>
        <w:spacing w:after="120" w:before="0" w:line="360"/>
        <w:ind w:firstLine="567"/>
        <w:jc w:val="both"/>
      </w:pPr>
      <w:r>
        <w:rPr>
          <w:rFonts w:ascii="Times New Roman" w:cs="Times New Roman" w:eastAsia="Times New Roman" w:hAnsi="Times New Roman"/>
          <w:sz w:val="24"/>
          <w:szCs w:val="24"/>
        </w:rPr>
        <w:t xml:space="preserve">Para além desta introdução, a dissertação tem quatro capítulos. O Capítulo 2 revê a literatura sobre ameaças digitais, sistemas de monitorização, corpora e modelos para o português, métodos de avaliação e enquadramento ético e legal. O Capítulo 3 descreve a metodologia: a construção do corpus, a anotação, os modelos, o protocolo de avaliação e a arquitectura do sistema. O Capítulo 4 apresenta e discute os resultados e verifica as hipóteses. O Capítulo 5 sintetiza as conclusões, as limitações e as recomendações. Os apêndices reúnem excertos de código, o guia de anotação, os dados de acordo entre anotadores, a declaração dos anotadores e o manual do protótipo.</w:t>
      </w:r>
    </w:p>
    <w:p>
      <w:pPr>
        <w:sectPr>
          <w:headerReference w:type="default" r:id="rId13"/>
          <w:footerReference w:type="default" r:id="rId1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2 – REVISÃO DA LITERATURA</w:t>
      </w:r>
    </w:p>
    <w:p>
      <w:pPr>
        <w:spacing w:after="120" w:before="0" w:line="360"/>
        <w:ind w:firstLine="567"/>
        <w:jc w:val="both"/>
      </w:pPr>
      <w:r>
        <w:rPr>
          <w:rFonts w:ascii="Times New Roman" w:cs="Times New Roman" w:eastAsia="Times New Roman" w:hAnsi="Times New Roman"/>
          <w:sz w:val="24"/>
          <w:szCs w:val="24"/>
        </w:rPr>
        <w:t xml:space="preserve">Este capítulo situa o trabalho em relação ao que já se conhece. Começa pelas redes sociais e pelo contexto angolano, define as categorias de ameaça usadas na dissertação e revê os sistemas de monitorização existentes. Depois trata dos recursos e modelos de linguagem para o português, dos métodos de avaliação de classificadores e do problema da generalização entre domínios. Termina com o enquadramento ético e legal e com uma síntese da lacuna que a investigação procura preencher.</w:t>
      </w:r>
    </w:p>
    <w:p>
      <w:pPr>
        <w:pStyle w:val="Heading2"/>
        <w:keepNext/>
        <w:keepLines/>
        <w:spacing w:after="160" w:before="360" w:line="300"/>
      </w:pPr>
      <w:r>
        <w:rPr>
          <w:rFonts w:ascii="Times New Roman" w:cs="Times New Roman" w:eastAsia="Times New Roman" w:hAnsi="Times New Roman"/>
          <w:b/>
          <w:bCs/>
          <w:sz w:val="26"/>
          <w:szCs w:val="26"/>
        </w:rPr>
        <w:t xml:space="preserve">2.1 Redes sociais: conceito, evolução e dimensão securitária</w:t>
      </w:r>
    </w:p>
    <w:p>
      <w:pPr>
        <w:pStyle w:val="Heading3"/>
        <w:keepNext/>
        <w:spacing w:after="120" w:before="240"/>
      </w:pPr>
      <w:r>
        <w:rPr>
          <w:rFonts w:ascii="Times New Roman" w:cs="Times New Roman" w:eastAsia="Times New Roman" w:hAnsi="Times New Roman"/>
          <w:b/>
          <w:bCs/>
          <w:sz w:val="24"/>
          <w:szCs w:val="24"/>
        </w:rPr>
        <w:t xml:space="preserve">2.1.1 Conceito e evolução</w:t>
      </w:r>
    </w:p>
    <w:p>
      <w:pPr>
        <w:spacing w:after="120" w:before="0" w:line="360"/>
        <w:ind w:firstLine="567"/>
        <w:jc w:val="both"/>
      </w:pPr>
      <w:r>
        <w:rPr>
          <w:rFonts w:ascii="Times New Roman" w:cs="Times New Roman" w:eastAsia="Times New Roman" w:hAnsi="Times New Roman"/>
          <w:sz w:val="24"/>
          <w:szCs w:val="24"/>
        </w:rPr>
        <w:t xml:space="preserve">Boyd e Ellison (2007) definem as redes sociais como serviços que permitem construir um perfil público, articular uma lista de contactos e percorrer as ligações dentro do sistema. A definição capta a estrutura das plataformas, mas não o papel que vieram a ter na vida pública. Ao longo de três décadas passou-se de redes de perfis e ligações declaradas (SixDegrees, Friendster, MySpace) para plataformas de conteúdo gerado pelos utilizadores e de seguimento assimétrico (Facebook, YouTube, Twitter) e, finalmente, para serviços móveis em que o que cada pessoa vê é decidido por algoritmos de recomendação (Instagram, TikTok, Telegram).</w:t>
      </w:r>
    </w:p>
    <w:p>
      <w:pPr>
        <w:spacing w:after="120" w:before="0" w:line="360"/>
        <w:ind w:firstLine="567"/>
        <w:jc w:val="both"/>
      </w:pPr>
      <w:r>
        <w:rPr>
          <w:rFonts w:ascii="Times New Roman" w:cs="Times New Roman" w:eastAsia="Times New Roman" w:hAnsi="Times New Roman"/>
          <w:sz w:val="24"/>
          <w:szCs w:val="24"/>
        </w:rPr>
        <w:t xml:space="preserve">Esta última mudança é relevante para a segurança. Quando a recomendação privilegia o envolvimento, o conteúdo que provoca indignação, medo ou raiva tende a circular mais, independentemente da intenção de quem o publica. Castells (2013) mostrou, a propósito da Primavera Árabe, como redes horizontais permitem coordenar acções políticas sem passar pelos meios de comunicação tradicionais. Uma década depois, essa capacidade de coordenação descentralizada é uma característica estrutural de qualquer espaço público com acesso generalizado à Internet.</w:t>
      </w:r>
    </w:p>
    <w:p>
      <w:pPr>
        <w:pStyle w:val="Heading3"/>
        <w:keepNext/>
        <w:spacing w:after="120" w:before="240"/>
      </w:pPr>
      <w:r>
        <w:rPr>
          <w:rFonts w:ascii="Times New Roman" w:cs="Times New Roman" w:eastAsia="Times New Roman" w:hAnsi="Times New Roman"/>
          <w:b/>
          <w:bCs/>
          <w:sz w:val="24"/>
          <w:szCs w:val="24"/>
        </w:rPr>
        <w:t xml:space="preserve">2.1.2 O ecossistema digital angolano</w:t>
      </w:r>
    </w:p>
    <w:p>
      <w:pPr>
        <w:spacing w:after="120" w:before="0" w:line="360"/>
        <w:ind w:firstLine="567"/>
        <w:jc w:val="both"/>
      </w:pPr>
      <w:r>
        <w:rPr>
          <w:rFonts w:ascii="Times New Roman" w:cs="Times New Roman" w:eastAsia="Times New Roman" w:hAnsi="Times New Roman"/>
          <w:sz w:val="24"/>
          <w:szCs w:val="24"/>
        </w:rPr>
        <w:t xml:space="preserve">Os dados de Kemp (2025) mostram um ecossistema em crescimento, mas ainda concentrado: 5,50 milhões de identidades em redes sociais numa população de 39,3 milhões, com o Facebook à frente em alcance e o TikTok em segundo lugar. O acesso faz-se sobretudo por telemóvel. A concentração urbana dos utilizadores, em especial em Luanda, significa que o que se discute online chega rapidamente às zonas de maior densidade populacional, e daí, por contacto pessoal, a quem não está ligado.</w:t>
      </w:r>
    </w:p>
    <w:p>
      <w:pPr>
        <w:spacing w:after="120" w:before="0" w:line="360"/>
        <w:ind w:firstLine="567"/>
        <w:jc w:val="both"/>
      </w:pPr>
      <w:r>
        <w:rPr>
          <w:rFonts w:ascii="Times New Roman" w:cs="Times New Roman" w:eastAsia="Times New Roman" w:hAnsi="Times New Roman"/>
          <w:sz w:val="24"/>
          <w:szCs w:val="24"/>
        </w:rPr>
        <w:t xml:space="preserve">Dois episódios marcaram a relação entre redes sociais e segurança em Angola. A campanha «2022 Vais Gostar» começou online e resultou em manifestações simultâneas em várias províncias (Hassane, 2021). Nos protestos de Agosto de 2025, foram referidos conteúdos sintéticos usados para influenciar a narrativa pública (Cintra, 2025). Marcon (2019) descreve, numa perspectiva sociológica, como os jovens angolanos usam estes espaços para formas de activismo que nem sempre encontram expressão nos canais tradicionais, o que reforça a necessidade de distinguir com cuidado o protesto legítimo da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2.2 Categorias de ameaças digitais</w:t>
      </w:r>
    </w:p>
    <w:p>
      <w:pPr>
        <w:spacing w:after="120" w:before="0" w:line="360"/>
        <w:ind w:firstLine="567"/>
        <w:jc w:val="both"/>
      </w:pPr>
      <w:r>
        <w:rPr>
          <w:rFonts w:ascii="Times New Roman" w:cs="Times New Roman" w:eastAsia="Times New Roman" w:hAnsi="Times New Roman"/>
          <w:sz w:val="24"/>
          <w:szCs w:val="24"/>
        </w:rPr>
        <w:t xml:space="preserve">A taxonomia adoptada tem quatro categorias: Normal, Desinformação, Discurso de Ódio e Mobilização Hostil. A escolha procurou equilibrar três critérios: cobrir as ameaças documentadas no contexto angolano, ter categorias suficientemente distintas para treinar classificadores supervisionados e ser compreensível por analistas sem formação em processamento de linguagem natural. Taxonomias mais finas, com subcategorias por alvo ou por grau de urgência, deixariam poucas amostras por classe e tornariam os alertas mais difíceis de interpretar.</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é informação falsa ou enganosa partilhada com intenção de causar dano, distinta do erro involuntário (</w:t>
      </w:r>
      <w:r>
        <w:rPr>
          <w:rFonts w:ascii="Times New Roman" w:cs="Times New Roman" w:eastAsia="Times New Roman" w:hAnsi="Times New Roman"/>
          <w:i/>
          <w:iCs/>
          <w:sz w:val="24"/>
          <w:szCs w:val="24"/>
        </w:rPr>
        <w:t xml:space="preserve">misinformation</w:t>
      </w:r>
      <w:r>
        <w:rPr>
          <w:rFonts w:ascii="Times New Roman" w:cs="Times New Roman" w:eastAsia="Times New Roman" w:hAnsi="Times New Roman"/>
          <w:sz w:val="24"/>
          <w:szCs w:val="24"/>
        </w:rPr>
        <w:t xml:space="preserve">) e da divulgação de informação verdadeira com intenção de prejudicar (</w:t>
      </w:r>
      <w:r>
        <w:rPr>
          <w:rFonts w:ascii="Times New Roman" w:cs="Times New Roman" w:eastAsia="Times New Roman" w:hAnsi="Times New Roman"/>
          <w:i/>
          <w:iCs/>
          <w:sz w:val="24"/>
          <w:szCs w:val="24"/>
        </w:rPr>
        <w:t xml:space="preserve">malinformation</w:t>
      </w:r>
      <w:r>
        <w:rPr>
          <w:rFonts w:ascii="Times New Roman" w:cs="Times New Roman" w:eastAsia="Times New Roman" w:hAnsi="Times New Roman"/>
          <w:sz w:val="24"/>
          <w:szCs w:val="24"/>
        </w:rPr>
        <w:t xml:space="preserve">) (Wardle &amp; Derakhshan, 2017; UNESCO, 2019). Na prática, a intenção raramente é observável num texto curto; os anotadores apoiam-se em marcadores como a ausência de fonte verificável, o apelo urgente à partilha ou a atribuição de declarações a figuras públicas sem prova.</w:t>
      </w:r>
    </w:p>
    <w:p>
      <w:pPr>
        <w:spacing w:after="120" w:before="0" w:line="360"/>
        <w:ind w:firstLine="567"/>
        <w:jc w:val="both"/>
      </w:pPr>
      <w:r>
        <w:rPr>
          <w:rFonts w:ascii="Times New Roman" w:cs="Times New Roman" w:eastAsia="Times New Roman" w:hAnsi="Times New Roman"/>
          <w:b/>
          <w:bCs/>
          <w:sz w:val="24"/>
          <w:szCs w:val="24"/>
        </w:rPr>
        <w:t xml:space="preserve">Discurso de ódio</w:t>
      </w:r>
      <w:r>
        <w:rPr>
          <w:rFonts w:ascii="Times New Roman" w:cs="Times New Roman" w:eastAsia="Times New Roman" w:hAnsi="Times New Roman"/>
          <w:sz w:val="24"/>
          <w:szCs w:val="24"/>
        </w:rPr>
        <w:t xml:space="preserve"> abrange conteúdos que promovem, incitam ou justificam a discriminação, a hostilidade ou a violência contra pessoas ou grupos com base em características identitárias, como a etnia, a religião, a origem regional, o género ou a orientação sexual (Conselho da Europa, 2022). Fortuna e Nunes (2018) mostram que a categoria inclui tanto o insulto explícito como formas implícitas, por exemplo estereótipos apresentados como factos, que são muito mais difíceis de detectar automaticamente. Num país com dezenas de grupos etnolinguísticos, como Angola, o discurso que opõe grupos entre si tem relevância securitária própria (Elias, 2019).</w:t>
      </w:r>
    </w:p>
    <w:p>
      <w:pPr>
        <w:spacing w:after="120" w:before="0" w:line="360"/>
        <w:ind w:firstLine="567"/>
        <w:jc w:val="both"/>
      </w:pPr>
      <w:r>
        <w:rPr>
          <w:rFonts w:ascii="Times New Roman" w:cs="Times New Roman" w:eastAsia="Times New Roman" w:hAnsi="Times New Roman"/>
          <w:b/>
          <w:bCs/>
          <w:sz w:val="24"/>
          <w:szCs w:val="24"/>
        </w:rPr>
        <w:t xml:space="preserve">Mobilização hostil</w:t>
      </w:r>
      <w:r>
        <w:rPr>
          <w:rFonts w:ascii="Times New Roman" w:cs="Times New Roman" w:eastAsia="Times New Roman" w:hAnsi="Times New Roman"/>
          <w:sz w:val="24"/>
          <w:szCs w:val="24"/>
        </w:rPr>
        <w:t xml:space="preserve"> designa publicações que organizam, coordenam ou incitam à participação em acções ilegais ou violentas, ou que ameacem a ordem pública (Hassane, 2021; Sette Câmara, 2016). É a categoria mais delicada, porque a fronteira com o exercício legítimo dos direitos de expressão e de manifestação, consagrados nos artigos 40.º e 47.º da Constituição da República de Angola (República de Angola, 2010), é ténue. O guia de anotação (Apêndice B) exige a presença conjunta de coordenação explícita, linguagem coerciva ou de violência e ausência de referência ao carácter pacífico da acção; na falta de algum destes elementos, a publicação é classificada como Normal.</w:t>
      </w:r>
    </w:p>
    <w:p>
      <w:pPr>
        <w:spacing w:after="120" w:before="0" w:line="360"/>
        <w:ind w:firstLine="567"/>
        <w:jc w:val="both"/>
      </w:pP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é a categoria residual: tudo o que não cumpre os critérios das restantes, incluindo crítica política, humor, jornalismo e conversa quotidiana. Esta definição por exclusão obriga o anotador a procurar activamente marcadores de ameaça, em vez de se limitar a reconhecer conteúdo inofensivo.</w:t>
      </w:r>
    </w:p>
    <w:p>
      <w:pPr>
        <w:pStyle w:val="Heading2"/>
        <w:keepNext/>
        <w:keepLines/>
        <w:spacing w:after="160" w:before="360" w:line="300"/>
      </w:pPr>
      <w:r>
        <w:rPr>
          <w:rFonts w:ascii="Times New Roman" w:cs="Times New Roman" w:eastAsia="Times New Roman" w:hAnsi="Times New Roman"/>
          <w:b/>
          <w:bCs/>
          <w:sz w:val="26"/>
          <w:szCs w:val="26"/>
        </w:rPr>
        <w:t xml:space="preserve">2.3 Sistemas de monitorização de ameaças</w:t>
      </w:r>
    </w:p>
    <w:p>
      <w:pPr>
        <w:spacing w:after="120" w:before="0" w:line="360"/>
        <w:ind w:firstLine="567"/>
        <w:jc w:val="both"/>
      </w:pPr>
      <w:r>
        <w:rPr>
          <w:rFonts w:ascii="Times New Roman" w:cs="Times New Roman" w:eastAsia="Times New Roman" w:hAnsi="Times New Roman"/>
          <w:sz w:val="24"/>
          <w:szCs w:val="24"/>
        </w:rPr>
        <w:t xml:space="preserve">Os sistemas internacionais de referência mostram o que é tecnicamente possível, mas também porque não se transpõem directamente para Angola. O programa MediFor, da agência norte-americana DARPA, desenvolveu métodos forenses para detectar imagens e vídeos manipulados (Defense Advanced Research Projects Agency, 2016). É um programa de investigação governamental, sem mecanismo de transferência para países terceiros e sem atenção ao português.</w:t>
      </w:r>
    </w:p>
    <w:p>
      <w:pPr>
        <w:spacing w:after="120" w:before="0" w:line="360"/>
        <w:ind w:firstLine="567"/>
        <w:jc w:val="both"/>
      </w:pPr>
      <w:r>
        <w:rPr>
          <w:rFonts w:ascii="Times New Roman" w:cs="Times New Roman" w:eastAsia="Times New Roman" w:hAnsi="Times New Roman"/>
          <w:sz w:val="24"/>
          <w:szCs w:val="24"/>
        </w:rPr>
        <w:t xml:space="preserve">O Palantir Gotham é uma plataforma comercial de análise de grandes volumes de dados heterogéneos usada por agências de segurança (Palantir Technologies, 2021). O seu custo e, sobretudo, a dependência de infra-estrutura e de um fornecedor externos levantam problemas de soberania sobre dados sensíveis. O EU DisinfoLab publica metodologias abertas de análise de redes de desinformação baseadas em fontes abertas (EU DisinfoLab, 2020, 2021); são transferíveis em termos de método, mas foram pensadas para o contexto europeu. O AFRIPOL acompanha as ciberameaças no continente africano através de relatórios periódicos (AFRIPOL, 2023), sem um componente automático de análise de texto em português.</w:t>
      </w:r>
    </w:p>
    <w:p>
      <w:pPr>
        <w:spacing w:after="120" w:before="0" w:line="360"/>
        <w:ind w:firstLine="567"/>
        <w:jc w:val="both"/>
      </w:pPr>
      <w:r>
        <w:rPr>
          <w:rFonts w:ascii="Times New Roman" w:cs="Times New Roman" w:eastAsia="Times New Roman" w:hAnsi="Times New Roman"/>
          <w:sz w:val="24"/>
          <w:szCs w:val="24"/>
        </w:rPr>
        <w:t xml:space="preserve">A Análise de Redes Sociais oferece um complemento útil à classificação de conteúdos. Medidas como a centralidade de grau, a centralidade de intermediação e a densidade permitem identificar contas influentes, pontes entre comunidades e padrões de publicação coordenada (Thelwall, 2009; Freire, 2015). Woolley e Howard (2017) documentam como a propaganda computacional recorre a contas automatizadas e a publicação sincronizada para simular apoio popular. Esta dimensão relacional não foi implementada no protótipo desta dissertação, que trabalha ao nível da publicação individual, mas é uma extensão natural discutida no Capítulo 5.</w:t>
      </w:r>
    </w:p>
    <w:p>
      <w:pPr>
        <w:spacing w:after="120" w:before="0" w:line="360"/>
        <w:ind w:firstLine="567"/>
        <w:jc w:val="both"/>
      </w:pPr>
      <w:r>
        <w:rPr>
          <w:rFonts w:ascii="Times New Roman" w:cs="Times New Roman" w:eastAsia="Times New Roman" w:hAnsi="Times New Roman"/>
          <w:sz w:val="24"/>
          <w:szCs w:val="24"/>
        </w:rPr>
        <w:t xml:space="preserve">Monaco e Arnaudo (2020) sublinham que a monitorização de redes sociais por entidades públicas exige, além da tecnologia, regras claras sobre o que se recolhe, quem acede e como se decide. Esta observação orienta o desenho do sistema proposto: em vez de procurar a máxima cobertura, procura-se um fluxo de trabalho auditável, com o analista no centro.</w:t>
      </w:r>
    </w:p>
    <w:p>
      <w:pPr>
        <w:pStyle w:val="Heading2"/>
        <w:keepNext/>
        <w:keepLines/>
        <w:spacing w:after="160" w:before="360" w:line="300"/>
      </w:pPr>
      <w:r>
        <w:rPr>
          <w:rFonts w:ascii="Times New Roman" w:cs="Times New Roman" w:eastAsia="Times New Roman" w:hAnsi="Times New Roman"/>
          <w:b/>
          <w:bCs/>
          <w:sz w:val="26"/>
          <w:szCs w:val="26"/>
        </w:rPr>
        <w:t xml:space="preserve">2.4 Recursos e modelos de linguagem para o português</w:t>
      </w:r>
    </w:p>
    <w:p>
      <w:pPr>
        <w:pStyle w:val="Heading3"/>
        <w:keepNext/>
        <w:spacing w:after="120" w:before="240"/>
      </w:pPr>
      <w:r>
        <w:rPr>
          <w:rFonts w:ascii="Times New Roman" w:cs="Times New Roman" w:eastAsia="Times New Roman" w:hAnsi="Times New Roman"/>
          <w:b/>
          <w:bCs/>
          <w:sz w:val="24"/>
          <w:szCs w:val="24"/>
        </w:rPr>
        <w:t xml:space="preserve">2.4.1 Corpora anotados</w:t>
      </w:r>
    </w:p>
    <w:p>
      <w:pPr>
        <w:spacing w:after="120" w:before="0" w:line="360"/>
        <w:ind w:firstLine="567"/>
        <w:jc w:val="both"/>
      </w:pPr>
      <w:r>
        <w:rPr>
          <w:rFonts w:ascii="Times New Roman" w:cs="Times New Roman" w:eastAsia="Times New Roman" w:hAnsi="Times New Roman"/>
          <w:sz w:val="24"/>
          <w:szCs w:val="24"/>
        </w:rPr>
        <w:t xml:space="preserve">A detecção automática de discurso de ódio e de desinformação depende de corpora anotados, e a qualidade e o alcance desses corpora condicionam o que os modelos aprendem (Poletto et al., 2021). Para o português existem três recursos públicos relevantes para esta investigação, todos de origem brasileira: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ToLD-BR</w:t>
      </w:r>
      <w:r>
        <w:rPr>
          <w:rFonts w:ascii="Times New Roman" w:cs="Times New Roman" w:eastAsia="Times New Roman" w:hAnsi="Times New Roman"/>
          <w:sz w:val="24"/>
          <w:szCs w:val="24"/>
        </w:rPr>
        <w:t xml:space="preserve"> reúne cerca de 21 mil publicações do Twitter anotadas para várias formas de linguagem tóxica, incluindo ataques baseados em identidade (Leite et al., 2020);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HateBR</w:t>
      </w:r>
      <w:r>
        <w:rPr>
          <w:rFonts w:ascii="Times New Roman" w:cs="Times New Roman" w:eastAsia="Times New Roman" w:hAnsi="Times New Roman"/>
          <w:sz w:val="24"/>
          <w:szCs w:val="24"/>
        </w:rPr>
        <w:t xml:space="preserve"> contém 7 mil comentários do Instagram anotados por especialistas para linguagem ofensiva e discurso de ódio (Vargas et al., 2022);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Fake.br</w:t>
      </w:r>
      <w:r>
        <w:rPr>
          <w:rFonts w:ascii="Times New Roman" w:cs="Times New Roman" w:eastAsia="Times New Roman" w:hAnsi="Times New Roman"/>
          <w:sz w:val="24"/>
          <w:szCs w:val="24"/>
        </w:rPr>
        <w:t xml:space="preserve"> contém 7.200 notícias, metade verdadeiras e metade falsas, com textos completos emparelhados por tema (Monteiro et al., 2018).</w:t>
      </w:r>
    </w:p>
    <w:p>
      <w:pPr>
        <w:spacing w:after="120" w:before="0" w:line="360"/>
        <w:ind w:firstLine="567"/>
        <w:jc w:val="both"/>
      </w:pPr>
      <w:r>
        <w:rPr>
          <w:rFonts w:ascii="Times New Roman" w:cs="Times New Roman" w:eastAsia="Times New Roman" w:hAnsi="Times New Roman"/>
          <w:sz w:val="24"/>
          <w:szCs w:val="24"/>
        </w:rPr>
        <w:t xml:space="preserve">Nenhum destes recursos inclui a categoria de mobilização hostil, e nenhum contém texto angolano. A Desinformação disponível é composta por notícias completas, um género textual muito diferente dos comentários curtos que circulam nas redes sociais, o que terá consequências na interpretação dos resultados (Secção 4.6).</w:t>
      </w:r>
    </w:p>
    <w:p>
      <w:pPr>
        <w:pStyle w:val="Heading3"/>
        <w:keepNext/>
        <w:spacing w:after="120" w:before="240"/>
      </w:pPr>
      <w:r>
        <w:rPr>
          <w:rFonts w:ascii="Times New Roman" w:cs="Times New Roman" w:eastAsia="Times New Roman" w:hAnsi="Times New Roman"/>
          <w:b/>
          <w:bCs/>
          <w:sz w:val="24"/>
          <w:szCs w:val="24"/>
        </w:rPr>
        <w:t xml:space="preserve">2.4.2 Modelos de linguagem</w:t>
      </w:r>
    </w:p>
    <w:p>
      <w:pPr>
        <w:spacing w:after="120" w:before="0" w:line="360"/>
        <w:ind w:firstLine="567"/>
        <w:jc w:val="both"/>
      </w:pPr>
      <w:r>
        <w:rPr>
          <w:rFonts w:ascii="Times New Roman" w:cs="Times New Roman" w:eastAsia="Times New Roman" w:hAnsi="Times New Roman"/>
          <w:sz w:val="24"/>
          <w:szCs w:val="24"/>
        </w:rPr>
        <w:t xml:space="preserve">O BERT (Devlin et al., 2018) introduziu o pré-treino de codificadores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(Vaswani et al., 2017) com objectivos de modelação de linguagem mascarada, seguido de ajuste fino para tarefas específicas. O BERTimbau é a versão do BERT pré-treinada com o corpus brWaC, uma colecção de páginas web brasileiras com cerca de 2,7 mil milhões de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e obteve resultados de referência em várias tarefas de PLN em português (Souza et al., 2020).</w:t>
      </w:r>
    </w:p>
    <w:p>
      <w:pPr>
        <w:spacing w:after="120" w:before="0" w:line="360"/>
        <w:ind w:firstLine="567"/>
        <w:jc w:val="both"/>
      </w:pPr>
      <w:r>
        <w:rPr>
          <w:rFonts w:ascii="Times New Roman" w:cs="Times New Roman" w:eastAsia="Times New Roman" w:hAnsi="Times New Roman"/>
          <w:sz w:val="24"/>
          <w:szCs w:val="24"/>
        </w:rPr>
        <w:t xml:space="preserve">O BERTimbau usa um vocabulário de subpalavras (</w:t>
      </w:r>
      <w:r>
        <w:rPr>
          <w:rFonts w:ascii="Times New Roman" w:cs="Times New Roman" w:eastAsia="Times New Roman" w:hAnsi="Times New Roman"/>
          <w:i/>
          <w:iCs/>
          <w:sz w:val="24"/>
          <w:szCs w:val="24"/>
        </w:rPr>
        <w:t xml:space="preserve">WordPiece</w:t>
      </w:r>
      <w:r>
        <w:rPr>
          <w:rFonts w:ascii="Times New Roman" w:cs="Times New Roman" w:eastAsia="Times New Roman" w:hAnsi="Times New Roman"/>
          <w:sz w:val="24"/>
          <w:szCs w:val="24"/>
        </w:rPr>
        <w:t xml:space="preserve">). Uma palavra que não está no vocabulário não é descartada: é dividida em fragmentos conhecidos. Termos do calão de Luanda, como </w:t>
      </w:r>
      <w:r>
        <w:rPr>
          <w:rFonts w:ascii="Times New Roman" w:cs="Times New Roman" w:eastAsia="Times New Roman" w:hAnsi="Times New Roman"/>
          <w:i/>
          <w:iCs/>
          <w:sz w:val="24"/>
          <w:szCs w:val="24"/>
        </w:rPr>
        <w:t xml:space="preserve">kota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bué</w:t>
      </w:r>
      <w:r>
        <w:rPr>
          <w:rFonts w:ascii="Times New Roman" w:cs="Times New Roman" w:eastAsia="Times New Roman" w:hAnsi="Times New Roman"/>
          <w:sz w:val="24"/>
          <w:szCs w:val="24"/>
        </w:rPr>
        <w:t xml:space="preserve"> ou </w:t>
      </w:r>
      <w:r>
        <w:rPr>
          <w:rFonts w:ascii="Times New Roman" w:cs="Times New Roman" w:eastAsia="Times New Roman" w:hAnsi="Times New Roman"/>
          <w:i/>
          <w:iCs/>
          <w:sz w:val="24"/>
          <w:szCs w:val="24"/>
        </w:rPr>
        <w:t xml:space="preserve">mujimbo</w:t>
      </w:r>
      <w:r>
        <w:rPr>
          <w:rFonts w:ascii="Times New Roman" w:cs="Times New Roman" w:eastAsia="Times New Roman" w:hAnsi="Times New Roman"/>
          <w:sz w:val="24"/>
          <w:szCs w:val="24"/>
        </w:rPr>
        <w:t xml:space="preserve">, e empréstimos do kimbundu são assim representados por sequências de fragmentos sem significado próprio, o que enfraquece a representação semântica da frase. O efeito não se resolve apenas com o ajuste fino, porque este parte das representações aprendidas no pré-treino. Gururangan et al. (2020) mostram que continuar o pré-treino com texto do domínio de aplicação (</w:t>
      </w:r>
      <w:r>
        <w:rPr>
          <w:rFonts w:ascii="Times New Roman" w:cs="Times New Roman" w:eastAsia="Times New Roman" w:hAnsi="Times New Roman"/>
          <w:i/>
          <w:iCs/>
          <w:sz w:val="24"/>
          <w:szCs w:val="24"/>
        </w:rPr>
        <w:t xml:space="preserve">domain-adaptive pretraining</w:t>
      </w:r>
      <w:r>
        <w:rPr>
          <w:rFonts w:ascii="Times New Roman" w:cs="Times New Roman" w:eastAsia="Times New Roman" w:hAnsi="Times New Roman"/>
          <w:sz w:val="24"/>
          <w:szCs w:val="24"/>
        </w:rPr>
        <w:t xml:space="preserve">) melhora o desempenho em domínios afastados do original, uma via que fica identificada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2.5 Algoritmos de classificação de texto</w:t>
      </w:r>
    </w:p>
    <w:p>
      <w:pPr>
        <w:spacing w:after="120" w:before="0" w:line="360"/>
        <w:ind w:firstLine="567"/>
        <w:jc w:val="both"/>
      </w:pPr>
      <w:r>
        <w:rPr>
          <w:rFonts w:ascii="Times New Roman" w:cs="Times New Roman" w:eastAsia="Times New Roman" w:hAnsi="Times New Roman"/>
          <w:sz w:val="24"/>
          <w:szCs w:val="24"/>
        </w:rPr>
        <w:t xml:space="preserve">Foram comparados quatro algoritmos que representam três gerações de métodos. A Tabela 2.1 resume as suas características.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2.1 – Algoritmos de classificação comparados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2320"/>
      </w:tblGrid>
      <w:tr>
        <w:trPr>
          <w:cantSplit/>
          <w:tblHeader/>
        </w:trPr>
        <w:tc>
          <w:tcPr>
            <w:tcW w:type="dxa" w:w="1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Algoritmo</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Representação do texto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Pontos fortes</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Limitações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SVM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 (saco de palavras e n-gramas)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Eficaz em espaços esparsos de alta dimensão; rápido em CPU</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e o contexto das palavras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Floresta Aleatória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Robusta ao sobreajuste; permite analisar a importância dos termos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menos eficaz em espaços muito esparsos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Bi-LSTM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Sequência de </w:t>
            </w:r>
            <w:r>
              <w:rPr>
                <w:rFonts w:ascii="Times New Roman" w:cs="Times New Roman" w:eastAsia="Times New Roman" w:hAnsi="Times New Roman"/>
                <w:b w:val="false"/>
                <w:bCs w:val="false"/>
                <w:i/>
                <w:iCs/>
                <w:sz w:val="18"/>
                <w:szCs w:val="18"/>
              </w:rPr>
              <w:t xml:space="preserve">embeddings</w:t>
            </w:r>
            <w:r>
              <w:rPr>
                <w:rFonts w:ascii="Times New Roman" w:cs="Times New Roman" w:eastAsia="Times New Roman" w:hAnsi="Times New Roman"/>
                <w:b w:val="false"/>
                <w:bCs w:val="false"/>
                <w:sz w:val="18"/>
                <w:szCs w:val="18"/>
              </w:rPr>
              <w:t xml:space="preserve"> aprendidos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Modela a ordem e dependências nos dois sentidos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Precisa de mais dados; sem pré-treino em grande escala</w:t>
            </w:r>
          </w:p>
        </w:tc>
      </w:tr>
      <w:tr>
        <w:trPr>
          <w:cantSplit/>
          <w:tblHeader w:val="false"/>
        </w:trP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Subpalavras com contexto (</w:t>
            </w:r>
            <w:r>
              <w:rPr>
                <w:rFonts w:ascii="Times New Roman" w:cs="Times New Roman" w:eastAsia="Times New Roman" w:hAnsi="Times New Roman"/>
                <w:b w:val="false"/>
                <w:bCs w:val="false"/>
                <w:i/>
                <w:iCs/>
                <w:sz w:val="18"/>
                <w:szCs w:val="18"/>
              </w:rPr>
              <w:t xml:space="preserve">Transformer</w:t>
            </w: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em português; contexto bidireccional</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computacional; GPU recomendada para treino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Elaborado a partir de Cortes e Vapnik (1995), Joachims (1998), Breiman (2001), Hochreiter e Schmidhuber (1997), Schuster e Paliwal (1997) e Souza et al. (2020).</w:t>
      </w:r>
    </w:p>
    <w:p>
      <w:pPr>
        <w:spacing w:after="120" w:before="0" w:line="360"/>
        <w:ind w:firstLine="567"/>
        <w:jc w:val="both"/>
      </w:pPr>
      <w:r>
        <w:rPr>
          <w:rFonts w:ascii="Times New Roman" w:cs="Times New Roman" w:eastAsia="Times New Roman" w:hAnsi="Times New Roman"/>
          <w:sz w:val="24"/>
          <w:szCs w:val="24"/>
        </w:rPr>
        <w:t xml:space="preserve">As Máquinas de Vectores de Suporte (Cortes &amp; Vapnik, 1995) procuram o hiperplano que separa as classes com a maior margem e são, desde Joachims (1998), uma referência sólida para classificação de texto com representações TF-IDF. A Floresta Aleatória (Breiman, 2001) combina muitas árvores de decisão treinadas com amostras e subconjuntos de variáveis diferentes; é menos comum em texto, mas útil como segunda referência clássica e pela interpretabilidade da importância dos termos.</w:t>
      </w:r>
    </w:p>
    <w:p>
      <w:pPr>
        <w:spacing w:after="120" w:before="0" w:line="360"/>
        <w:ind w:firstLine="567"/>
        <w:jc w:val="both"/>
      </w:pPr>
      <w:r>
        <w:rPr>
          <w:rFonts w:ascii="Times New Roman" w:cs="Times New Roman" w:eastAsia="Times New Roman" w:hAnsi="Times New Roman"/>
          <w:sz w:val="24"/>
          <w:szCs w:val="24"/>
        </w:rPr>
        <w:t xml:space="preserve">As redes LSTM (Hochreiter &amp; Schmidhuber, 1997) foram concebidas para captar dependências longas em sequências; a versão bidireccional (Schuster &amp; Paliwal, 1997) lê a frase nos dois sentidos. Esta capacidade é relevante para a mobilização hostil, em que a informação decisiva (hora, local, apelo final) pode surgir em qualquer ponto do texto. O BERTimbau, por fim, combina o contexto bidireccional com o conhecimento linguístico adquirido no pré-treino. A comparação entre o Bi-LSTM e o BERTimbau permite, assim, separar em parte o efeito da arquitectura sequencial do efeito do pré-treino.</w:t>
      </w:r>
    </w:p>
    <w:p>
      <w:pPr>
        <w:spacing w:after="120" w:before="0" w:line="360"/>
        <w:ind w:firstLine="567"/>
        <w:jc w:val="both"/>
      </w:pPr>
      <w:r>
        <w:rPr>
          <w:rFonts w:ascii="Times New Roman" w:cs="Times New Roman" w:eastAsia="Times New Roman" w:hAnsi="Times New Roman"/>
          <w:sz w:val="24"/>
          <w:szCs w:val="24"/>
        </w:rPr>
        <w:t xml:space="preserve">A manutenção de modelos clássicos tem também uma razão prática. Num sistema operacional, um modelo leve que corre em CPU pode servir de contingência quando a GPU não está disponível, desde que se conheça e se aceite a perda de desempenho que isso implica.</w:t>
      </w:r>
    </w:p>
    <w:p>
      <w:pPr>
        <w:pStyle w:val="Heading2"/>
        <w:keepNext/>
        <w:keepLines/>
        <w:spacing w:after="160" w:before="360" w:line="300"/>
      </w:pPr>
      <w:r>
        <w:rPr>
          <w:rFonts w:ascii="Times New Roman" w:cs="Times New Roman" w:eastAsia="Times New Roman" w:hAnsi="Times New Roman"/>
          <w:b/>
          <w:bCs/>
          <w:sz w:val="26"/>
          <w:szCs w:val="26"/>
        </w:rPr>
        <w:t xml:space="preserve">2.6 Avaliação de classificadores</w:t>
      </w:r>
    </w:p>
    <w:p>
      <w:pPr>
        <w:spacing w:after="120" w:before="0" w:line="360"/>
        <w:ind w:firstLine="567"/>
        <w:jc w:val="both"/>
      </w:pPr>
      <w:r>
        <w:rPr>
          <w:rFonts w:ascii="Times New Roman" w:cs="Times New Roman" w:eastAsia="Times New Roman" w:hAnsi="Times New Roman"/>
          <w:sz w:val="24"/>
          <w:szCs w:val="24"/>
        </w:rPr>
        <w:t xml:space="preserve">Em problemas com classes desequilibradas, a exactidão é enganadora: um modelo que classifique tudo como Normal pode ter exactidão elevada e ser inútil. Sokolova e Lapalme (2009) mostram que a escolha da métrica deve reflectir os custos dos erros. Nesta dissertação, a métrica principal é o </w:t>
      </w: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a média simples do F1 de cada categoria, que dá à Mobilização Hostil, a categoria mais rara, o mesmo peso da categoria Normal. Reportam-se também o F1 ponderado, a exactidão, a AUC-ROC e o Kappa de Cohen entre as previsões e a referência (Cohen, 1960).</w:t>
      </w:r>
    </w:p>
    <w:p>
      <w:pPr>
        <w:spacing w:after="120" w:before="0" w:line="360"/>
        <w:ind w:firstLine="567"/>
        <w:jc w:val="both"/>
      </w:pPr>
      <w:r>
        <w:rPr>
          <w:rFonts w:ascii="Times New Roman" w:cs="Times New Roman" w:eastAsia="Times New Roman" w:hAnsi="Times New Roman"/>
          <w:sz w:val="24"/>
          <w:szCs w:val="24"/>
        </w:rPr>
        <w:t xml:space="preserve">Uma diferença de desempenho num conjunto de teste pode resultar do acaso. Para quantificar essa incerteza usam-se intervalos de confiança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que reamostram o conjunto de teste com reposição e recalculam a métrica (Efron &amp; Tibshirani, 1993). Para comparar dois classificadores no mesmo conjunto de teste, Dietterich (1998) recomenda o teste de McNemar (McNemar, 1947), que considera apenas os casos em que um modelo acerta e o outro erra. Quando se fazem várias comparações, a correcção de Bonferroni multiplica cada valor de p pelo número de comparações, controlando a probabilidade de encontrar pelo menos uma diferença espúria.</w:t>
      </w:r>
    </w:p>
    <w:p>
      <w:pPr>
        <w:spacing w:after="120" w:before="0" w:line="360"/>
        <w:ind w:firstLine="567"/>
        <w:jc w:val="both"/>
      </w:pPr>
      <w:r>
        <w:rPr>
          <w:rFonts w:ascii="Times New Roman" w:cs="Times New Roman" w:eastAsia="Times New Roman" w:hAnsi="Times New Roman"/>
          <w:sz w:val="24"/>
          <w:szCs w:val="24"/>
        </w:rPr>
        <w:t xml:space="preserve">O acordo entre anotadores mede a fiabilidade das etiquetas. O Kappa de Cohen (Cohen, 1960) aplica-se a pares de anotadores; o Kappa de Fleiss (Fleiss, 1971) generaliza-o para mais de dois. Ambos corrigem a concordância observada pela concordância esperada ao acaso. A escala de Landis e Koch (1977) é a referência habitual para a sua interpretação, embora os próprios autores a apresentem como indicativa.</w:t>
      </w:r>
    </w:p>
    <w:p>
      <w:pPr>
        <w:pStyle w:val="Heading2"/>
        <w:keepNext/>
        <w:keepLines/>
        <w:spacing w:after="160" w:before="360" w:line="300"/>
      </w:pPr>
      <w:r>
        <w:rPr>
          <w:rFonts w:ascii="Times New Roman" w:cs="Times New Roman" w:eastAsia="Times New Roman" w:hAnsi="Times New Roman"/>
          <w:b/>
          <w:bCs/>
          <w:sz w:val="26"/>
          <w:szCs w:val="26"/>
        </w:rPr>
        <w:t xml:space="preserve">2.7 Generalização entre domínios e aprendizagem de atalhos</w:t>
      </w:r>
    </w:p>
    <w:p>
      <w:pPr>
        <w:spacing w:after="120" w:before="0" w:line="360"/>
        <w:ind w:firstLine="567"/>
        <w:jc w:val="both"/>
      </w:pPr>
      <w:r>
        <w:rPr>
          <w:rFonts w:ascii="Times New Roman" w:cs="Times New Roman" w:eastAsia="Times New Roman" w:hAnsi="Times New Roman"/>
          <w:sz w:val="24"/>
          <w:szCs w:val="24"/>
        </w:rPr>
        <w:t xml:space="preserve">Um modelo treinado num corpus pode ter bom desempenho nesse corpus e falhar noutro. Fortuna, Soler-Company e Wanner (2021) mostram que os classificadores de discurso de ódio e de linguagem ofensiva generalizam mal entre conjuntos de dados, porque cada corpus reflecte as suas plataformas, os seus temas e as suas decisões de anotação. Geirhos et al. (2020) descrevem o fenómeno mais geral da aprendizagem de atalhos (</w:t>
      </w:r>
      <w:r>
        <w:rPr>
          <w:rFonts w:ascii="Times New Roman" w:cs="Times New Roman" w:eastAsia="Times New Roman" w:hAnsi="Times New Roman"/>
          <w:i/>
          <w:iCs/>
          <w:sz w:val="24"/>
          <w:szCs w:val="24"/>
        </w:rPr>
        <w:t xml:space="preserve">shortcut learning</w:t>
      </w:r>
      <w:r>
        <w:rPr>
          <w:rFonts w:ascii="Times New Roman" w:cs="Times New Roman" w:eastAsia="Times New Roman" w:hAnsi="Times New Roman"/>
          <w:sz w:val="24"/>
          <w:szCs w:val="24"/>
        </w:rPr>
        <w:t xml:space="preserve">): o modelo aprende uma regularidade que separa as classes no conjunto de treino, como o comprimento ou o estilo do texto, em vez da propriedade que se pretende detectar.</w:t>
      </w:r>
    </w:p>
    <w:p>
      <w:pPr>
        <w:spacing w:after="120" w:before="0" w:line="360"/>
        <w:ind w:firstLine="567"/>
        <w:jc w:val="both"/>
      </w:pPr>
      <w:r>
        <w:rPr>
          <w:rFonts w:ascii="Times New Roman" w:cs="Times New Roman" w:eastAsia="Times New Roman" w:hAnsi="Times New Roman"/>
          <w:sz w:val="24"/>
          <w:szCs w:val="24"/>
        </w:rPr>
        <w:t xml:space="preserve">Estes trabalhos têm duas consequências para esta investigação. Primeiro, o desempenho medido num teste dominado por dados brasileiros não pode ser tomado como desempenho em Angola. Segundo, quando uma categoria provém de uma única fonte com um estilo muito próprio, como a Desinformação do Fake.br, é de esperar que o modelo aprenda esse estilo. A H4 foi formulada para medir directamente o primeiro efeito, e a análise por categoria da Secção 4.6 procura indícios do segundo.</w:t>
      </w:r>
    </w:p>
    <w:p>
      <w:pPr>
        <w:pStyle w:val="Heading2"/>
        <w:keepNext/>
        <w:keepLines/>
        <w:spacing w:after="160" w:before="360" w:line="300"/>
      </w:pPr>
      <w:r>
        <w:rPr>
          <w:rFonts w:ascii="Times New Roman" w:cs="Times New Roman" w:eastAsia="Times New Roman" w:hAnsi="Times New Roman"/>
          <w:b/>
          <w:bCs/>
          <w:sz w:val="26"/>
          <w:szCs w:val="26"/>
        </w:rPr>
        <w:t xml:space="preserve">2.8 Aspectos éticos, legais e de direitos humanos</w:t>
      </w:r>
    </w:p>
    <w:p>
      <w:pPr>
        <w:spacing w:after="120" w:before="0" w:line="360"/>
        <w:ind w:firstLine="567"/>
        <w:jc w:val="both"/>
      </w:pPr>
      <w:r>
        <w:rPr>
          <w:rFonts w:ascii="Times New Roman" w:cs="Times New Roman" w:eastAsia="Times New Roman" w:hAnsi="Times New Roman"/>
          <w:sz w:val="24"/>
          <w:szCs w:val="24"/>
        </w:rPr>
        <w:t xml:space="preserve">A monitorização de redes sociais por entidades de segurança coloca em tensão a protecção da segurança colectiva e os direitos individuais de expressão, reunião e privacidade. Essa tensão não se resolve com tecnologia; resolve-se com regras sobre o que se recolhe, como se trata e como se decide.</w:t>
      </w:r>
    </w:p>
    <w:p>
      <w:pPr>
        <w:spacing w:after="120" w:before="0" w:line="360"/>
        <w:ind w:firstLine="567"/>
        <w:jc w:val="both"/>
      </w:pPr>
      <w:r>
        <w:rPr>
          <w:rFonts w:ascii="Times New Roman" w:cs="Times New Roman" w:eastAsia="Times New Roman" w:hAnsi="Times New Roman"/>
          <w:sz w:val="24"/>
          <w:szCs w:val="24"/>
        </w:rPr>
        <w:t xml:space="preserve">O quadro jurídico angolano relevante inclui a Constituição da República de Angola, que consagra a liberdade de expressão e de informação (artigo 40.º) e a liberdade de reunião e de manifestação (artigo 47.º) (República de Angola, 2010); a Lei n.º 22/11, de 17 de Junho, de Protecção de Dados Pessoais, que estabelece os princípios de finalidade, proporcionalidade, minimização e conservação limitada no tratamento de dados (República de Angola, 2011); e a Lei n.º 7/17, de 16 de Fevereiro, de Protecção das Redes e Sistemas Informáticos, relevante para a forma como os dados são obtidos (República de Angola, 2017). Os termos de utilização das plataformas acrescentam uma camada contratual que deve ser respeitada e declarada.</w:t>
      </w:r>
    </w:p>
    <w:p>
      <w:pPr>
        <w:spacing w:after="120" w:before="0" w:line="360"/>
        <w:ind w:firstLine="567"/>
        <w:jc w:val="both"/>
      </w:pPr>
      <w:r>
        <w:rPr>
          <w:rFonts w:ascii="Times New Roman" w:cs="Times New Roman" w:eastAsia="Times New Roman" w:hAnsi="Times New Roman"/>
          <w:sz w:val="24"/>
          <w:szCs w:val="24"/>
        </w:rPr>
        <w:t xml:space="preserve">A Recomendação da UNESCO sobre a Ética da Inteligência Artificial (UNESCO, 2021) pede que os sistemas usados em contextos de segurança pública sejam proporcionais, transparentes, auditáveis e sujeitos a supervisão humana, e que os seus erros sejam avaliados por grupos linguísticos e demográficos. O Regulamento Europeu da Inteligência Artificial (União Europeia, 2024) classifica, de forma semelhante, vários usos de IA em contextos de aplicação da lei como de risco elevado. Destes princípios decorrem as salvaguardas adoptadas no sistema (Secção 3.2): recolha apenas de conteúdo público, anonimização antes do armazenamento, ausência de perfis individuais, revisão humana obrigatória e auditoria de todas as acções.</w:t>
      </w:r>
    </w:p>
    <w:p>
      <w:pPr>
        <w:spacing w:after="120" w:before="0" w:line="360"/>
        <w:ind w:firstLine="567"/>
        <w:jc w:val="both"/>
      </w:pPr>
      <w:r>
        <w:rPr>
          <w:rFonts w:ascii="Times New Roman" w:cs="Times New Roman" w:eastAsia="Times New Roman" w:hAnsi="Times New Roman"/>
          <w:sz w:val="24"/>
          <w:szCs w:val="24"/>
        </w:rPr>
        <w:t xml:space="preserve">O risco mais imediato é o falso positivo na Mobilização Hostil. Uma convocatória para uma manifestação pacífica partilha com uma convocatória hostil muitos dos marcadores superficiais (urgência, data, local, apelo colectivo). Nenhum classificador actual resolve esta ambiguidade com a fiabilidade necessária para fundamentar uma acção institucional sem revisão humana.</w:t>
      </w:r>
    </w:p>
    <w:p>
      <w:pPr>
        <w:pStyle w:val="Heading2"/>
        <w:keepNext/>
        <w:keepLines/>
        <w:spacing w:after="160" w:before="360" w:line="300"/>
      </w:pPr>
      <w:r>
        <w:rPr>
          <w:rFonts w:ascii="Times New Roman" w:cs="Times New Roman" w:eastAsia="Times New Roman" w:hAnsi="Times New Roman"/>
          <w:b/>
          <w:bCs/>
          <w:sz w:val="26"/>
          <w:szCs w:val="26"/>
        </w:rPr>
        <w:t xml:space="preserve">2.9 Síntese e lacuna de investigação</w:t>
      </w:r>
    </w:p>
    <w:p>
      <w:pPr>
        <w:spacing w:after="120" w:before="0" w:line="360"/>
        <w:ind w:firstLine="567"/>
        <w:jc w:val="both"/>
      </w:pPr>
      <w:r>
        <w:rPr>
          <w:rFonts w:ascii="Times New Roman" w:cs="Times New Roman" w:eastAsia="Times New Roman" w:hAnsi="Times New Roman"/>
          <w:sz w:val="24"/>
          <w:szCs w:val="24"/>
        </w:rPr>
        <w:t xml:space="preserve">A literatura revista permite três conclusões. Os sistemas internacionais de monitorização não estão disponíveis, não cobrem o português de Angola ou implicam dependência externa. Os recursos de PLN para o português são brasileiros e, no caso da desinformação, pertencem a um género textual diferente das redes sociais. E sabe-se que os classificadores de conteúdo nocivo generalizam mal entre domínios, embora não exista uma medida dessa perda para Angola.</w:t>
      </w:r>
    </w:p>
    <w:p>
      <w:pPr>
        <w:spacing w:after="120" w:before="0" w:line="360"/>
        <w:ind w:firstLine="567"/>
        <w:jc w:val="both"/>
      </w:pPr>
      <w:r>
        <w:rPr>
          <w:rFonts w:ascii="Times New Roman" w:cs="Times New Roman" w:eastAsia="Times New Roman" w:hAnsi="Times New Roman"/>
          <w:sz w:val="24"/>
          <w:szCs w:val="24"/>
        </w:rPr>
        <w:t xml:space="preserve">A lacuna que esta dissertação procura preencher é, por isso, dupla: medir com dados angolanos anotados o desempenho real dos modelos disponíveis e propor um sistema que use esses modelos de forma compatível com as suas limitações, isto é, como apoio à triagem humana e não como mecanismo de decisão.</w:t>
      </w:r>
    </w:p>
    <w:p>
      <w:pPr>
        <w:sectPr>
          <w:headerReference w:type="default" r:id="rId15"/>
          <w:footerReference w:type="default" r:id="rId1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3 – METODOLOGIA</w:t>
      </w:r>
    </w:p>
    <w:p>
      <w:pPr>
        <w:spacing w:after="120" w:before="0" w:line="360"/>
        <w:ind w:firstLine="567"/>
        <w:jc w:val="both"/>
      </w:pPr>
      <w:r>
        <w:rPr>
          <w:rFonts w:ascii="Times New Roman" w:cs="Times New Roman" w:eastAsia="Times New Roman" w:hAnsi="Times New Roman"/>
          <w:sz w:val="24"/>
          <w:szCs w:val="24"/>
        </w:rPr>
        <w:t xml:space="preserve">Este capítulo descreve como a investigação foi conduzida: o desenho geral, as salvaguardas éticas, a recolha e a anotação dos dados, a construção do corpus de treino, os modelos, o protocolo de avaliação e, por fim, a arquitectura do sistema que põe o modelo seleccionado ao serviço do analista.</w:t>
      </w:r>
    </w:p>
    <w:p>
      <w:pPr>
        <w:pStyle w:val="Heading2"/>
        <w:keepNext/>
        <w:keepLines/>
        <w:spacing w:after="160" w:before="360" w:line="300"/>
      </w:pPr>
      <w:r>
        <w:rPr>
          <w:rFonts w:ascii="Times New Roman" w:cs="Times New Roman" w:eastAsia="Times New Roman" w:hAnsi="Times New Roman"/>
          <w:b/>
          <w:bCs/>
          <w:sz w:val="26"/>
          <w:szCs w:val="26"/>
        </w:rPr>
        <w:t xml:space="preserve">3.1 Paradigma e desenho da investigação</w:t>
      </w:r>
    </w:p>
    <w:p>
      <w:pPr>
        <w:spacing w:after="120" w:before="0" w:line="360"/>
        <w:ind w:firstLine="567"/>
        <w:jc w:val="both"/>
      </w:pPr>
      <w:r>
        <w:rPr>
          <w:rFonts w:ascii="Times New Roman" w:cs="Times New Roman" w:eastAsia="Times New Roman" w:hAnsi="Times New Roman"/>
          <w:sz w:val="24"/>
          <w:szCs w:val="24"/>
        </w:rPr>
        <w:t xml:space="preserve">A investigação segue um paradigma pragmático e aplicado, com abordagem predominantemente quantitativa. As hipóteses H1 e H4 são testadas com métricas de classificação e testes estatísticos; a H2 e a H3 dependem de medições do sistema em funcionamento, cujo protocolo se define neste capítulo. A componente de engenharia (o protótipo) é avaliada por testes automáticos e pela sua conformidade com requisitos explícitos.</w:t>
      </w:r>
    </w:p>
    <w:p>
      <w:pPr>
        <w:spacing w:after="120" w:before="0" w:line="360"/>
        <w:ind w:firstLine="567"/>
        <w:jc w:val="both"/>
      </w:pPr>
      <w:r>
        <w:rPr>
          <w:rFonts w:ascii="Times New Roman" w:cs="Times New Roman" w:eastAsia="Times New Roman" w:hAnsi="Times New Roman"/>
          <w:sz w:val="24"/>
          <w:szCs w:val="24"/>
        </w:rPr>
        <w:t xml:space="preserve">O trabalho decorreu em três fases, representadas na Figura 3.1. Na fase de dados recolheram-se e anotaram-se comentários angolanos e construiu-se o corpus híbrido. Na fase de modelos treinaram-se e compararam-se os quatro classificadores. Na fase de sistema desenvolveu-se o protótipo, cujas revisões humanas podem alimentar novos ciclos de treino.</w:t>
      </w:r>
    </w:p>
    <w:p>
      <w:pPr>
        <w:keepNext/>
        <w:spacing w:after="40" w:before="160"/>
        <w:jc w:val="center"/>
      </w:pPr>
      <w:r>
        <w:drawing>
          <wp:inline distT="0" distB="0" distL="0" distR="0">
            <wp:extent cx="5581650" cy="2247900"/>
            <wp:effectExtent t="0" r="0" b="0" l="0"/>
            <wp:docPr id="1" name="fig3_1_desenho.png" descr="fig3_1_desenho.png" title="fig3_1_desen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22479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3.1 – Desenho da investigação</w:t>
      </w:r>
    </w:p>
    <w:p>
      <w:pPr>
        <w:pStyle w:val="Heading2"/>
        <w:keepNext/>
        <w:keepLines/>
        <w:spacing w:after="160" w:before="360" w:line="300"/>
      </w:pPr>
      <w:r>
        <w:rPr>
          <w:rFonts w:ascii="Times New Roman" w:cs="Times New Roman" w:eastAsia="Times New Roman" w:hAnsi="Times New Roman"/>
          <w:b/>
          <w:bCs/>
          <w:sz w:val="26"/>
          <w:szCs w:val="26"/>
        </w:rPr>
        <w:t xml:space="preserve">3.2 Considerações éticas e protecção de dados</w:t>
      </w:r>
    </w:p>
    <w:p>
      <w:pPr>
        <w:spacing w:after="120" w:before="0" w:line="360"/>
        <w:ind w:firstLine="567"/>
        <w:jc w:val="both"/>
      </w:pPr>
      <w:r>
        <w:rPr>
          <w:rFonts w:ascii="Times New Roman" w:cs="Times New Roman" w:eastAsia="Times New Roman" w:hAnsi="Times New Roman"/>
          <w:sz w:val="24"/>
          <w:szCs w:val="24"/>
        </w:rPr>
        <w:t xml:space="preserve">O trabalho com conteúdos de redes sociais para fins de segurança exige salvaguardas definidas antes da recolha. As medidas adoptadas, que decorrem da Lei n.º 22/11 e dos princípios revistos na Secção 2.8, são 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Conteúdo público apenas.</w:t>
      </w:r>
      <w:r>
        <w:rPr>
          <w:rFonts w:ascii="Times New Roman" w:cs="Times New Roman" w:eastAsia="Times New Roman" w:hAnsi="Times New Roman"/>
          <w:sz w:val="24"/>
          <w:szCs w:val="24"/>
        </w:rPr>
        <w:t xml:space="preserve"> Recolheram-se exclusivamente comentários públicos, através da interface oficial do YouTube. Não se acedeu a mensagens privadas, grupos fechados ou conteúdo que exija autenticação, nem se contornaram protecções técnicas das plataformas.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Anonimização antes do armazenamento.</w:t>
      </w:r>
      <w:r>
        <w:rPr>
          <w:rFonts w:ascii="Times New Roman" w:cs="Times New Roman" w:eastAsia="Times New Roman" w:hAnsi="Times New Roman"/>
          <w:sz w:val="24"/>
          <w:szCs w:val="24"/>
        </w:rPr>
        <w:t xml:space="preserve"> Os nomes dos autores são substituídos por pseudónimos irreversíveis e os identificadores directos no texto (endereços web, correio electrónico, números de telefone e menções a utilizadores) são mascarados. Para nomes de pessoas privadas referidos no texto, a regra adoptada é a sua substituição por descritores do papel ou da instituição; nomes de instituições e de figuras políticas são mantidos, por serem relevantes para a classificação. No lote temático de vídeos, a revisão foi feita depois do treino, com o script mascarar_nomes_lote_tema.py: em 24 dos 194 comentários, os nomes de comentadores de programas televisivos, de um activista e de uma outra pessoa foram substituídos por descritores (31 substituições), e mantiveram-se os de figuras políticas e históricas. O modelo foi treinado com o texto anterior a esta revisão. Como o lote só entra no treino, as métricas de teste não são afectadas.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Proveniência registada.</w:t>
      </w:r>
      <w:r>
        <w:rPr>
          <w:rFonts w:ascii="Times New Roman" w:cs="Times New Roman" w:eastAsia="Times New Roman" w:hAnsi="Times New Roman"/>
          <w:sz w:val="24"/>
          <w:szCs w:val="24"/>
        </w:rPr>
        <w:t xml:space="preserve"> Cada lote de dados fica associado à plataforma, à via de obtenção, à data e ao volume, o que permite declarar na metodologia a origem exacta de cada parte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Sem perfis individuais.</w:t>
      </w:r>
      <w:r>
        <w:rPr>
          <w:rFonts w:ascii="Times New Roman" w:cs="Times New Roman" w:eastAsia="Times New Roman" w:hAnsi="Times New Roman"/>
          <w:sz w:val="24"/>
          <w:szCs w:val="24"/>
        </w:rPr>
        <w:t xml:space="preserve"> O sistema apresenta agregados por categoria, período e plataforma; não existem vistas por autor.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Revisão humana obrigatória.</w:t>
      </w:r>
      <w:r>
        <w:rPr>
          <w:rFonts w:ascii="Times New Roman" w:cs="Times New Roman" w:eastAsia="Times New Roman" w:hAnsi="Times New Roman"/>
          <w:sz w:val="24"/>
          <w:szCs w:val="24"/>
        </w:rPr>
        <w:t xml:space="preserve"> A classificação serve apenas para ordenar a revisão. Nenhuma acção sobre pessoas pode basear-se apenas no sistema.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Conservação limitada e auditoria.</w:t>
      </w:r>
      <w:r>
        <w:rPr>
          <w:rFonts w:ascii="Times New Roman" w:cs="Times New Roman" w:eastAsia="Times New Roman" w:hAnsi="Times New Roman"/>
          <w:sz w:val="24"/>
          <w:szCs w:val="24"/>
        </w:rPr>
        <w:t xml:space="preserve"> As publicações não revistas são apagadas após um prazo configurável, e todas as acções (importação, classificação, revisão, exportação, limpeza) ficam registadas.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Consentimento dos anotadores.</w:t>
      </w:r>
      <w:r>
        <w:rPr>
          <w:rFonts w:ascii="Times New Roman" w:cs="Times New Roman" w:eastAsia="Times New Roman" w:hAnsi="Times New Roman"/>
          <w:sz w:val="24"/>
          <w:szCs w:val="24"/>
        </w:rPr>
        <w:t xml:space="preserve"> Os anotadores assinaram uma declaração de consentimento e confidencialidade (Apêndice D).</w:t>
      </w:r>
    </w:p>
    <w:p>
      <w:pPr>
        <w:spacing w:after="120" w:before="0" w:line="360"/>
        <w:ind w:firstLine="567"/>
        <w:jc w:val="both"/>
      </w:pPr>
      <w:r>
        <w:rPr>
          <w:rFonts w:ascii="Times New Roman" w:cs="Times New Roman" w:eastAsia="Times New Roman" w:hAnsi="Times New Roman"/>
          <w:sz w:val="24"/>
          <w:szCs w:val="24"/>
        </w:rPr>
        <w:t xml:space="preserve">Os termos de utilização das plataformas e a Lei n.º 7/17 devem ser objecto de parecer jurídico antes de qualquer uso institucional do sistema, como se recomenda no Capítulo 5.</w:t>
      </w:r>
    </w:p>
    <w:p>
      <w:pPr>
        <w:pStyle w:val="Heading2"/>
        <w:keepNext/>
        <w:keepLines/>
        <w:spacing w:after="160" w:before="360" w:line="300"/>
      </w:pPr>
      <w:r>
        <w:rPr>
          <w:rFonts w:ascii="Times New Roman" w:cs="Times New Roman" w:eastAsia="Times New Roman" w:hAnsi="Times New Roman"/>
          <w:b/>
          <w:bCs/>
          <w:sz w:val="26"/>
          <w:szCs w:val="26"/>
        </w:rPr>
        <w:t xml:space="preserve">3.3 Recolha de dados do piloto angolano</w:t>
      </w:r>
    </w:p>
    <w:p>
      <w:pPr>
        <w:spacing w:after="120" w:before="0" w:line="360"/>
        <w:ind w:firstLine="567"/>
        <w:jc w:val="both"/>
      </w:pPr>
      <w:r>
        <w:rPr>
          <w:rFonts w:ascii="Times New Roman" w:cs="Times New Roman" w:eastAsia="Times New Roman" w:hAnsi="Times New Roman"/>
          <w:sz w:val="24"/>
          <w:szCs w:val="24"/>
        </w:rPr>
        <w:t xml:space="preserve">Os dados angolanos foram recolhidos no YouTube, plataforma onde os principais órgãos de comunicação e criadores de conteúdo angolanos publicam vídeos sobre política, economia e sociedade, e cujos comentários são públicos e acessíveis por uma interface oficial (YouTube Data API v3). A recolha seguiu quatro passos, implementados em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Python: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Descoberta.</w:t>
      </w:r>
      <w:r>
        <w:rPr>
          <w:rFonts w:ascii="Times New Roman" w:cs="Times New Roman" w:eastAsia="Times New Roman" w:hAnsi="Times New Roman"/>
          <w:sz w:val="24"/>
          <w:szCs w:val="24"/>
        </w:rPr>
        <w:t xml:space="preserve"> Pesquisa de vídeos por termos relacionados com a actualidade angolana, restrita a canais e conteúdos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Sondagem.</w:t>
      </w:r>
      <w:r>
        <w:rPr>
          <w:rFonts w:ascii="Times New Roman" w:cs="Times New Roman" w:eastAsia="Times New Roman" w:hAnsi="Times New Roman"/>
          <w:sz w:val="24"/>
          <w:szCs w:val="24"/>
        </w:rPr>
        <w:t xml:space="preserve"> Leitura de uma pequena amostra de comentários de cada vídeo para estimar a proporção de comentários angolanos e o volume disponível.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w:t>
      </w:r>
      <w:r>
        <w:rPr>
          <w:rFonts w:ascii="Times New Roman" w:cs="Times New Roman" w:eastAsia="Times New Roman" w:hAnsi="Times New Roman"/>
          <w:sz w:val="24"/>
          <w:szCs w:val="24"/>
        </w:rPr>
        <w:t xml:space="preserve"> Escolha dos vídeos a recolher, privilegiando a diversidade de canais e de temas e excluindo vídeos claramente não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Recolha.</w:t>
      </w:r>
      <w:r>
        <w:rPr>
          <w:rFonts w:ascii="Times New Roman" w:cs="Times New Roman" w:eastAsia="Times New Roman" w:hAnsi="Times New Roman"/>
          <w:sz w:val="24"/>
          <w:szCs w:val="24"/>
        </w:rPr>
        <w:t xml:space="preserve"> Obtenção dos comentários e respostas, com limite por vídeo para evitar que poucos vídeos dominassem o corpus, e anonimização dos autores antes da gravação.</w:t>
      </w:r>
    </w:p>
    <w:p>
      <w:pPr>
        <w:spacing w:after="120" w:before="0" w:line="360"/>
        <w:ind w:firstLine="567"/>
        <w:jc w:val="both"/>
      </w:pPr>
      <w:r>
        <w:rPr>
          <w:rFonts w:ascii="Times New Roman" w:cs="Times New Roman" w:eastAsia="Times New Roman" w:hAnsi="Times New Roman"/>
          <w:sz w:val="24"/>
          <w:szCs w:val="24"/>
        </w:rPr>
        <w:t xml:space="preserve">A quota diária da interface (10 000 unidades, com 100 unidades por pesquisa e 1 unidade por pedido de comentários) condicionou o ritmo da recolha. Para preservar a validade da comparação com os corpora brasileiros (H4), retiraram-se do piloto os casos explicitamente não angolanos, como comentários em vídeos de outros países ou de autores que se declaram de fora de Angola. Os casos duvidosos foram mantidos, o que torna a estimativa da lacuna de domínio, se alguma coisa, conservadora.</w:t>
      </w:r>
    </w:p>
    <w:p>
      <w:pPr>
        <w:spacing w:after="120" w:before="0" w:line="360"/>
        <w:ind w:firstLine="567"/>
        <w:jc w:val="both"/>
      </w:pPr>
      <w:r>
        <w:rPr>
          <w:rFonts w:ascii="Times New Roman" w:cs="Times New Roman" w:eastAsia="Times New Roman" w:hAnsi="Times New Roman"/>
          <w:sz w:val="24"/>
          <w:szCs w:val="24"/>
        </w:rPr>
        <w:t xml:space="preserve">O piloto tem três origens, registadas na coluna </w:t>
      </w:r>
      <w:r>
        <w:rPr>
          <w:rFonts w:ascii="Courier New" w:cs="Courier New" w:eastAsia="Courier New" w:hAnsi="Courier New"/>
          <w:sz w:val="21"/>
          <w:szCs w:val="21"/>
        </w:rPr>
        <w:t xml:space="preserve">origem</w:t>
      </w:r>
      <w:r>
        <w:rPr>
          <w:rFonts w:ascii="Times New Roman" w:cs="Times New Roman" w:eastAsia="Times New Roman" w:hAnsi="Times New Roman"/>
          <w:sz w:val="24"/>
          <w:szCs w:val="24"/>
        </w:rPr>
        <w:t xml:space="preserv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Amostras aleatórias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ate_v11</w:t>
      </w:r>
      <w:r>
        <w:rPr>
          <w:rFonts w:ascii="Times New Roman" w:cs="Times New Roman" w:eastAsia="Times New Roman" w:hAnsi="Times New Roman"/>
          <w:sz w:val="24"/>
          <w:szCs w:val="24"/>
        </w:rPr>
        <w:t xml:space="preserve">): comentários seleccionados aleatoriamente dos vídeos recolhidos; constituem a base do piloto e os únicos dados angolanos usados na validação e no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temático de vídeos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enriquecido_video_tema</w:t>
      </w:r>
      <w:r>
        <w:rPr>
          <w:rFonts w:ascii="Times New Roman" w:cs="Times New Roman" w:eastAsia="Times New Roman" w:hAnsi="Times New Roman"/>
          <w:sz w:val="24"/>
          <w:szCs w:val="24"/>
        </w:rPr>
        <w:t xml:space="preserve">): 284 comentários de vídeos escolhidos por tratarem temas propícios a mobilização ou a discurso de ódio, dos quais se retiraram 90 por não serem de domínio angolano, restando 194.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orientado por léxico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enriquecido_lexico</w:t>
      </w:r>
      <w:r>
        <w:rPr>
          <w:rFonts w:ascii="Times New Roman" w:cs="Times New Roman" w:eastAsia="Times New Roman" w:hAnsi="Times New Roman"/>
          <w:sz w:val="24"/>
          <w:szCs w:val="24"/>
        </w:rPr>
        <w:t xml:space="preserve">): 91 comentários priorizados para anotação por conterem termos de um léxico de candidatos.</w:t>
      </w:r>
    </w:p>
    <w:p>
      <w:pPr>
        <w:spacing w:after="120" w:before="0" w:line="360"/>
        <w:ind w:firstLine="567"/>
        <w:jc w:val="both"/>
      </w:pPr>
      <w:r>
        <w:rPr>
          <w:rFonts w:ascii="Times New Roman" w:cs="Times New Roman" w:eastAsia="Times New Roman" w:hAnsi="Times New Roman"/>
          <w:sz w:val="24"/>
          <w:szCs w:val="24"/>
        </w:rPr>
        <w:t xml:space="preserve">Os dois lotes enriquecidos resultam de uma selecção não aleatória e foram anotados pelos mesmos anotadores. Por essa razão, foram usados </w:t>
      </w:r>
      <w:r>
        <w:rPr>
          <w:rFonts w:ascii="Times New Roman" w:cs="Times New Roman" w:eastAsia="Times New Roman" w:hAnsi="Times New Roman"/>
          <w:b/>
          <w:bCs/>
          <w:sz w:val="24"/>
          <w:szCs w:val="24"/>
        </w:rPr>
        <w:t xml:space="preserve">apenas no treino</w:t>
      </w:r>
      <w:r>
        <w:rPr>
          <w:rFonts w:ascii="Times New Roman" w:cs="Times New Roman" w:eastAsia="Times New Roman" w:hAnsi="Times New Roman"/>
          <w:sz w:val="24"/>
          <w:szCs w:val="24"/>
        </w:rPr>
        <w:t xml:space="preserve">: incluí-los na avaliação inflacionaria as métricas e enviesaria a comparação da H4.</w:t>
      </w:r>
    </w:p>
    <w:p>
      <w:pPr>
        <w:pStyle w:val="Heading2"/>
        <w:keepNext/>
        <w:keepLines/>
        <w:spacing w:after="160" w:before="360" w:line="300"/>
      </w:pPr>
      <w:r>
        <w:rPr>
          <w:rFonts w:ascii="Times New Roman" w:cs="Times New Roman" w:eastAsia="Times New Roman" w:hAnsi="Times New Roman"/>
          <w:b/>
          <w:bCs/>
          <w:sz w:val="26"/>
          <w:szCs w:val="26"/>
        </w:rPr>
        <w:t xml:space="preserve">3.4 Anotação e acordo entre anotadores</w:t>
      </w:r>
    </w:p>
    <w:p>
      <w:pPr>
        <w:spacing w:after="120" w:before="0" w:line="360"/>
        <w:ind w:firstLine="567"/>
        <w:jc w:val="both"/>
      </w:pPr>
      <w:r>
        <w:rPr>
          <w:rFonts w:ascii="Times New Roman" w:cs="Times New Roman" w:eastAsia="Times New Roman" w:hAnsi="Times New Roman"/>
          <w:sz w:val="24"/>
          <w:szCs w:val="24"/>
        </w:rPr>
        <w:t xml:space="preserve">A anotação foi feita por três anotadores independentes, dois angolanos e um com formação em processamento de linguagem natural, seguindo o Guia de Anotação Padronizado (Apêndice B). Cada anotador classificou cada comentário numa das quatro categorias, sem acesso às classificações dos outros nem às previsões de qualquer modelo. Nos casos de desacordo, aplicou-se o princípio da gravidade ascendente definido no guia (Mobilização Hostil &gt; Discurso de Ódio &gt; Desinformação &gt; Normal), por se considerar que, num contexto de segurança, um falso positivo sujeito a revisão é preferível a um falso negativo.</w:t>
      </w:r>
    </w:p>
    <w:p>
      <w:pPr>
        <w:spacing w:after="120" w:before="0" w:line="360"/>
        <w:ind w:firstLine="567"/>
        <w:jc w:val="both"/>
      </w:pPr>
      <w:r>
        <w:rPr>
          <w:rFonts w:ascii="Times New Roman" w:cs="Times New Roman" w:eastAsia="Times New Roman" w:hAnsi="Times New Roman"/>
          <w:sz w:val="24"/>
          <w:szCs w:val="24"/>
        </w:rPr>
        <w:t xml:space="preserve">O acordo foi medido com o Kappa de Fleiss para os três anotadores e com o Kappa de Cohen para cada par. Nas amostras aleatórias do piloto, obteve-se κ de Fleiss de 0,718 (IC 95%: 0,695–0,741), κ de Cohen médio de 0,719 e concordância observada de 81,3%, o que corresponde a acordo substancial na escala de Landis e Koch (1977). No lote temático de vídeos, o κ de Fleiss foi de 0,818 (IC 95%: 0,763–0,869); este valor não é comparável com o anterior, porque uma amostra seleccionada por tema tem uma distribuição de categorias diferente. Os detalhes constam do Apêndice C.</w:t>
      </w:r>
    </w:p>
    <w:p>
      <w:pPr>
        <w:spacing w:after="120" w:before="0" w:line="360"/>
        <w:ind w:firstLine="567"/>
        <w:jc w:val="both"/>
      </w:pPr>
      <w:r>
        <w:rPr>
          <w:rFonts w:ascii="Times New Roman" w:cs="Times New Roman" w:eastAsia="Times New Roman" w:hAnsi="Times New Roman"/>
          <w:sz w:val="24"/>
          <w:szCs w:val="24"/>
        </w:rPr>
        <w:t xml:space="preserve">O corpus anotado final tem 2.637 comentários, com a seguinte distribuição de etiquetas: Normal 1.664, Mobilização Hostil 364, Desinformação 326 e Discurso de Ódio 283. Após a harmonização e a remoção de duplicados (Secção 3.5), entram no corpus de treino 2.573 registos do piloto.</w:t>
      </w:r>
    </w:p>
    <w:p>
      <w:pPr>
        <w:spacing w:after="120" w:before="0" w:line="360"/>
        <w:ind w:firstLine="567"/>
        <w:jc w:val="both"/>
      </w:pPr>
      <w:r>
        <w:rPr>
          <w:rFonts w:ascii="Times New Roman" w:cs="Times New Roman" w:eastAsia="Times New Roman" w:hAnsi="Times New Roman"/>
          <w:sz w:val="24"/>
          <w:szCs w:val="24"/>
        </w:rPr>
        <w:t xml:space="preserve">O léxico de candidatos usado para priorizar a anotação foi avaliado nos próprios dados anotados. No lote temático, apenas 27% dos comentários que o léxico assinalava como possíveis casos de mobilização (33 em 123) foram classificados pelos anotadores como Mobilização Hostil, contra 61% (17 em 28) no caso do discurso de ódio; num controlo de 45 comentários sem termos do léxico, não houve nenhum caso de mobilização. O léxico é, por isso, útil para encontrar casos raros, mas insuficiente para os rotular, e não foi usado como fonte de etiquetas.</w:t>
      </w:r>
    </w:p>
    <w:p>
      <w:pPr>
        <w:pStyle w:val="Heading2"/>
        <w:keepNext/>
        <w:keepLines/>
        <w:spacing w:after="160" w:before="360" w:line="300"/>
      </w:pPr>
      <w:r>
        <w:rPr>
          <w:rFonts w:ascii="Times New Roman" w:cs="Times New Roman" w:eastAsia="Times New Roman" w:hAnsi="Times New Roman"/>
          <w:b/>
          <w:bCs/>
          <w:sz w:val="26"/>
          <w:szCs w:val="26"/>
        </w:rPr>
        <w:t xml:space="preserve">3.5 Construção do corpus híbrido</w:t>
      </w:r>
    </w:p>
    <w:p>
      <w:pPr>
        <w:spacing w:after="120" w:before="0" w:line="360"/>
        <w:ind w:firstLine="567"/>
        <w:jc w:val="both"/>
      </w:pPr>
      <w:r>
        <w:rPr>
          <w:rFonts w:ascii="Times New Roman" w:cs="Times New Roman" w:eastAsia="Times New Roman" w:hAnsi="Times New Roman"/>
          <w:sz w:val="24"/>
          <w:szCs w:val="24"/>
        </w:rPr>
        <w:t xml:space="preserve">O piloto angolano, por si só, é demasiado pequeno para treinar um classificador de quatro categorias. Combinou-se, por isso, com os três corpora públicos descritos na Secção 2.4.1. As etiquetas originais de cada corpus foram mapeadas para as quatro categorias da dissertação no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construção do corpus. No ToLD-BR, os tweets com marcação de ataque a uma identidade passaram a Odio, os tweets sem qualquer marcação a Normal, e os tweets tóxicos apenas por obscenidade ou insulto sem alvo identitário foram excluídos. No HateBR, os comentários marcados como linguagem ofensiva passaram a Odio e os restantes a Normal. No Fake.br, as notícias falsas passaram a Desinformacao e as verdadeiras a Normal. Depois da junção, removeram-se os duplicados exactos.</w:t>
      </w:r>
    </w:p>
    <w:p>
      <w:pPr>
        <w:spacing w:after="120" w:before="0" w:line="360"/>
        <w:ind w:firstLine="567"/>
        <w:jc w:val="both"/>
      </w:pPr>
      <w:r>
        <w:rPr>
          <w:rFonts w:ascii="Times New Roman" w:cs="Times New Roman" w:eastAsia="Times New Roman" w:hAnsi="Times New Roman"/>
          <w:sz w:val="24"/>
          <w:szCs w:val="24"/>
        </w:rPr>
        <w:t xml:space="preserve">O resultado é um corpus de 26.859 registos (238 duplicados removidos), cuja composição se apresenta na Tabela 4.1. A Figura 3.2 resume o processo e a divisão em treino, validação e teste.</w:t>
      </w:r>
    </w:p>
    <w:p>
      <w:pPr>
        <w:keepNext/>
        <w:spacing w:after="40" w:before="160"/>
        <w:jc w:val="center"/>
      </w:pPr>
      <w:r>
        <w:drawing>
          <wp:inline distT="0" distB="0" distL="0" distR="0">
            <wp:extent cx="5400675" cy="2895600"/>
            <wp:effectExtent t="0" r="0" b="0" l="0"/>
            <wp:docPr id="1" name="fig3_2_corpus.png" descr="fig3_2_corpus.png" title="fig3_2_corp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28956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3.2 – Construção do corpus híbrido e divisão em treino, validação e teste</w:t>
      </w:r>
    </w:p>
    <w:p>
      <w:pPr>
        <w:spacing w:after="120" w:before="0" w:line="360"/>
        <w:ind w:firstLine="567"/>
        <w:jc w:val="both"/>
      </w:pPr>
      <w:r>
        <w:rPr>
          <w:rFonts w:ascii="Times New Roman" w:cs="Times New Roman" w:eastAsia="Times New Roman" w:hAnsi="Times New Roman"/>
          <w:sz w:val="24"/>
          <w:szCs w:val="24"/>
        </w:rPr>
        <w:t xml:space="preserve">A divisão foi estratificada por categoria, com cerca de 70% dos dados para treino e 15% para cada um dos conjuntos de validação (3.986) e de teste (3.987). Os 285 itens dos lotes enriquecidos foram forçados para o treino. O conjunto de teste foi usado uma única vez, no fim, para cada modelo e variante.</w:t>
      </w:r>
    </w:p>
    <w:p>
      <w:pPr>
        <w:spacing w:after="120" w:before="0" w:line="360"/>
        <w:ind w:firstLine="567"/>
        <w:jc w:val="both"/>
      </w:pPr>
      <w:r>
        <w:rPr>
          <w:rFonts w:ascii="Times New Roman" w:cs="Times New Roman" w:eastAsia="Times New Roman" w:hAnsi="Times New Roman"/>
          <w:sz w:val="24"/>
          <w:szCs w:val="24"/>
        </w:rPr>
        <w:t xml:space="preserve">Note-se que, no HateBR, a etiqueta usada é a de linguagem ofensiva, que é mais ampla do que o discurso de ódio tal como definido no guia de anotação; parte dos exemplos públicos de Odio são, por isso, insultos sem alvo identitário. Dois desequilíbrios estruturais condicionam a interpretação dos resultados. A Mobilização Hostil existe apenas no piloto e conta com 47 exemplos no teste, o que torna as estimativas desta categoria instáveis. E cerca de 91% do teste provém de corpora brasileiros, de modo que as métricas globais descrevem sobretudo o desempenho em conteúdo brasileiro. A H4 foi formulada para separar estes dois domínios.</w:t>
      </w:r>
    </w:p>
    <w:p>
      <w:pPr>
        <w:pStyle w:val="Heading2"/>
        <w:keepNext/>
        <w:keepLines/>
        <w:spacing w:after="160" w:before="360" w:line="300"/>
      </w:pPr>
      <w:r>
        <w:rPr>
          <w:rFonts w:ascii="Times New Roman" w:cs="Times New Roman" w:eastAsia="Times New Roman" w:hAnsi="Times New Roman"/>
          <w:b/>
          <w:bCs/>
          <w:sz w:val="26"/>
          <w:szCs w:val="26"/>
        </w:rPr>
        <w:t xml:space="preserve">3.6 Modelos e treino</w:t>
      </w:r>
    </w:p>
    <w:p>
      <w:pPr>
        <w:pStyle w:val="Heading3"/>
        <w:keepNext/>
        <w:spacing w:after="120" w:before="240"/>
      </w:pPr>
      <w:r>
        <w:rPr>
          <w:rFonts w:ascii="Times New Roman" w:cs="Times New Roman" w:eastAsia="Times New Roman" w:hAnsi="Times New Roman"/>
          <w:b/>
          <w:bCs/>
          <w:sz w:val="24"/>
          <w:szCs w:val="24"/>
        </w:rPr>
        <w:t xml:space="preserve">3.6.1 Pré-processamento e representação</w:t>
      </w:r>
    </w:p>
    <w:p>
      <w:pPr>
        <w:spacing w:after="120" w:before="0" w:line="360"/>
        <w:ind w:firstLine="567"/>
        <w:jc w:val="both"/>
      </w:pPr>
      <w:r>
        <w:rPr>
          <w:rFonts w:ascii="Times New Roman" w:cs="Times New Roman" w:eastAsia="Times New Roman" w:hAnsi="Times New Roman"/>
          <w:sz w:val="24"/>
          <w:szCs w:val="24"/>
        </w:rPr>
        <w:t xml:space="preserve">O pré-processamento foi deliberadamente ligeiro. O BERTimbau recebe o texto original, com pontuação e capitalização, e usa o seu próprio tokenizador de subpalavras. O Bi-LSTM converte o texto em minúsculas, divide-o em palavras e aprende as suas representações durante o treino. Os modelos clássicos usam uma representação TF-IDF limitada aos 5.000 termos mais frequentes do treino.</w:t>
      </w:r>
    </w:p>
    <w:p>
      <w:pPr>
        <w:pStyle w:val="Heading3"/>
        <w:keepNext/>
        <w:spacing w:after="120" w:before="240"/>
      </w:pPr>
      <w:r>
        <w:rPr>
          <w:rFonts w:ascii="Times New Roman" w:cs="Times New Roman" w:eastAsia="Times New Roman" w:hAnsi="Times New Roman"/>
          <w:b/>
          <w:bCs/>
          <w:sz w:val="24"/>
          <w:szCs w:val="24"/>
        </w:rPr>
        <w:t xml:space="preserve">3.6.2 Configuração dos modelos</w:t>
      </w:r>
    </w:p>
    <w:p>
      <w:pPr>
        <w:spacing w:after="120" w:before="0" w:line="360"/>
        <w:ind w:firstLine="567"/>
        <w:jc w:val="both"/>
      </w:pPr>
      <w:r>
        <w:rPr>
          <w:rFonts w:ascii="Times New Roman" w:cs="Times New Roman" w:eastAsia="Times New Roman" w:hAnsi="Times New Roman"/>
          <w:sz w:val="24"/>
          <w:szCs w:val="24"/>
        </w:rPr>
        <w:t xml:space="preserve">O desequilíbrio entre classes foi tratado de duas formas, consoante o tipo de modelo. Nos modelos clássicos, aplicou-se SMOTE (Chawla et al., 2002) ao espaço TF-IDF do conjunto de treino, gerando exemplos sintéticos das classes minoritárias; a validação e o teste mantêm a distribuição original. Nos modelos neuronais, em vez de criar exemplos, usaram-se pesos na função de perda inversamente proporcionais à frequência de cada classe. A Tabela 3.1 resume a configuração.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3.1 – Configuração dos modelos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Configuração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SVM linear (LinearSVC);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300 árvores;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i/>
                <w:iCs/>
                <w:sz w:val="19"/>
                <w:szCs w:val="19"/>
              </w:rPr>
              <w:t xml:space="preserve">Embeddings</w:t>
            </w:r>
            <w:r>
              <w:rPr>
                <w:rFonts w:ascii="Times New Roman" w:cs="Times New Roman" w:eastAsia="Times New Roman" w:hAnsi="Times New Roman"/>
                <w:b w:val="false"/>
                <w:bCs w:val="false"/>
                <w:sz w:val="19"/>
                <w:szCs w:val="19"/>
              </w:rPr>
              <w:t xml:space="preserve"> de dimensão 100 treinados de raiz; LSTM bidireccional com 128 unidades; até 128 palavras por texto; lote 32; taxa de aprendizagem 10</w:t>
            </w:r>
            <w:r>
              <w:rPr>
                <w:rFonts w:ascii="Times New Roman" w:cs="Times New Roman" w:eastAsia="Times New Roman" w:hAnsi="Times New Roman"/>
                <w:b w:val="false"/>
                <w:bCs w:val="false"/>
                <w:sz w:val="19"/>
                <w:szCs w:val="19"/>
                <w:vertAlign w:val="superscript"/>
              </w:rPr>
              <w:t xml:space="preserve">-3</w:t>
            </w:r>
            <w:r>
              <w:rPr>
                <w:rFonts w:ascii="Times New Roman" w:cs="Times New Roman" w:eastAsia="Times New Roman" w:hAnsi="Times New Roman"/>
                <w:b w:val="false"/>
                <w:bCs w:val="false"/>
                <w:sz w:val="19"/>
                <w:szCs w:val="19"/>
              </w:rPr>
              <w:t xml:space="preserve">; até 15 épocas com paragem antecipada (3 épocas sem melhoria do F1-macro de validação); entropia cruzada ponderada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neuralmind/bert-base-portuguese-cased com ajuste fino completo e cabeça de 4 saídas; até 256 subpalavras; lote 16; taxa de aprendizagem 2 × 10</w:t>
            </w:r>
            <w:r>
              <w:rPr>
                <w:rFonts w:ascii="Times New Roman" w:cs="Times New Roman" w:eastAsia="Times New Roman" w:hAnsi="Times New Roman"/>
                <w:b w:val="false"/>
                <w:bCs w:val="false"/>
                <w:sz w:val="19"/>
                <w:szCs w:val="19"/>
                <w:vertAlign w:val="superscript"/>
              </w:rPr>
              <w:t xml:space="preserve">-5</w:t>
            </w:r>
            <w:r>
              <w:rPr>
                <w:rFonts w:ascii="Times New Roman" w:cs="Times New Roman" w:eastAsia="Times New Roman" w:hAnsi="Times New Roman"/>
                <w:b w:val="false"/>
                <w:bCs w:val="false"/>
                <w:sz w:val="19"/>
                <w:szCs w:val="19"/>
              </w:rPr>
              <w:t xml:space="preserve">; 3 épocas, retendo a época com melhor F1-macro de validação; entropia cruzada ponderada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por omissão dos </w:t>
      </w:r>
      <w:r>
        <w:rPr>
          <w:rFonts w:ascii="Times New Roman" w:cs="Times New Roman" w:eastAsia="Times New Roman" w:hAnsi="Times New Roman"/>
          <w:i/>
          <w:iCs/>
          <w:sz w:val="18"/>
          <w:szCs w:val="18"/>
        </w:rPr>
        <w:t xml:space="preserve">scripts</w:t>
      </w:r>
      <w:r>
        <w:rPr>
          <w:rFonts w:ascii="Times New Roman" w:cs="Times New Roman" w:eastAsia="Times New Roman" w:hAnsi="Times New Roman"/>
          <w:sz w:val="18"/>
          <w:szCs w:val="18"/>
        </w:rPr>
        <w:t xml:space="preserve"> train_baseline.py, train_bilstm.py e train_bertimbau.py, usados sem alteração na corrida de referência. A semente aleatória é 42 em todos os modelos.</w:t>
      </w:r>
    </w:p>
    <w:p>
      <w:pPr>
        <w:spacing w:after="120" w:before="0" w:line="360"/>
        <w:ind w:firstLine="567"/>
        <w:jc w:val="both"/>
      </w:pPr>
      <w:r>
        <w:rPr>
          <w:rFonts w:ascii="Times New Roman" w:cs="Times New Roman" w:eastAsia="Times New Roman" w:hAnsi="Times New Roman"/>
          <w:sz w:val="24"/>
          <w:szCs w:val="24"/>
        </w:rPr>
        <w:t xml:space="preserve">O BERTimbau foi treinado três vezes, com as sementes 42, 43 e 44, para medir a variabilidade devida à inicialização. A execução com a semente 42 foi definida, antes das restantes, como configuração de referência. Testaram-se ainda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temático de vídeos (ablação) e pesos de classe suavizados (expoente 0,5 sobre o inverso da frequência).</w:t>
      </w:r>
    </w:p>
    <w:p>
      <w:pPr>
        <w:pStyle w:val="Heading3"/>
        <w:keepNext/>
        <w:spacing w:after="120" w:before="240"/>
      </w:pPr>
      <w:r>
        <w:rPr>
          <w:rFonts w:ascii="Times New Roman" w:cs="Times New Roman" w:eastAsia="Times New Roman" w:hAnsi="Times New Roman"/>
          <w:b/>
          <w:bCs/>
          <w:sz w:val="24"/>
          <w:szCs w:val="24"/>
        </w:rPr>
        <w:t xml:space="preserve">3.6.3 Ambiente de desenvolvimento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3.2 – Ambiente de desenvolvimento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0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Componente</w:t>
            </w:r>
          </w:p>
        </w:tc>
        <w:tc>
          <w:tcPr>
            <w:tcW w:type="dxa" w:w="5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Especificação</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 operativo (desenvolvimento)</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Windows 11, 64 bits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Linguagem</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Python 3.11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Treino dos modelos profundos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Google Colab com GPU NVIDIA T4 (16 GB)</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Aprendizagem automática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PyTorch, Hugging Face Transformers, scikit-learn</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Recolha de dados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YouTube Data API v3</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FastAPI, Jinja2, Uvicorn, SQLite (aplicação web sem dependências de compilação)</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Controlo de versões</w:t>
            </w:r>
          </w:p>
        </w:tc>
        <w:tc>
          <w:tcPr>
            <w:tcW w:type="dxa" w:w="5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Git e GitHub (repositório dissertacao-uan-angola)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As versões exactas das bibliotecas do sistema constam do ficheiro requirements.txt do protótipo.</w:t>
      </w:r>
    </w:p>
    <w:p>
      <w:pPr>
        <w:pStyle w:val="Heading2"/>
        <w:keepNext/>
        <w:keepLines/>
        <w:spacing w:after="160" w:before="360" w:line="300"/>
      </w:pPr>
      <w:r>
        <w:rPr>
          <w:rFonts w:ascii="Times New Roman" w:cs="Times New Roman" w:eastAsia="Times New Roman" w:hAnsi="Times New Roman"/>
          <w:b/>
          <w:bCs/>
          <w:sz w:val="26"/>
          <w:szCs w:val="26"/>
        </w:rPr>
        <w:t xml:space="preserve">3.7 Protocolo de avaliação</w:t>
      </w:r>
    </w:p>
    <w:p>
      <w:pPr>
        <w:spacing w:after="120" w:before="0" w:line="360"/>
        <w:ind w:firstLine="567"/>
        <w:jc w:val="both"/>
      </w:pPr>
      <w:r>
        <w:rPr>
          <w:rFonts w:ascii="Times New Roman" w:cs="Times New Roman" w:eastAsia="Times New Roman" w:hAnsi="Times New Roman"/>
          <w:sz w:val="24"/>
          <w:szCs w:val="24"/>
        </w:rPr>
        <w:t xml:space="preserve">A avaliação foi definida antes de se conhecerem os resultados de teste, segundo as regras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 principal:</w:t>
      </w:r>
      <w:r>
        <w:rPr>
          <w:rFonts w:ascii="Times New Roman" w:cs="Times New Roman" w:eastAsia="Times New Roman" w:hAnsi="Times New Roman"/>
          <w:sz w:val="24"/>
          <w:szCs w:val="24"/>
        </w:rPr>
        <w:t xml:space="preserve"> F1-macro no conjunto de teste, com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(2.000 reamostragens).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Métricas complementares:</w:t>
      </w:r>
      <w:r>
        <w:rPr>
          <w:rFonts w:ascii="Times New Roman" w:cs="Times New Roman" w:eastAsia="Times New Roman" w:hAnsi="Times New Roman"/>
          <w:sz w:val="24"/>
          <w:szCs w:val="24"/>
        </w:rPr>
        <w:t xml:space="preserve"> F1 ponderado, exactidão, Kappa de Cohen entre previsões e referência, AUC-ROC média das quatro curvas um-contra-todos, e precisão, sensibilidade e F1 por categoria.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Comparação de modelos (H1):</w:t>
      </w:r>
      <w:r>
        <w:rPr>
          <w:rFonts w:ascii="Times New Roman" w:cs="Times New Roman" w:eastAsia="Times New Roman" w:hAnsi="Times New Roman"/>
          <w:sz w:val="24"/>
          <w:szCs w:val="24"/>
        </w:rPr>
        <w:t xml:space="preserve"> teste de McNemar com correcção de continuidade para cada um dos seis pares de modelos, com correcção de Bonferroni (α = 0,05/6 ≈ 0,0083), e IC 95% da diferença de F1-macro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 de variantes:</w:t>
      </w:r>
      <w:r>
        <w:rPr>
          <w:rFonts w:ascii="Times New Roman" w:cs="Times New Roman" w:eastAsia="Times New Roman" w:hAnsi="Times New Roman"/>
          <w:sz w:val="24"/>
          <w:szCs w:val="24"/>
        </w:rPr>
        <w:t xml:space="preserve"> feita no conjunto de validação. Uma variante só substitui a referência se se distinguir dela; caso contrário, mantém-se a referência. Os resultados de teste são reportados para todas as variantes, sem selecção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Ajuste de limiares:</w:t>
      </w:r>
      <w:r>
        <w:rPr>
          <w:rFonts w:ascii="Times New Roman" w:cs="Times New Roman" w:eastAsia="Times New Roman" w:hAnsi="Times New Roman"/>
          <w:sz w:val="24"/>
          <w:szCs w:val="24"/>
        </w:rPr>
        <w:t xml:space="preserve"> vieses por classe escolhidos na validação, com o ganho esperado estimado por validação cruzada dentro da validação; o resultado principal é sempre reportado sem ajuste.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Lacuna de domínio (H4):</w:t>
      </w:r>
      <w:r>
        <w:rPr>
          <w:rFonts w:ascii="Times New Roman" w:cs="Times New Roman" w:eastAsia="Times New Roman" w:hAnsi="Times New Roman"/>
          <w:sz w:val="24"/>
          <w:szCs w:val="24"/>
        </w:rPr>
        <w:t xml:space="preserve"> o teste é dividido em subconjunto do piloto angolano e subconjunto dos corpora públicos; compara-se o F1-macro (com IC 95%) e o Kappa do modelo seleccionado em cada um, e repete-se a comparação nas três categorias comuns para controlar a ausência de Mobilização Hostil no corpus público.</w:t>
      </w:r>
    </w:p>
    <w:p>
      <w:pPr>
        <w:spacing w:after="120" w:before="0" w:line="360"/>
        <w:ind w:firstLine="567"/>
        <w:jc w:val="both"/>
      </w:pPr>
      <w:r>
        <w:rPr>
          <w:rFonts w:ascii="Times New Roman" w:cs="Times New Roman" w:eastAsia="Times New Roman" w:hAnsi="Times New Roman"/>
          <w:sz w:val="24"/>
          <w:szCs w:val="24"/>
        </w:rPr>
        <w:t xml:space="preserve">O protocolo das hipóteses H2 e H3, que dependem do sistema, é descrito na Secção 3.9.</w:t>
      </w:r>
    </w:p>
    <w:p>
      <w:pPr>
        <w:pStyle w:val="Heading2"/>
        <w:keepNext/>
        <w:keepLines/>
        <w:spacing w:after="160" w:before="360" w:line="300"/>
      </w:pPr>
      <w:r>
        <w:rPr>
          <w:rFonts w:ascii="Times New Roman" w:cs="Times New Roman" w:eastAsia="Times New Roman" w:hAnsi="Times New Roman"/>
          <w:b/>
          <w:bCs/>
          <w:sz w:val="26"/>
          <w:szCs w:val="26"/>
        </w:rPr>
        <w:t xml:space="preserve">3.8 Arquitectura do sistema</w:t>
      </w:r>
    </w:p>
    <w:p>
      <w:pPr>
        <w:pStyle w:val="Heading3"/>
        <w:keepNext/>
        <w:spacing w:after="120" w:before="240"/>
      </w:pPr>
      <w:r>
        <w:rPr>
          <w:rFonts w:ascii="Times New Roman" w:cs="Times New Roman" w:eastAsia="Times New Roman" w:hAnsi="Times New Roman"/>
          <w:b/>
          <w:bCs/>
          <w:sz w:val="24"/>
          <w:szCs w:val="24"/>
        </w:rPr>
        <w:t xml:space="preserve">3.8.1 Requisitos</w:t>
      </w:r>
    </w:p>
    <w:p>
      <w:pPr>
        <w:spacing w:after="120" w:before="0" w:line="360"/>
        <w:ind w:firstLine="567"/>
        <w:jc w:val="both"/>
      </w:pPr>
      <w:r>
        <w:rPr>
          <w:rFonts w:ascii="Times New Roman" w:cs="Times New Roman" w:eastAsia="Times New Roman" w:hAnsi="Times New Roman"/>
          <w:sz w:val="24"/>
          <w:szCs w:val="24"/>
        </w:rPr>
        <w:t xml:space="preserve">A arquitectura foi desenhada a partir dos resultados do Capítulo 4, e não o contrário. Um classificador com F1-macro de cerca de 0,80 no teste global, de cerca de 0,53 em conteúdo angolano e com precisão de cerca de 0,51 na Mobilização Hostil não pode tomar decisões; pode, no entanto, ordenar o trabalho de quem decide. Daqui resultam os requisitos da Tabela 3.3.</w:t>
      </w:r>
    </w:p>
    <w:p>
      <w:pPr>
        <w:pStyle w:val="LegendaTabela"/>
        <w:keepNext/>
        <w:spacing w:after="80" w:before="240" w:line="240"/>
        <w:jc w:val="center"/>
      </w:pPr>
      <w:r>
        <w:rPr>
          <w:rFonts w:ascii="Times New Roman" w:cs="Times New Roman" w:eastAsia="Times New Roman" w:hAnsi="Times New Roman"/>
          <w:b/>
          <w:bCs/>
          <w:sz w:val="20"/>
          <w:szCs w:val="20"/>
        </w:rPr>
        <w:t xml:space="preserve">Tabela 3.3 – Requisitos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120"/>
      </w:tblGrid>
      <w:tr>
        <w:trPr>
          <w:cantSplit/>
          <w:tblHeader/>
        </w:trPr>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Código</w:t>
            </w:r>
          </w:p>
        </w:tc>
        <w:tc>
          <w:tcPr>
            <w:tcW w:type="dxa" w:w="7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Requisito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Importar lotes de publicações públicas de várias vias, registando a proveniência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Anonimizar autores e identificadores directos antes de gravar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Classificar as publicações em lote com o modelo seleccionado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Apresentar uma fila de revisão ordenada por prioridade</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Registar a decisão do analista e exportá-la para novo treino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RF6</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Calcular métricas operacionais: precisão nos primeiros K, κ analista–sistema e entre analistas, sensibilidade estimada, latência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RF7</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Controlar o acesso por contas individuais com dois papéis (analista e supervisor)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RF8</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Permitir a avaliação independente por vários analistas, com revisão cega e amostra de controlo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Funcionar num único servidor, com software livre e sem serviços externos obrigatórios</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Conformidade com a Lei n.º 22/11: minimização, pseudonimização, conservação limitada, auditoria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Substituir o modelo sem alterar o resto do sistema</w:t>
            </w:r>
          </w:p>
        </w:tc>
      </w:tr>
      <w:tr>
        <w:trPr>
          <w:cantSplit/>
          <w:tblHeader w:val="false"/>
        </w:trPr>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RNF4</w:t>
            </w:r>
          </w:p>
        </w:tc>
        <w:tc>
          <w:tcPr>
            <w:tcW w:type="dxa" w:w="7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Código modular, testado e documentado, para replicação e manutenção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RF: requisito funcional; RNF: requisito não funcional.</w:t>
      </w:r>
    </w:p>
    <w:p>
      <w:pPr>
        <w:pStyle w:val="Heading3"/>
        <w:keepNext/>
        <w:spacing w:after="120" w:before="240"/>
      </w:pPr>
      <w:r>
        <w:rPr>
          <w:rFonts w:ascii="Times New Roman" w:cs="Times New Roman" w:eastAsia="Times New Roman" w:hAnsi="Times New Roman"/>
          <w:b/>
          <w:bCs/>
          <w:sz w:val="24"/>
          <w:szCs w:val="24"/>
        </w:rPr>
        <w:t xml:space="preserve">3.8.2 Alternativas e decisão</w:t>
      </w:r>
    </w:p>
    <w:p>
      <w:pPr>
        <w:spacing w:after="120" w:before="0" w:line="360"/>
        <w:ind w:firstLine="567"/>
        <w:jc w:val="both"/>
      </w:pPr>
      <w:r>
        <w:rPr>
          <w:rFonts w:ascii="Times New Roman" w:cs="Times New Roman" w:eastAsia="Times New Roman" w:hAnsi="Times New Roman"/>
          <w:sz w:val="24"/>
          <w:szCs w:val="24"/>
        </w:rPr>
        <w:t xml:space="preserve">Consideraram-se duas arquitecturas. A primeira, de processamento distribuído em fluxo contínuo, combinaria recolha massiva por automatização de navegadores, uma fila de mensagens (Kafka), processamento distribuído (Spark), uma base de dados documental na nuvem e um painel comercial de inteligência empresarial. A segunda, adoptada, é uma arquitectura em camadas, leve, que corre num único servidor e cresce por substituição de componentes. A Tabela 3.4 compara as duas.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3.4 – Comparação das arquitecturas consideradas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3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Critério</w:t>
            </w:r>
          </w:p>
        </w:tc>
        <w:tc>
          <w:tcPr>
            <w:tcW w:type="dxa" w:w="3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Distribuída em fluxo contínuo</w:t>
            </w:r>
          </w:p>
        </w:tc>
        <w:tc>
          <w:tcPr>
            <w:tcW w:type="dxa" w:w="3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Em camadas, leve (adoptada)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Volume suportado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Muito elevado</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Adequado ao volume de recolha pela via oficial; escalável por substituição de componentes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Infra-estrutura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Vários serviços em cluster; operação especializada</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Um servidor; Python, SQLite (ou PostgreSQL)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e dependências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Licenças e/ou serviços em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Apenas software livre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Soberania dos dados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Depende do fornecedor de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Dados em infra-estrutura própria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Vias de recolha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Tendência para automatizar páginas que exigem contornar protecções</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Interfaces oficiais, recolha manual e exportações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Adequação ao modelo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Pressupõe decisões em tempo real</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Pensada para triagem com revisão humana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Reprodutibilidade</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Difícil fora do ambiente original</w:t>
            </w:r>
          </w:p>
        </w:tc>
        <w:tc>
          <w:tcPr>
            <w:tcW w:type="dxa" w:w="3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com um ficheiro de dependências; testes automáticos</w:t>
            </w:r>
          </w:p>
        </w:tc>
      </w:tr>
    </w:tbl>
    <w:p>
      <w:pPr>
        <w:spacing w:after="240" w:before="60" w:line="240"/>
        <w:jc w:val="both"/>
      </w:pPr>
    </w:p>
    <w:p>
      <w:pPr>
        <w:spacing w:after="120" w:before="0" w:line="360"/>
        <w:ind w:firstLine="567"/>
        <w:jc w:val="both"/>
      </w:pPr>
      <w:r>
        <w:rPr>
          <w:rFonts w:ascii="Times New Roman" w:cs="Times New Roman" w:eastAsia="Times New Roman" w:hAnsi="Times New Roman"/>
          <w:sz w:val="24"/>
          <w:szCs w:val="24"/>
        </w:rPr>
        <w:t xml:space="preserve">A arquitectura distribuída faria sentido se o gargalo fosse o volume de dados. Não é: o gargalo é a capacidade humana de rever o que o modelo sinaliza, e a fiabilidade do modelo em conteúdo angolano. Uma arquitectura que processasse milhões de publicações por hora produziria alertas que ninguém conseguiria rever, com uma precisão que não justificaria a confiança. A arquitectura leve concentra o esforço onde ele rende: na qualidade da fila de revisão, na protecção dos dados e na facilidade de substituir o modelo quando houver uma versão melhor. Se o volume crescer, a base de dados pode passar para PostgreSQL e o serviço de inferência pode ser replicado, sem alterar o desenho.</w:t>
      </w:r>
    </w:p>
    <w:p>
      <w:pPr>
        <w:pStyle w:val="Heading3"/>
        <w:keepNext/>
        <w:spacing w:after="120" w:before="240"/>
      </w:pPr>
      <w:r>
        <w:rPr>
          <w:rFonts w:ascii="Times New Roman" w:cs="Times New Roman" w:eastAsia="Times New Roman" w:hAnsi="Times New Roman"/>
          <w:b/>
          <w:bCs/>
          <w:sz w:val="24"/>
          <w:szCs w:val="24"/>
        </w:rPr>
        <w:t xml:space="preserve">3.8.3 Camadas e componentes</w:t>
      </w:r>
    </w:p>
    <w:p>
      <w:pPr>
        <w:spacing w:after="120" w:before="0" w:line="360"/>
        <w:ind w:firstLine="567"/>
        <w:jc w:val="both"/>
      </w:pPr>
      <w:r>
        <w:rPr>
          <w:rFonts w:ascii="Times New Roman" w:cs="Times New Roman" w:eastAsia="Times New Roman" w:hAnsi="Times New Roman"/>
          <w:sz w:val="24"/>
          <w:szCs w:val="24"/>
        </w:rPr>
        <w:t xml:space="preserve">A Figura 3.3 apresenta a arquitectura adoptada, organizada em cinco camadas.</w:t>
      </w:r>
    </w:p>
    <w:p>
      <w:pPr>
        <w:keepNext/>
        <w:spacing w:after="40" w:before="160"/>
        <w:jc w:val="center"/>
      </w:pPr>
      <w:r>
        <w:drawing>
          <wp:inline distT="0" distB="0" distL="0" distR="0">
            <wp:extent cx="5581650" cy="3590925"/>
            <wp:effectExtent t="0" r="0" b="0" l="0"/>
            <wp:docPr id="1" name="fig3_3_arquitectura.png" descr="fig3_3_arquitectura.png" title="fig3_3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35909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3.3 – Arquitectura em camadas do sistema de triagem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Fontes públicas.</w:t>
      </w:r>
      <w:r>
        <w:rPr>
          <w:rFonts w:ascii="Times New Roman" w:cs="Times New Roman" w:eastAsia="Times New Roman" w:hAnsi="Times New Roman"/>
          <w:sz w:val="24"/>
          <w:szCs w:val="24"/>
        </w:rPr>
        <w:t xml:space="preserve"> Comentários obtidos pela interface oficial do YouTube, recolha manual de páginas públicas e conjuntos de dados doados ou de terceiros. Cada via é declarada no momento da importação.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Ingestão.</w:t>
      </w:r>
      <w:r>
        <w:rPr>
          <w:rFonts w:ascii="Times New Roman" w:cs="Times New Roman" w:eastAsia="Times New Roman" w:hAnsi="Times New Roman"/>
          <w:sz w:val="24"/>
          <w:szCs w:val="24"/>
        </w:rPr>
        <w:t xml:space="preserve"> O módulo de importação lê ficheiros CSV ou JSON, reconhece os nomes de colunas habituais dos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recolha, mascara identificadores no texto e substitui o autor por um pseudónimo HMAC-SHA-256 com um segredo guardado fora do código. Um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simples do nome de utilizador poderia ser revertido por dicionário; o segredo impede-o. O ficheiro original não é guardado.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Dados.</w:t>
      </w:r>
      <w:r>
        <w:rPr>
          <w:rFonts w:ascii="Times New Roman" w:cs="Times New Roman" w:eastAsia="Times New Roman" w:hAnsi="Times New Roman"/>
          <w:sz w:val="24"/>
          <w:szCs w:val="24"/>
        </w:rPr>
        <w:t xml:space="preserve"> Uma base de dados relacional guarda os lotes, as publicações, as classificações, as revisões (uma por analista e publicação), a amostra de controlo, os utilizadores e as sessões, as definições e o registo de auditoria (Figura 3.4).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Inferência.</w:t>
      </w:r>
      <w:r>
        <w:rPr>
          <w:rFonts w:ascii="Times New Roman" w:cs="Times New Roman" w:eastAsia="Times New Roman" w:hAnsi="Times New Roman"/>
          <w:sz w:val="24"/>
          <w:szCs w:val="24"/>
        </w:rPr>
        <w:t xml:space="preserve"> O serviço carrega o BERTimbau afinado uma única vez e classifica as publicações pendentes em segundo plano, gravando os resultados por sublotes de 32, para que as primeiras publicações cheguem à fila sem esperar pelo lote inteiro. A prioridade de cada publicação é a probabilidade de não ser Normal, 1 − P(Normal). Esta escolha faz subir na fila uma publicação com 45% de probabilidade de Mobilização Hostil, mesmo que a categoria mais provável seja Normal.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Apresentação.</w:t>
      </w:r>
      <w:r>
        <w:rPr>
          <w:rFonts w:ascii="Times New Roman" w:cs="Times New Roman" w:eastAsia="Times New Roman" w:hAnsi="Times New Roman"/>
          <w:sz w:val="24"/>
          <w:szCs w:val="24"/>
        </w:rPr>
        <w:t xml:space="preserve"> Uma aplicação web, acedida pelo navegador, mostra a fila de revisão, a amostra de controlo, o panorama agregado, os lotes e, para o supervisor, as métricas, as contas e a auditoria. As métricas podem ser exportadas para relatórios, incluindo ferramentas como o Power BI, sem que estas tenham acesso aos textos.</w:t>
      </w:r>
    </w:p>
    <w:p>
      <w:pPr>
        <w:spacing w:after="120" w:before="0" w:line="360"/>
        <w:ind w:firstLine="567"/>
        <w:jc w:val="both"/>
      </w:pPr>
      <w:r>
        <w:rPr>
          <w:rFonts w:ascii="Times New Roman" w:cs="Times New Roman" w:eastAsia="Times New Roman" w:hAnsi="Times New Roman"/>
          <w:sz w:val="24"/>
          <w:szCs w:val="24"/>
        </w:rPr>
        <w:t xml:space="preserve">As revisões do analista são exportadas com a origem </w:t>
      </w:r>
      <w:r>
        <w:rPr>
          <w:rFonts w:ascii="Courier New" w:cs="Courier New" w:eastAsia="Courier New" w:hAnsi="Courier New"/>
          <w:sz w:val="21"/>
          <w:szCs w:val="21"/>
        </w:rPr>
        <w:t xml:space="preserve">revisao_sistema</w:t>
      </w:r>
      <w:r>
        <w:rPr>
          <w:rFonts w:ascii="Times New Roman" w:cs="Times New Roman" w:eastAsia="Times New Roman" w:hAnsi="Times New Roman"/>
          <w:sz w:val="24"/>
          <w:szCs w:val="24"/>
        </w:rPr>
        <w:t xml:space="preserve"> e podem ser usadas num novo ciclo de treino. Como são etiquetas de um só analista sobre itens escolhidos pelo modelo, entram apenas no treino e nunca no teste.</w:t>
      </w:r>
    </w:p>
    <w:p>
      <w:pPr>
        <w:keepNext/>
        <w:spacing w:after="40" w:before="160"/>
        <w:jc w:val="center"/>
      </w:pPr>
      <w:r>
        <w:drawing>
          <wp:inline distT="0" distB="0" distL="0" distR="0">
            <wp:extent cx="5400675" cy="3514725"/>
            <wp:effectExtent t="0" r="0" b="0" l="0"/>
            <wp:docPr id="1" name="fig3_4_dados.png" descr="fig3_4_dados.png" title="fig3_4_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35147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3.4 – Modelo de dados do sistema</w:t>
      </w:r>
    </w:p>
    <w:p>
      <w:pPr>
        <w:pStyle w:val="Heading3"/>
        <w:keepNext/>
        <w:spacing w:after="120" w:before="240"/>
      </w:pPr>
      <w:r>
        <w:rPr>
          <w:rFonts w:ascii="Times New Roman" w:cs="Times New Roman" w:eastAsia="Times New Roman" w:hAnsi="Times New Roman"/>
          <w:b/>
          <w:bCs/>
          <w:sz w:val="24"/>
          <w:szCs w:val="24"/>
        </w:rPr>
        <w:t xml:space="preserve">3.8.4 Casos de uso e fluxo de processamento</w:t>
      </w:r>
    </w:p>
    <w:p>
      <w:pPr>
        <w:spacing w:after="120" w:before="0" w:line="360"/>
        <w:ind w:firstLine="567"/>
        <w:jc w:val="both"/>
      </w:pPr>
      <w:r>
        <w:rPr>
          <w:rFonts w:ascii="Times New Roman" w:cs="Times New Roman" w:eastAsia="Times New Roman" w:hAnsi="Times New Roman"/>
          <w:sz w:val="24"/>
          <w:szCs w:val="24"/>
        </w:rPr>
        <w:t xml:space="preserve">O sistema tem quatro actores (Figura 3.5). O analista revê a sua fila e a amostra de controlo e consulta o panorama. O supervisor, que também pode rever, importa lotes, sorteia a amostra de controlo, gere as contas, consulta métricas e auditoria, activa a revisão cega e aplica o prazo de conservação. O serviço de inferência classifica em segundo plano cada lote importado. O investigador exporta as revisões e treina novas versões do modelo.</w:t>
      </w:r>
    </w:p>
    <w:p>
      <w:pPr>
        <w:keepNext/>
        <w:spacing w:after="40" w:before="160"/>
        <w:jc w:val="center"/>
      </w:pPr>
      <w:r>
        <w:drawing>
          <wp:inline distT="0" distB="0" distL="0" distR="0">
            <wp:extent cx="5038725" cy="3438525"/>
            <wp:effectExtent t="0" r="0" b="0" l="0"/>
            <wp:docPr id="1" name="fig3_5_casos_uso.png" descr="fig3_5_casos_uso.png" title="fig3_5_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34385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3.5 – Diagrama de casos de uso (UML)</w:t>
      </w:r>
    </w:p>
    <w:p>
      <w:pPr>
        <w:spacing w:after="120" w:before="0" w:line="360"/>
        <w:ind w:firstLine="567"/>
        <w:jc w:val="both"/>
      </w:pPr>
      <w:r>
        <w:rPr>
          <w:rFonts w:ascii="Times New Roman" w:cs="Times New Roman" w:eastAsia="Times New Roman" w:hAnsi="Times New Roman"/>
          <w:sz w:val="24"/>
          <w:szCs w:val="24"/>
        </w:rPr>
        <w:t xml:space="preserve">A Figura 3.6 mostra a sequência de operações desde a importação de um lote até à gravação da decisão do analista.</w:t>
      </w:r>
    </w:p>
    <w:p>
      <w:pPr>
        <w:keepNext/>
        <w:spacing w:after="40" w:before="160"/>
        <w:jc w:val="center"/>
      </w:pPr>
      <w:r>
        <w:drawing>
          <wp:inline distT="0" distB="0" distL="0" distR="0">
            <wp:extent cx="5581650" cy="3457575"/>
            <wp:effectExtent t="0" r="0" b="0" l="0"/>
            <wp:docPr id="1" name="fig3_6_sequencia.png" descr="fig3_6_sequencia.png" title="fig3_6_seq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45757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3.6 – Diagrama de sequência (UML): da importação à revisão</w:t>
      </w:r>
    </w:p>
    <w:p>
      <w:pPr>
        <w:pStyle w:val="Heading3"/>
        <w:keepNext/>
        <w:spacing w:after="120" w:before="240"/>
      </w:pPr>
      <w:r>
        <w:rPr>
          <w:rFonts w:ascii="Times New Roman" w:cs="Times New Roman" w:eastAsia="Times New Roman" w:hAnsi="Times New Roman"/>
          <w:b/>
          <w:bCs/>
          <w:sz w:val="24"/>
          <w:szCs w:val="24"/>
        </w:rPr>
        <w:t xml:space="preserve">3.8.5 Interface do analista</w:t>
      </w:r>
    </w:p>
    <w:p>
      <w:pPr>
        <w:spacing w:after="120" w:before="0" w:line="360"/>
        <w:ind w:firstLine="567"/>
        <w:jc w:val="both"/>
      </w:pPr>
      <w:r>
        <w:rPr>
          <w:rFonts w:ascii="Times New Roman" w:cs="Times New Roman" w:eastAsia="Times New Roman" w:hAnsi="Times New Roman"/>
          <w:sz w:val="24"/>
          <w:szCs w:val="24"/>
        </w:rPr>
        <w:t xml:space="preserve">A interface é uma aplicação web servida pelo próprio sistema (FastAPI com modelos Jinja2), acedida pelo navegador, sem instalação nos postos dos analistas nem dependências de compilação. Cada pessoa entra com uma conta individual. As palavras-passe são guardadas com PBKDF2-SHA-256, a conta é bloqueada temporariamente após cinco tentativas falhadas, as sessões são mantidas no servidor e todos os formulários estão protegidos contra pedidos forjados (CSRF). Há dois papéis: o analista revê; o supervisor importa lotes, gere contas, consulta métricas e auditoria e define as opções de avaliação.</w:t>
      </w:r>
    </w:p>
    <w:p>
      <w:pPr>
        <w:spacing w:after="120" w:before="0" w:line="360"/>
        <w:ind w:firstLine="567"/>
        <w:jc w:val="both"/>
      </w:pPr>
      <w:r>
        <w:rPr>
          <w:rFonts w:ascii="Times New Roman" w:cs="Times New Roman" w:eastAsia="Times New Roman" w:hAnsi="Times New Roman"/>
          <w:sz w:val="24"/>
          <w:szCs w:val="24"/>
        </w:rPr>
        <w:t xml:space="preserve">Na fila, cada publicação aparece com a categoria prevista, as probabilidades das quatro categorias e quatro botões de decisão, que também respondem às teclas 1 a 4. A decisão fica gravada com a posição que o item ocupava na fila. Cada analista tem a sua própria fila: um item revisto por um analista continua na fila dos outros, o que permite medir o acordo entre analistas de forma independente. Duas funções servem directamente a avaliação da Secção 3.9. A revisão cega, activada pelo supervisor, esconde a sugestão do modelo, para que a concordância entre analista e sistema não seja inflacionada pela própria sugestão. A amostra de controlo sorteia, com semente registada, publicações classificadas como Normal, que os analistas revêem sem sugestão; a fracção que considerem ameaça estima o que a fila deixa passar. O ecrã de entrada lembra que as classificações servem apenas para ordenar a revisão, e a fila lembra que a convocatória pacífica é exercício de direitos. A Figura 3.7 mostra a fila.</w:t>
      </w:r>
    </w:p>
    <w:p>
      <w:pPr>
        <w:keepNext/>
        <w:spacing w:after="40" w:before="160"/>
        <w:jc w:val="center"/>
      </w:pPr>
      <w:r>
        <w:drawing>
          <wp:inline distT="0" distB="0" distL="0" distR="0">
            <wp:extent cx="5581650" cy="3486150"/>
            <wp:effectExtent t="0" r="0" b="0" l="0"/>
            <wp:docPr id="1" name="fig3_7_painel.png" descr="fig3_7_painel.png" title="fig3_7_pai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34861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3.7 – Fila de revisão na aplicação web</w:t>
      </w:r>
    </w:p>
    <w:p>
      <w:pPr>
        <w:spacing w:after="240" w:before="0" w:line="240"/>
        <w:jc w:val="center"/>
      </w:pPr>
      <w:r>
        <w:rPr>
          <w:rFonts w:ascii="Times New Roman" w:cs="Times New Roman" w:eastAsia="Times New Roman" w:hAnsi="Times New Roman"/>
          <w:i/>
          <w:iCs/>
          <w:sz w:val="18"/>
          <w:szCs w:val="18"/>
        </w:rPr>
        <w:t xml:space="preserve">Nota: textos fictícios e classificador de demonstração por palavras-chave, assinalado no topo da página, usados apenas para ilustrar a interface.</w:t>
      </w:r>
    </w:p>
    <w:p>
      <w:pPr>
        <w:spacing w:after="120" w:before="0" w:line="360"/>
        <w:ind w:firstLine="567"/>
        <w:jc w:val="both"/>
      </w:pPr>
      <w:r>
        <w:rPr>
          <w:rFonts w:ascii="Times New Roman" w:cs="Times New Roman" w:eastAsia="Times New Roman" w:hAnsi="Times New Roman"/>
          <w:sz w:val="24"/>
          <w:szCs w:val="24"/>
        </w:rPr>
        <w:t xml:space="preserve">As principais funções estão também disponíveis numa interface de programação JSON, protegida por chave, para integração com outros componentes, e numa linha de comandos, para tarefas agendadas como a importação, a limpeza e as cópias de segurança. O manual de instalação e utilização consta do Apêndice F.</w:t>
      </w:r>
    </w:p>
    <w:p>
      <w:pPr>
        <w:pStyle w:val="Heading2"/>
        <w:keepNext/>
        <w:keepLines/>
        <w:spacing w:after="160" w:before="360" w:line="300"/>
      </w:pPr>
      <w:r>
        <w:rPr>
          <w:rFonts w:ascii="Times New Roman" w:cs="Times New Roman" w:eastAsia="Times New Roman" w:hAnsi="Times New Roman"/>
          <w:b/>
          <w:bCs/>
          <w:sz w:val="26"/>
          <w:szCs w:val="26"/>
        </w:rPr>
        <w:t xml:space="preserve">3.9 Plano de testes e avaliação operacional</w:t>
      </w:r>
    </w:p>
    <w:p>
      <w:pPr>
        <w:spacing w:after="120" w:before="0" w:line="360"/>
        <w:ind w:firstLine="567"/>
        <w:jc w:val="both"/>
      </w:pPr>
      <w:r>
        <w:rPr>
          <w:rFonts w:ascii="Times New Roman" w:cs="Times New Roman" w:eastAsia="Times New Roman" w:hAnsi="Times New Roman"/>
          <w:sz w:val="24"/>
          <w:szCs w:val="24"/>
        </w:rPr>
        <w:t xml:space="preserve">O sistema tem 31 testes automáticos. Cobrem a anonimização (máscaras e pseudónimos), a importação (deduplicação e rejeição de vias não previstas), o fluxo completo de importação, classificação, revisão, métricas e exportação, a gravação por sublotes, o prazo de conservação e as cópias de segurança, o carregamento de um modelo BERT guardado em disco e a interface de programação. Do lado da aplicação web, testam o controlo de acesso por papel, o bloqueio após tentativas falhadas, a protecção CSRF, o escape de texto malicioso, a revisão independente por dois analistas, a revisão cega, a amostra de controlo reprodutível e a actualização automática de bases de dados da versão anterior. Os testes são executados com o comando </w:t>
      </w:r>
      <w:r>
        <w:rPr>
          <w:rFonts w:ascii="Courier New" w:cs="Courier New" w:eastAsia="Courier New" w:hAnsi="Courier New"/>
          <w:sz w:val="21"/>
          <w:szCs w:val="21"/>
        </w:rPr>
        <w:t xml:space="preserve">python -m pytest -q</w:t>
      </w:r>
      <w:r>
        <w:rPr>
          <w:rFonts w:ascii="Times New Roman" w:cs="Times New Roman" w:eastAsia="Times New Roman" w:hAnsi="Times New Roman"/>
          <w:sz w:val="24"/>
          <w:szCs w:val="24"/>
        </w:rPr>
        <w:t xml:space="preserve">.</w:t>
      </w:r>
    </w:p>
    <w:p>
      <w:pPr>
        <w:spacing w:after="120" w:before="0" w:line="360"/>
        <w:ind w:firstLine="567"/>
        <w:jc w:val="both"/>
      </w:pPr>
      <w:r>
        <w:rPr>
          <w:rFonts w:ascii="Times New Roman" w:cs="Times New Roman" w:eastAsia="Times New Roman" w:hAnsi="Times New Roman"/>
          <w:sz w:val="24"/>
          <w:szCs w:val="24"/>
        </w:rPr>
        <w:t xml:space="preserve">A avaliação operacional, que corresponde às hipóteses H2 e H3, segue o protocolo seguinte: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Latência (H2).</w:t>
      </w:r>
      <w:r>
        <w:rPr>
          <w:rFonts w:ascii="Times New Roman" w:cs="Times New Roman" w:eastAsia="Times New Roman" w:hAnsi="Times New Roman"/>
          <w:sz w:val="24"/>
          <w:szCs w:val="24"/>
        </w:rPr>
        <w:t xml:space="preserve"> O comando </w:t>
      </w:r>
      <w:r>
        <w:rPr>
          <w:rFonts w:ascii="Courier New" w:cs="Courier New" w:eastAsia="Courier New" w:hAnsi="Courier New"/>
          <w:sz w:val="21"/>
          <w:szCs w:val="21"/>
        </w:rPr>
        <w:t xml:space="preserve">medir-latencia</w:t>
      </w:r>
      <w:r>
        <w:rPr>
          <w:rFonts w:ascii="Times New Roman" w:cs="Times New Roman" w:eastAsia="Times New Roman" w:hAnsi="Times New Roman"/>
          <w:sz w:val="24"/>
          <w:szCs w:val="24"/>
        </w:rPr>
        <w:t xml:space="preserve"> importa, anonimiza e classifica um lote numa base de dados temporária e reporta a mediana do tempo total e por publicação. O sistema regista ainda, para cada publicação, o intervalo entre a importação e a classificação (mediana e percentil 95). Estas medidas cobrem o processamento interno; o intervalo entre a publicação original e a recolha depende da frequência de recolha e deve ser reportado à parte.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Utilidade da fila.</w:t>
      </w:r>
      <w:r>
        <w:rPr>
          <w:rFonts w:ascii="Times New Roman" w:cs="Times New Roman" w:eastAsia="Times New Roman" w:hAnsi="Times New Roman"/>
          <w:sz w:val="24"/>
          <w:szCs w:val="24"/>
        </w:rPr>
        <w:t xml:space="preserve"> Num lote novo, nunca usado no treino, e com a revisão cega activa, pelo menos dois analistas revêem a fila por ordem, de forma independente. Calcula-se a precisão nos primeiros K itens (K = 10, 25, 50, 100), a concordância e o κ entre cada analista e o sistema, e o κ entre analistas. Para estimar a sensibilidade, os analistas revêem também a amostra de controlo de itens classificados como Normal; a fracção considerada ameaça é reportada com IC 95% de Wilson.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Antecedência (H3).</w:t>
      </w:r>
      <w:r>
        <w:rPr>
          <w:rFonts w:ascii="Times New Roman" w:cs="Times New Roman" w:eastAsia="Times New Roman" w:hAnsi="Times New Roman"/>
          <w:sz w:val="24"/>
          <w:szCs w:val="24"/>
        </w:rPr>
        <w:t xml:space="preserve"> Exige um corpus com datas de publicação em torno de eventos documentados, dividido cronologicamente (treino anterior ao período de teste), e uma lista de eventos de referência independente do corpus. Sem estes elementos, qualquer medida de antecedência seria circular.</w:t>
      </w:r>
    </w:p>
    <w:p>
      <w:pPr>
        <w:pStyle w:val="Heading2"/>
        <w:keepNext/>
        <w:keepLines/>
        <w:spacing w:after="160" w:before="360" w:line="300"/>
      </w:pPr>
      <w:r>
        <w:rPr>
          <w:rFonts w:ascii="Times New Roman" w:cs="Times New Roman" w:eastAsia="Times New Roman" w:hAnsi="Times New Roman"/>
          <w:b/>
          <w:bCs/>
          <w:sz w:val="26"/>
          <w:szCs w:val="26"/>
        </w:rPr>
        <w:t xml:space="preserve">3.10 Plano de implementação faseada</w:t>
      </w:r>
    </w:p>
    <w:p>
      <w:pPr>
        <w:spacing w:after="120" w:before="0" w:line="360"/>
        <w:ind w:firstLine="567"/>
        <w:jc w:val="both"/>
      </w:pPr>
      <w:r>
        <w:rPr>
          <w:rFonts w:ascii="Times New Roman" w:cs="Times New Roman" w:eastAsia="Times New Roman" w:hAnsi="Times New Roman"/>
          <w:sz w:val="24"/>
          <w:szCs w:val="24"/>
        </w:rPr>
        <w:t xml:space="preserve">A passagem do protótipo a uma ferramenta institucional deve ser gradual e condicionada a resultados. A Tabela 3.5 propõe três fases.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3.5 – Plano de implementação faseada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8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Fase</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Actividades</w:t>
            </w:r>
          </w:p>
        </w:tc>
        <w:tc>
          <w:tcPr>
            <w:tcW w:type="dxa" w:w="2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Condição para avançar</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 Piloto académico</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Novo treino do BERTimbau; medição da latência; avaliação da fila com analistas num lote novo; parecer jurídico</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 nos primeiros 50 itens e κ analista–sistema aceites pela instituição; parecer favorável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 – Piloto institucional</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em servidor próprio; formação de analistas; recolha agendada; ampliação do corpus angolano com revisões</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 independente; desempenho em conteúdo angolano medido e reportado por categoria</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 – Consolidação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adaptado ao domínio angolano; extensão a outras plataformas por vias oficiais; procedimentos de supervisão</w:t>
            </w:r>
          </w:p>
        </w:tc>
        <w:tc>
          <w:tcPr>
            <w:tcW w:type="dxa" w:w="2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Quadro normativo para uso de IA em segurança; revisão periódica do impacto</w:t>
            </w:r>
          </w:p>
        </w:tc>
      </w:tr>
    </w:tbl>
    <w:p>
      <w:pPr>
        <w:spacing w:after="240" w:before="60" w:line="240"/>
        <w:jc w:val="both"/>
      </w:pPr>
    </w:p>
    <w:p>
      <w:pPr>
        <w:sectPr>
          <w:headerReference w:type="default" r:id="rId17"/>
          <w:footerReference w:type="default" r:id="rId1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4 – RESULTADOS E DISCUSSÃO</w:t>
      </w:r>
    </w:p>
    <w:p>
      <w:pPr>
        <w:spacing w:after="120" w:before="0" w:line="360"/>
        <w:ind w:firstLine="567"/>
        <w:jc w:val="both"/>
      </w:pPr>
      <w:r>
        <w:rPr>
          <w:rFonts w:ascii="Times New Roman" w:cs="Times New Roman" w:eastAsia="Times New Roman" w:hAnsi="Times New Roman"/>
          <w:sz w:val="24"/>
          <w:szCs w:val="24"/>
        </w:rPr>
        <w:t xml:space="preserve">Este capítulo apresenta os resultados experimentais obtidos com o corpus híbrido harmonizado (versão v13) e verifica formalmente as hipóteses formuladas na Secção 1.3. Todos os valores foram recalculados a partir das previsões guardadas de cada modelo no conjunto de teste e reproduzem os ficheiros de métricas gerados pelo pipeline. A Secção 4.1 descreve o protocolo de avaliação; as Secções 4.2 a 4.5 apresentam o desempenho global, a significância estatística, o desempenho por categoria e as análises de robustez; a Secção 4.6 testa a lacuna de domínio entre o piloto angolano e o corpus público (H4); a Secção 4.7 discute o estado da avaliação operacional (H2 e H3); e a Secção 4.8 sintetiza a verificação das hipóteses.</w:t>
      </w:r>
    </w:p>
    <w:p>
      <w:pPr>
        <w:spacing w:after="120" w:before="0" w:line="360"/>
        <w:ind w:firstLine="567"/>
        <w:jc w:val="both"/>
      </w:pPr>
      <w:r>
        <w:rPr>
          <w:rFonts w:ascii="Times New Roman" w:cs="Times New Roman" w:eastAsia="Times New Roman" w:hAnsi="Times New Roman"/>
          <w:sz w:val="24"/>
          <w:szCs w:val="24"/>
        </w:rPr>
        <w:t xml:space="preserve">As categorias são designadas, em tabelas e figuras, pelos rótulos usados no pipeline: Normal, Desinformacao, Odio (Discurso de Ódio) e Mobilizacao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4.1 Corpus de avaliação e protocolo experimental</w:t>
      </w:r>
    </w:p>
    <w:p>
      <w:pPr>
        <w:spacing w:after="120" w:before="0" w:line="360"/>
        <w:ind w:firstLine="567"/>
        <w:jc w:val="both"/>
      </w:pPr>
      <w:r>
        <w:rPr>
          <w:rFonts w:ascii="Times New Roman" w:cs="Times New Roman" w:eastAsia="Times New Roman" w:hAnsi="Times New Roman"/>
          <w:sz w:val="24"/>
          <w:szCs w:val="24"/>
        </w:rPr>
        <w:t xml:space="preserve">O corpus de treino e avaliação resulta da harmonização de três corpora públicos em português (ToLD-BR, Fake.br e HateBR) com o piloto angolano anotado nesta investigação. Após a remoção de 238 duplicados, o corpus contém 26.859 registos, distribuídos conforme a Tabela 4.1.</w:t>
      </w:r>
    </w:p>
    <w:p>
      <w:pPr>
        <w:pStyle w:val="LegendaTabela"/>
        <w:keepNext/>
        <w:spacing w:after="80" w:before="240" w:line="240"/>
        <w:jc w:val="center"/>
      </w:pPr>
      <w:r>
        <w:rPr>
          <w:rFonts w:ascii="Times New Roman" w:cs="Times New Roman" w:eastAsia="Times New Roman" w:hAnsi="Times New Roman"/>
          <w:b/>
          <w:bCs/>
          <w:sz w:val="20"/>
          <w:szCs w:val="20"/>
        </w:rPr>
        <w:t xml:space="preserve">Tabela 4.1 – Composição do corpus harmonizado por fonte e categoria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100"/>
        <w:gridCol w:w="1300"/>
        <w:gridCol w:w="12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Fonte</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Normal</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Desinformacao</w:t>
            </w:r>
          </w:p>
        </w:tc>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Odio</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Mobilizacao</w:t>
            </w:r>
          </w:p>
        </w:tc>
        <w:tc>
          <w:tcPr>
            <w:tcW w:type="dxa" w:w="1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Total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ToLD-BR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11.682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1.027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12.709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Fake.br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7.199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HateBR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2.195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4.378</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1.613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318</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2.573</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19.090</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3.917</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3.493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359</w:t>
            </w:r>
          </w:p>
        </w:tc>
        <w:tc>
          <w:tcPr>
            <w:tcW w:type="dxa" w:w="1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26.859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após deduplicação (27.097 → 26.859). A categoria Mobilizacao existe apenas no piloto angolano. O piloto inclui 2.288 comentários públicos obtidos por amostragem aleatória e 285 itens de lotes enriquecidos (194 por selecção temática de vídeos e 91 por léxico), usados exclusivamente no treino.</w:t>
      </w:r>
    </w:p>
    <w:p>
      <w:pPr>
        <w:spacing w:after="120" w:before="0" w:line="360"/>
        <w:ind w:firstLine="567"/>
        <w:jc w:val="both"/>
      </w:pPr>
      <w:r>
        <w:rPr>
          <w:rFonts w:ascii="Times New Roman" w:cs="Times New Roman" w:eastAsia="Times New Roman" w:hAnsi="Times New Roman"/>
          <w:sz w:val="24"/>
          <w:szCs w:val="24"/>
        </w:rPr>
        <w:t xml:space="preserve">Três decisões de protocolo condicionam a leitura dos resultados. Primeiro, os lotes enriquecidos do piloto entraram apenas no treino: a sua selecção não foi aleatória e a sua inclusão nos conjuntos de avaliação inflacionaria as métricas. Segundo, a escolha de configurações e variantes foi feita no conjunto de validação, nunca no de teste. Terceiro, os resultados são reportados tal como saíram de cada execução, sem selecção de sementes ou de variantes pelo desempenho no teste.</w:t>
      </w:r>
    </w:p>
    <w:p>
      <w:pPr>
        <w:spacing w:after="120" w:before="0" w:line="360"/>
        <w:ind w:firstLine="567"/>
        <w:jc w:val="both"/>
      </w:pPr>
      <w:r>
        <w:rPr>
          <w:rFonts w:ascii="Times New Roman" w:cs="Times New Roman" w:eastAsia="Times New Roman" w:hAnsi="Times New Roman"/>
          <w:sz w:val="24"/>
          <w:szCs w:val="24"/>
        </w:rPr>
        <w:t xml:space="preserve">O conjunto de validação contém 3.986 itens e o de teste 3.987 itens (Normal 2.843; Desinformacao 580; Odio 517; Mobilizacao 47). Dos itens de teste, 355 (8,9%) provêm do piloto angolano e 3.632 (91,1%) dos corpora públicos brasileiros. Esta composição significa que as métricas globais descrevem sobretudo o desempenho em conteúdo brasileiro; o desempenho em conteúdo angolano é analisado separadamente na Secção 4.6.</w:t>
      </w:r>
    </w:p>
    <w:p>
      <w:pPr>
        <w:spacing w:after="120" w:before="0" w:line="360"/>
        <w:ind w:firstLine="567"/>
        <w:jc w:val="both"/>
      </w:pPr>
      <w:r>
        <w:rPr>
          <w:rFonts w:ascii="Times New Roman" w:cs="Times New Roman" w:eastAsia="Times New Roman" w:hAnsi="Times New Roman"/>
          <w:sz w:val="24"/>
          <w:szCs w:val="24"/>
        </w:rPr>
        <w:t xml:space="preserve">A métrica principal é o F1-macro, que atribui o mesmo peso às quatro categorias e, por isso, não é dominada pela classe Normal. Reportam-se também o F1 ponderado, a exactidão, o Kappa de Cohen entre as previsões e a referência, e a AUC-ROC média das quatro curvas um-contra-todos. Os intervalos de confiança a 95% (IC 95%) foram obtidos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com 2.000 reamostragens do conjunto de teste. As comparações entre modelos usam o teste de McNemar com correcção de continuidade sobre os acertos e erros emparelhados, com correcção de Bonferroni para as seis comparações entre os quatro modelos (α corrigido = 0,0083); a diferença de F1-macro entre pares é acompanhada do respectivo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Heading2"/>
        <w:keepNext/>
        <w:keepLines/>
        <w:spacing w:after="160" w:before="360" w:line="300"/>
      </w:pPr>
      <w:r>
        <w:rPr>
          <w:rFonts w:ascii="Times New Roman" w:cs="Times New Roman" w:eastAsia="Times New Roman" w:hAnsi="Times New Roman"/>
          <w:b/>
          <w:bCs/>
          <w:sz w:val="26"/>
          <w:szCs w:val="26"/>
        </w:rPr>
        <w:t xml:space="preserve">4.2 Desempenho global dos modelos</w:t>
      </w:r>
    </w:p>
    <w:p>
      <w:pPr>
        <w:spacing w:after="120" w:before="0" w:line="360"/>
        <w:ind w:firstLine="567"/>
        <w:jc w:val="both"/>
      </w:pPr>
      <w:r>
        <w:rPr>
          <w:rFonts w:ascii="Times New Roman" w:cs="Times New Roman" w:eastAsia="Times New Roman" w:hAnsi="Times New Roman"/>
          <w:sz w:val="24"/>
          <w:szCs w:val="24"/>
        </w:rPr>
        <w:t xml:space="preserve">A Tabela 4.2 apresenta o desempenho dos quatro modelos no conjunto de teste, sem ajuste de limiares de decisão.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4.2 – Desempenho dos modelos no conjunto de teste</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050"/>
        <w:gridCol w:w="1000"/>
        <w:gridCol w:w="900"/>
        <w:gridCol w:w="1770"/>
      </w:tblGrid>
      <w:tr>
        <w:trPr>
          <w:cantSplit/>
          <w:tblHeader/>
        </w:trPr>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10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ponderado</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Exactidão</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Kappa (κ)</w:t>
            </w:r>
          </w:p>
        </w:tc>
        <w:tc>
          <w:tcPr>
            <w:tcW w:type="dxa" w:w="177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AUC-ROC [IC 95%]</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[0,621; 0,694]</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0,624</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0,906 [0,891; 0,919]</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 [0,606; 0,657]</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0,566</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0,909 [0,900; 0,917]</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[0,628; 0,689]</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0,819</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0,621</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0,915 [0,901; 0,926]</w:t>
            </w:r>
          </w:p>
        </w:tc>
      </w:tr>
      <w:tr>
        <w:trPr>
          <w:cantSplit/>
          <w:tblHeader w:val="false"/>
        </w:trPr>
        <w:tc>
          <w:tcPr>
            <w:tcW w:type="dxa" w:w="16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BERTimbau</w:t>
            </w:r>
          </w:p>
        </w:tc>
        <w:tc>
          <w:tcPr>
            <w:tcW w:type="dxa" w:w="1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05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10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0,832</w:t>
            </w:r>
          </w:p>
        </w:tc>
        <w:tc>
          <w:tcPr>
            <w:tcW w:type="dxa" w:w="177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0,979 [0,973; 0,983]</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AUC-ROC: média das quatro AUC um-contra-todos.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(2.000 reamostragens para o F1; 1.000 para a AUC). BERTimbau com ajuste fino, semente 42 (configuração de referência).</w:t>
      </w:r>
    </w:p>
    <w:p>
      <w:pPr>
        <w:spacing w:after="120" w:before="0" w:line="360"/>
        <w:ind w:firstLine="567"/>
        <w:jc w:val="both"/>
      </w:pPr>
      <w:r>
        <w:rPr>
          <w:rFonts w:ascii="Times New Roman" w:cs="Times New Roman" w:eastAsia="Times New Roman" w:hAnsi="Times New Roman"/>
          <w:sz w:val="24"/>
          <w:szCs w:val="24"/>
        </w:rPr>
        <w:t xml:space="preserve">O BERTimbau obteve F1-macro de 0,807 (IC 95% [0,774; 0,838]), entre 14,6 e 17,4 pontos percentuais (p.p.) acima dos restantes modelos, cujos F1-macro se situam entre 0,633 e 0,660. O intervalo de confiança do BERTimbau não se sobrepõe ao de nenhum outro modelo. A mesma ordenação verifica-se no Kappa (0,832 contra 0,566–0,624) e na AUC-ROC (0,979 contra 0,906–0,915).</w:t>
      </w:r>
    </w:p>
    <w:p>
      <w:pPr>
        <w:spacing w:after="120" w:before="0" w:line="360"/>
        <w:ind w:firstLine="567"/>
        <w:jc w:val="both"/>
      </w:pPr>
      <w:r>
        <w:rPr>
          <w:rFonts w:ascii="Times New Roman" w:cs="Times New Roman" w:eastAsia="Times New Roman" w:hAnsi="Times New Roman"/>
          <w:sz w:val="24"/>
          <w:szCs w:val="24"/>
        </w:rPr>
        <w:t xml:space="preserve">A distância entre o F1 ponderado (0,924) e o F1-macro (0,807) do BERTimbau resulta do desequilíbrio das classes: o F1 ponderado é dominado pela classe Normal, que representa 71,3% do teste, enquanto o F1-macro dá à Mobilizacao (1,2% do teste) o mesmo peso das outras categorias. Por esta razão, o F1-macro é a métrica usada na verificação das hipóteses. A Figura 4.1 apresenta as curvas ROC de cada modelo por categoria.</w:t>
      </w:r>
    </w:p>
    <w:p>
      <w:pPr>
        <w:keepNext/>
        <w:spacing w:after="40" w:before="160"/>
        <w:jc w:val="center"/>
      </w:pPr>
      <w:r>
        <w:drawing>
          <wp:inline distT="0" distB="0" distL="0" distR="0">
            <wp:extent cx="5581650" cy="1581150"/>
            <wp:effectExtent t="0" r="0" b="0" l="0"/>
            <wp:docPr id="1" name="fig4_1_roc.png" descr="fig4_1_roc.png" title="fig4_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1650" cy="15811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4.1 – Curvas ROC um-contra-todos por categoria e modelo (conjunto de teste; AUC entre parêntesis)</w:t>
      </w:r>
    </w:p>
    <w:p>
      <w:pPr>
        <w:spacing w:after="120" w:before="0" w:line="360"/>
        <w:ind w:firstLine="567"/>
        <w:jc w:val="both"/>
      </w:pPr>
      <w:r>
        <w:rPr>
          <w:rFonts w:ascii="Times New Roman" w:cs="Times New Roman" w:eastAsia="Times New Roman" w:hAnsi="Times New Roman"/>
          <w:sz w:val="24"/>
          <w:szCs w:val="24"/>
        </w:rPr>
        <w:t xml:space="preserve">As curvas mostram que a vantagem do BERTimbau se concentra nas categorias Normal e Odio, onde as AUC dos restantes modelos descem para 0,837–0,882. Na Desinformacao, todos os modelos ultrapassam 0,96, um resultado cuja interpretação é revista na Secção 4.6. Na Mobilizacao, as AUC são elevadas (0,924–0,973), mas assentam em apenas 47 exemplos positivos, pelo que as curvas apresentam degraus largos e a estimativa é instável.</w:t>
      </w:r>
    </w:p>
    <w:p>
      <w:pPr>
        <w:pStyle w:val="Heading2"/>
        <w:keepNext/>
        <w:keepLines/>
        <w:spacing w:after="160" w:before="360" w:line="300"/>
      </w:pPr>
      <w:r>
        <w:rPr>
          <w:rFonts w:ascii="Times New Roman" w:cs="Times New Roman" w:eastAsia="Times New Roman" w:hAnsi="Times New Roman"/>
          <w:b/>
          <w:bCs/>
          <w:sz w:val="26"/>
          <w:szCs w:val="26"/>
        </w:rPr>
        <w:t xml:space="preserve">4.3 Significância estatística das diferenças</w:t>
      </w:r>
    </w:p>
    <w:p>
      <w:pPr>
        <w:spacing w:after="120" w:before="0" w:line="360"/>
        <w:ind w:firstLine="567"/>
        <w:jc w:val="both"/>
      </w:pPr>
      <w:r>
        <w:rPr>
          <w:rFonts w:ascii="Times New Roman" w:cs="Times New Roman" w:eastAsia="Times New Roman" w:hAnsi="Times New Roman"/>
          <w:sz w:val="24"/>
          <w:szCs w:val="24"/>
        </w:rPr>
        <w:t xml:space="preserve">A Tabela 4.3 apresenta as seis comparações emparelhadas entre os quatro modelos. As colunas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indicam, respectivamente, o número de itens que apenas o primeiro modelo do par classificou correctamente e o número de itens que apenas o segundo classificou correctamente.</w:t>
      </w:r>
    </w:p>
    <w:p>
      <w:pPr>
        <w:pStyle w:val="LegendaTabela"/>
        <w:keepNext/>
        <w:spacing w:after="80" w:before="240" w:line="240"/>
        <w:jc w:val="center"/>
      </w:pPr>
      <w:r>
        <w:rPr>
          <w:rFonts w:ascii="Times New Roman" w:cs="Times New Roman" w:eastAsia="Times New Roman" w:hAnsi="Times New Roman"/>
          <w:b/>
          <w:bCs/>
          <w:sz w:val="20"/>
          <w:szCs w:val="20"/>
        </w:rPr>
        <w:t xml:space="preserve">Tabela 4.3 – Comparações emparelhadas: diferença de F1-macro e teste de McNemar</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800"/>
        <w:gridCol w:w="1200"/>
        <w:gridCol w:w="8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Par</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ΔF1-macro, p.p. [IC 95%]</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 / c</w:t>
            </w:r>
          </w:p>
        </w:tc>
        <w:tc>
          <w:tcPr>
            <w:tcW w:type="dxa" w:w="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χ²</w:t>
            </w:r>
          </w:p>
        </w:tc>
        <w:tc>
          <w:tcPr>
            <w:tcW w:type="dxa" w:w="1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(Bonferroni)</w:t>
            </w:r>
          </w:p>
        </w:tc>
        <w:tc>
          <w:tcPr>
            <w:tcW w:type="dxa" w:w="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Signif.</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14,6 [10,9; 18,4]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529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273,43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10</w:t>
            </w:r>
            <w:r>
              <w:rPr>
                <w:rFonts w:ascii="Times New Roman" w:cs="Times New Roman" w:eastAsia="Times New Roman" w:hAnsi="Times New Roman"/>
                <w:b w:val="false"/>
                <w:bCs w:val="false"/>
                <w:sz w:val="19"/>
                <w:szCs w:val="19"/>
                <w:vertAlign w:val="superscript"/>
              </w:rPr>
              <w:t xml:space="preserve">-60</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14,8 [10,8; 18,8]</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473 / 115</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216,75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 10</w:t>
            </w:r>
            <w:r>
              <w:rPr>
                <w:rFonts w:ascii="Times New Roman" w:cs="Times New Roman" w:eastAsia="Times New Roman" w:hAnsi="Times New Roman"/>
                <w:b w:val="false"/>
                <w:bCs w:val="false"/>
                <w:sz w:val="19"/>
                <w:szCs w:val="19"/>
                <w:vertAlign w:val="superscript"/>
              </w:rPr>
              <w:t xml:space="preserve">-48</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17,4 [14,4; 20,4]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714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441,27</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 × 10</w:t>
            </w:r>
            <w:r>
              <w:rPr>
                <w:rFonts w:ascii="Times New Roman" w:cs="Times New Roman" w:eastAsia="Times New Roman" w:hAnsi="Times New Roman"/>
                <w:b w:val="false"/>
                <w:bCs w:val="false"/>
                <w:sz w:val="19"/>
                <w:szCs w:val="19"/>
                <w:vertAlign w:val="superscript"/>
              </w:rPr>
              <w:t xml:space="preserve">-97</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 [-4,0; 4,2]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348 / 409</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0,175</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[-0,3; 5,7]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519 / 334</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39,69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1,8 × 10</w:t>
            </w:r>
            <w:r>
              <w:rPr>
                <w:rFonts w:ascii="Times New Roman" w:cs="Times New Roman" w:eastAsia="Times New Roman" w:hAnsi="Times New Roman"/>
                <w:b w:val="false"/>
                <w:bCs w:val="false"/>
                <w:sz w:val="19"/>
                <w:szCs w:val="19"/>
                <w:vertAlign w:val="superscript"/>
              </w:rPr>
              <w:t xml:space="preserve">-9</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 vs. SVM</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2,6 [-0,9; 6,0]</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524 / 278</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74,84</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 × 10</w:t>
            </w:r>
            <w:r>
              <w:rPr>
                <w:rFonts w:ascii="Times New Roman" w:cs="Times New Roman" w:eastAsia="Times New Roman" w:hAnsi="Times New Roman"/>
                <w:b w:val="false"/>
                <w:bCs w:val="false"/>
                <w:sz w:val="19"/>
                <w:szCs w:val="19"/>
                <w:vertAlign w:val="superscript"/>
              </w:rPr>
              <w:t xml:space="preserve">-17</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ΔF1 = F1-macro do primeiro modelo menos F1-macro do segundo. p (Bonferroni) = p do teste de McNemar multiplicado por 6 (limitado a 1). O teste de McNemar compara as proporções de acertos e erros; não testa directamente o F1-macro, razão pela qual se apresenta também o IC da diferença de F1.</w:t>
      </w:r>
    </w:p>
    <w:p>
      <w:pPr>
        <w:spacing w:after="120" w:before="0" w:line="360"/>
        <w:ind w:firstLine="567"/>
        <w:jc w:val="both"/>
      </w:pPr>
      <w:r>
        <w:rPr>
          <w:rFonts w:ascii="Times New Roman" w:cs="Times New Roman" w:eastAsia="Times New Roman" w:hAnsi="Times New Roman"/>
          <w:sz w:val="24"/>
          <w:szCs w:val="24"/>
        </w:rPr>
        <w:t xml:space="preserve">O BERTimbau supera os três modelos de referência com diferenças de F1-macro entre 14,6 e 17,4 p.p., cujos intervalos de confiança excluem largamente o zero, e com p corrigido inferior a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em todos os casos. Em cada par, o número de itens que só o BERTimbau acerta (473–714) é 4,1 a 6,5 vezes superior ao número de itens que só o outro modelo acerta (110–115).</w:t>
      </w:r>
    </w:p>
    <w:p>
      <w:pPr>
        <w:spacing w:after="120" w:before="0" w:line="360"/>
        <w:ind w:firstLine="567"/>
        <w:jc w:val="both"/>
      </w:pPr>
      <w:r>
        <w:rPr>
          <w:rFonts w:ascii="Times New Roman" w:cs="Times New Roman" w:eastAsia="Times New Roman" w:hAnsi="Times New Roman"/>
          <w:sz w:val="24"/>
          <w:szCs w:val="24"/>
        </w:rPr>
        <w:t xml:space="preserve">Entre os modelos de referência, o quadro é diferente. O Bi-LSTM e a Floresta Aleatória têm F1-macro praticamente iguais (ΔF1 = 0,2 p.p., IC 95% [-4,0; 4,2]) e a diferença nos acertos não é significativa após correcção (p = 0,175); a Floresta Aleatória acerta, aliás, mais itens isolados do que o Bi-LSTM (409 contra 348). O Bi-LSTM e a Floresta Aleatória acertam significativamente mais itens do que o SVM, mas as diferenças de F1-macro (2,8 e 2,6 p.p.) têm intervalos que incluem o zero. Em síntese, apenas o BERTimbau se distingue dos restantes; o Bi-LSTM não apresenta vantagem consistente sobre os modelos clássicos neste corpus.</w:t>
      </w:r>
    </w:p>
    <w:p>
      <w:pPr>
        <w:pStyle w:val="Heading2"/>
        <w:keepNext/>
        <w:keepLines/>
        <w:spacing w:after="160" w:before="360" w:line="300"/>
      </w:pPr>
      <w:r>
        <w:rPr>
          <w:rFonts w:ascii="Times New Roman" w:cs="Times New Roman" w:eastAsia="Times New Roman" w:hAnsi="Times New Roman"/>
          <w:b/>
          <w:bCs/>
          <w:sz w:val="26"/>
          <w:szCs w:val="26"/>
        </w:rPr>
        <w:t xml:space="preserve">4.4 Desempenho por categoria e análise de erros</w:t>
      </w:r>
    </w:p>
    <w:p>
      <w:pPr>
        <w:spacing w:after="120" w:before="0" w:line="360"/>
        <w:ind w:firstLine="567"/>
        <w:jc w:val="both"/>
      </w:pPr>
      <w:r>
        <w:rPr>
          <w:rFonts w:ascii="Times New Roman" w:cs="Times New Roman" w:eastAsia="Times New Roman" w:hAnsi="Times New Roman"/>
          <w:sz w:val="24"/>
          <w:szCs w:val="24"/>
        </w:rPr>
        <w:t xml:space="preserve">A Tabela 4.4 desagrega o F1 por categoria. Para o BERTimbau, apresentam-se também a precisão, a sensibilidade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 o IC 95% do F1 de cada categoria.</w:t>
      </w:r>
    </w:p>
    <w:p>
      <w:pPr>
        <w:pStyle w:val="LegendaTabela"/>
        <w:keepNext/>
        <w:spacing w:after="80" w:before="240" w:line="240"/>
        <w:jc w:val="center"/>
      </w:pPr>
      <w:r>
        <w:rPr>
          <w:rFonts w:ascii="Times New Roman" w:cs="Times New Roman" w:eastAsia="Times New Roman" w:hAnsi="Times New Roman"/>
          <w:b/>
          <w:bCs/>
          <w:sz w:val="20"/>
          <w:szCs w:val="20"/>
        </w:rPr>
        <w:t xml:space="preserve">Tabela 4.4 – F1 por categoria e modelo; precisão e sensibilidade do BERTimbau</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950"/>
        <w:gridCol w:w="700"/>
        <w:gridCol w:w="850"/>
        <w:gridCol w:w="1650"/>
        <w:gridCol w:w="1060"/>
        <w:gridCol w:w="1060"/>
      </w:tblGrid>
      <w:tr>
        <w:trPr>
          <w:cantSplit/>
          <w:tblHeader/>
        </w:trPr>
        <w:tc>
          <w:tcPr>
            <w:tcW w:type="dxa" w:w="1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 Aleatória</w:t>
            </w:r>
          </w:p>
        </w:tc>
        <w:tc>
          <w:tcPr>
            <w:tcW w:type="dxa" w:w="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SVM</w:t>
            </w:r>
          </w:p>
        </w:tc>
        <w:tc>
          <w:tcPr>
            <w:tcW w:type="dxa" w:w="8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Bi-LSTM</w:t>
            </w:r>
          </w:p>
        </w:tc>
        <w:tc>
          <w:tcPr>
            <w:tcW w:type="dxa" w:w="16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BERTimbau F1 [IC 95%]</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Precisão ᵃ</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Sensib. ᵃ</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 (n = 2.843)</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0,889</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0,952</w:t>
            </w:r>
            <w:r>
              <w:rPr>
                <w:rFonts w:ascii="Times New Roman" w:cs="Times New Roman" w:eastAsia="Times New Roman" w:hAnsi="Times New Roman"/>
                <w:b w:val="false"/>
                <w:bCs w:val="false"/>
                <w:sz w:val="19"/>
                <w:szCs w:val="19"/>
              </w:rPr>
              <w:t xml:space="preserve"> [0,95;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0,952</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0,951</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Desinformacao (n = 580)</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0,947</w:t>
            </w:r>
            <w:r>
              <w:rPr>
                <w:rFonts w:ascii="Times New Roman" w:cs="Times New Roman" w:eastAsia="Times New Roman" w:hAnsi="Times New Roman"/>
                <w:b w:val="false"/>
                <w:bCs w:val="false"/>
                <w:sz w:val="19"/>
                <w:szCs w:val="19"/>
              </w:rPr>
              <w:t xml:space="preserve"> [0,93;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0,947</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0,948</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Odio (n = 517)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0,455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0,497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0,585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0,778</w:t>
            </w:r>
            <w:r>
              <w:rPr>
                <w:rFonts w:ascii="Times New Roman" w:cs="Times New Roman" w:eastAsia="Times New Roman" w:hAnsi="Times New Roman"/>
                <w:b w:val="false"/>
                <w:bCs w:val="false"/>
                <w:sz w:val="19"/>
                <w:szCs w:val="19"/>
              </w:rPr>
              <w:t xml:space="preserve"> [0,75; 0,80]</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0,783</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0,774</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Mobilizacao (n = 47)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0,326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0,367</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0,549</w:t>
            </w:r>
            <w:r>
              <w:rPr>
                <w:rFonts w:ascii="Times New Roman" w:cs="Times New Roman" w:eastAsia="Times New Roman" w:hAnsi="Times New Roman"/>
                <w:b w:val="false"/>
                <w:bCs w:val="false"/>
                <w:sz w:val="19"/>
                <w:szCs w:val="19"/>
              </w:rPr>
              <w:t xml:space="preserve"> [0,42; 0,66]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0,509</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0,596</w:t>
            </w:r>
          </w:p>
        </w:tc>
      </w:tr>
      <w:tr>
        <w:trPr>
          <w:cantSplit/>
          <w:tblHeader w:val="false"/>
        </w:trPr>
        <w:tc>
          <w:tcPr>
            <w:tcW w:type="dxa" w:w="1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F1-macro</w:t>
            </w:r>
          </w:p>
        </w:tc>
        <w:tc>
          <w:tcPr>
            <w:tcW w:type="dxa" w:w="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w:t>
            </w:r>
          </w:p>
        </w:tc>
        <w:tc>
          <w:tcPr>
            <w:tcW w:type="dxa" w:w="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w:t>
            </w:r>
          </w:p>
        </w:tc>
        <w:tc>
          <w:tcPr>
            <w:tcW w:type="dxa" w:w="8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0,807</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0,798</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ᵃ Precisão e sensibilidade do BERTimbau; na última linha, médias macro.</w:t>
      </w:r>
    </w:p>
    <w:p>
      <w:pPr>
        <w:spacing w:after="120" w:before="0" w:line="360"/>
        <w:ind w:firstLine="567"/>
        <w:jc w:val="both"/>
      </w:pPr>
      <w:r>
        <w:rPr>
          <w:rFonts w:ascii="Times New Roman" w:cs="Times New Roman" w:eastAsia="Times New Roman" w:hAnsi="Times New Roman"/>
          <w:sz w:val="24"/>
          <w:szCs w:val="24"/>
        </w:rPr>
        <w:t xml:space="preserve">O BERTimbau alcança F1 de 0,952 na Normal e 0,947 na Desinformacao, 0,778 no Odio e 0,549 na Mobilizacao. A vantagem sobre os modelos de referência é maior no Odio (0,778 contra 0,455–0,585), categoria em que a Floresta Aleatória classifica como Normal a maioria dos itens de ódio, e na Mobilizacao (0,549 contra 0,326–0,368). Na Desinformacao, a diferença é menor (0,947 contra 0,815–0,922), porque todos os modelos obtêm valores elevados nesta categoria.</w:t>
      </w:r>
    </w:p>
    <w:p>
      <w:pPr>
        <w:spacing w:after="120" w:before="0" w:line="360"/>
        <w:ind w:firstLine="567"/>
        <w:jc w:val="both"/>
      </w:pPr>
      <w:r>
        <w:rPr>
          <w:rFonts w:ascii="Times New Roman" w:cs="Times New Roman" w:eastAsia="Times New Roman" w:hAnsi="Times New Roman"/>
          <w:sz w:val="24"/>
          <w:szCs w:val="24"/>
        </w:rPr>
        <w:t xml:space="preserve">A Mobilizacao é a categoria de maior relevância operacional e a de estimativa menos precisa. O BERTimbau identificou 28 dos 47 itens de teste (sensibilidade de 0,596) e produziu 27 falsos positivos (precisão de 0,509). O IC 95% do F1 desta categoria, [0,42; 0,66], tem uma amplitude superior a 20 p.p., consequência directa do número reduzido de exemplos. A Figura 4.2 apresenta as matrizes de confusão dos quatro modelos.</w:t>
      </w:r>
    </w:p>
    <w:p>
      <w:pPr>
        <w:keepNext/>
        <w:spacing w:after="40" w:before="160"/>
        <w:jc w:val="center"/>
      </w:pPr>
      <w:r>
        <w:drawing>
          <wp:inline distT="0" distB="0" distL="0" distR="0">
            <wp:extent cx="5581650" cy="1533525"/>
            <wp:effectExtent t="0" r="0" b="0" l="0"/>
            <wp:docPr id="1" name="fig4_2_confusao.png" descr="fig4_2_confusao.png" title="fig4_2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1650" cy="15335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4.2 – Matrizes de confusão (4 × 4) no conjunto de teste (contagens e percentagem por linha)</w:t>
      </w:r>
    </w:p>
    <w:p>
      <w:pPr>
        <w:spacing w:after="120" w:before="0" w:line="360"/>
        <w:ind w:firstLine="567"/>
        <w:jc w:val="both"/>
      </w:pPr>
      <w:r>
        <w:rPr>
          <w:rFonts w:ascii="Times New Roman" w:cs="Times New Roman" w:eastAsia="Times New Roman" w:hAnsi="Times New Roman"/>
          <w:sz w:val="24"/>
          <w:szCs w:val="24"/>
        </w:rPr>
        <w:t xml:space="preserve">Três padrões de erro são comuns aos quatro modelos. O primeiro, e mais frequente, é a confusão entre Normal e Odio: no BERTimbau, 100 itens Normais foram classificados como Odio e 104 itens de Odio como Normais, o que corresponde a 20% dos itens de ódio. Trata-se de uma fronteira conceptualmente difícil, que envolve ódio implícito, ironia e insulto sem alvo identitário. O segundo padrão é a classificação de Mobilizacao como Normal (12 dos 47 itens no BERTimbau; 16 no Bi-LSTM, 24 na Floresta Aleatória e 7 no SVM), que reproduz a fronteira, assumida no Guia de Anotação, entre convocatória legítima e mobilização hostil. O terceiro padrão é a quase ausência de confusões que envolvam a Desinformacao nos corpora públicos, que se analisa na Secção 4.6.</w:t>
      </w:r>
    </w:p>
    <w:p>
      <w:pPr>
        <w:spacing w:after="120" w:before="0" w:line="360"/>
        <w:ind w:firstLine="567"/>
        <w:jc w:val="both"/>
      </w:pPr>
      <w:r>
        <w:rPr>
          <w:rFonts w:ascii="Times New Roman" w:cs="Times New Roman" w:eastAsia="Times New Roman" w:hAnsi="Times New Roman"/>
          <w:sz w:val="24"/>
          <w:szCs w:val="24"/>
        </w:rPr>
        <w:t xml:space="preserve">Do ponto de vista operacional, uma sensibilidade de cerca de 0,60 com precisão de cerca de 0,51 na Mobilizacao significa que o modelo deixa escapar aproximadamente quatro em cada dez itens desta categoria e que cerca de metade dos seus alertas desta categoria são falsos positivos. Estes valores são incompatíveis com qualquer uso automático das classificações e sustentam o desenho do sistema como ferramenta de triagem com revisão humana obrigatória (Secção 4.7).</w:t>
      </w:r>
    </w:p>
    <w:p>
      <w:pPr>
        <w:pStyle w:val="Heading2"/>
        <w:keepNext/>
        <w:keepLines/>
        <w:spacing w:after="160" w:before="360" w:line="300"/>
      </w:pPr>
      <w:r>
        <w:rPr>
          <w:rFonts w:ascii="Times New Roman" w:cs="Times New Roman" w:eastAsia="Times New Roman" w:hAnsi="Times New Roman"/>
          <w:b/>
          <w:bCs/>
          <w:sz w:val="26"/>
          <w:szCs w:val="26"/>
        </w:rPr>
        <w:t xml:space="preserve">4.5 Análises de robustez</w:t>
      </w:r>
    </w:p>
    <w:p>
      <w:pPr>
        <w:pStyle w:val="Heading3"/>
        <w:keepNext/>
        <w:spacing w:after="120" w:before="240"/>
      </w:pPr>
      <w:r>
        <w:rPr>
          <w:rFonts w:ascii="Times New Roman" w:cs="Times New Roman" w:eastAsia="Times New Roman" w:hAnsi="Times New Roman"/>
          <w:b/>
          <w:bCs/>
          <w:sz w:val="24"/>
          <w:szCs w:val="24"/>
        </w:rPr>
        <w:t xml:space="preserve">4.5.1 Variabilidade entre sementes, ensemble e ablações</w:t>
      </w:r>
    </w:p>
    <w:p>
      <w:pPr>
        <w:spacing w:after="120" w:before="0" w:line="360"/>
        <w:ind w:firstLine="567"/>
        <w:jc w:val="both"/>
      </w:pPr>
      <w:r>
        <w:rPr>
          <w:rFonts w:ascii="Times New Roman" w:cs="Times New Roman" w:eastAsia="Times New Roman" w:hAnsi="Times New Roman"/>
          <w:sz w:val="24"/>
          <w:szCs w:val="24"/>
        </w:rPr>
        <w:t xml:space="preserve">Para avaliar a estabilidade do resultado do BERTimbau, o ajuste fino foi repetido com três sementes aleatórias (42, 43 e 44) e foram testadas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enriquecido por selecção temática de vídeos (ablação) e pesos de classe suavizados (expoente 0,5 sobre o inverso da frequência). A Tabela 4.5 reúne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4.5 – Variantes do BERTimbau: validação, teste e comparação com a referência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000"/>
        <w:gridCol w:w="1250"/>
        <w:gridCol w:w="13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Variante</w:t>
            </w:r>
          </w:p>
        </w:tc>
        <w:tc>
          <w:tcPr>
            <w:tcW w:type="dxa" w:w="11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validação</w:t>
            </w:r>
          </w:p>
        </w:tc>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[IC 95%]</w:t>
            </w:r>
          </w:p>
        </w:tc>
        <w:tc>
          <w:tcPr>
            <w:tcW w:type="dxa" w:w="12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 (teste)</w:t>
            </w:r>
          </w:p>
        </w:tc>
        <w:tc>
          <w:tcPr>
            <w:tcW w:type="dxa" w:w="1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McNemar vs. referência</w:t>
            </w:r>
          </w:p>
        </w:tc>
      </w:tr>
      <w:tr>
        <w:trPr>
          <w:cantSplit/>
          <w:tblHeader w:val="false"/>
        </w:trPr>
        <w:tc>
          <w:tcPr>
            <w:tcW w:type="dxa" w:w="25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Referência (semente 42)</w:t>
            </w:r>
          </w:p>
        </w:tc>
        <w:tc>
          <w:tcPr>
            <w:tcW w:type="dxa" w:w="11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0,814</w:t>
            </w:r>
          </w:p>
        </w:tc>
        <w:tc>
          <w:tcPr>
            <w:tcW w:type="dxa" w:w="20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2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0,811</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0,785 [0,752; 0,816]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0,472</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0,059</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0,816</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0,801 [0,769;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0,002</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Ensemble (média das 3 sementes)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[0,775; 0,836]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0,545</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0,520</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 lote de vídeos temáticos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[0,765;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0,406</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Pesos de classe suavizados (0,5)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0,826</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[0,761; 0,832]</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1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Média ± desvio-padrão do F1-macro de teste nas três sementes: 0,797 ± 0,011. Valores de p sem correcção para comparações múltiplas.</w:t>
      </w:r>
    </w:p>
    <w:p>
      <w:pPr>
        <w:spacing w:after="120" w:before="0" w:line="360"/>
        <w:ind w:firstLine="567"/>
        <w:jc w:val="both"/>
      </w:pPr>
      <w:r>
        <w:rPr>
          <w:rFonts w:ascii="Times New Roman" w:cs="Times New Roman" w:eastAsia="Times New Roman" w:hAnsi="Times New Roman"/>
          <w:sz w:val="24"/>
          <w:szCs w:val="24"/>
        </w:rPr>
        <w:t xml:space="preserve">O F1-macro de teste varia entre 0,785 e 0,807 consoante a semente, com média de 0,797 ± 0,011. A semente 42 é a configuração de referência, definida antes das restantes execuções, mas é também a que obteve o valor de teste mais elevado; por isso, a média das três sementes (0,797) constitui a estimativa mais representativa do desempenho esperado do BERTimbau neste protocolo. A variabilidade concentra-se na Mobilizacao, cujo F1 oscila entre 0,472 e 0,549. Embora os F1-macro sejam próximos, as sementes 42 e 44 diferem significativamente nos itens que acertam (p = 0,002), o que confirma que, com 47 itens de Mobilizacao, as decisões individuais do modelo nesta categoria são sensíveis à inicialização.</w:t>
      </w:r>
    </w:p>
    <w:p>
      <w:pPr>
        <w:spacing w:after="120" w:before="0" w:line="360"/>
        <w:ind w:firstLine="567"/>
        <w:jc w:val="both"/>
      </w:pPr>
      <w:r>
        <w:rPr>
          <w:rFonts w:ascii="Times New Roman" w:cs="Times New Roman" w:eastAsia="Times New Roman" w:hAnsi="Times New Roman"/>
          <w:sz w:val="24"/>
          <w:szCs w:val="24"/>
        </w:rPr>
        <w:t xml:space="preserve">Nenhuma das variantes se distingue da referência no conjunto de teste (p &gt; 0,40). A variante com pesos suavizados obteve o melhor F1-macro de validação (0,826), mas no teste ficou em 0,799, com F1 de Mobilizacao inferior (0,518). De acordo com o critério fixado antes das experiências (adoptar uma variante apenas se esta se distinguir da referência), manteve-se a configuração de referência. A ablação do lote de vídeos temáticos reduziu o F1-macro de 0,807 para 0,799 e o F1 de Mobilizacao de 0,549 para 0,529, diferenças que não são estatisticamente distinguíveis (p = 0,41): o contributo desse lote existe na direcção esperada, mas não é demonstrável com a dimensão actual do teste.</w:t>
      </w:r>
    </w:p>
    <w:p>
      <w:pPr>
        <w:spacing w:after="120" w:before="0" w:line="360"/>
        <w:ind w:firstLine="567"/>
        <w:jc w:val="both"/>
      </w:pPr>
      <w:r>
        <w:rPr>
          <w:rFonts w:ascii="Times New Roman" w:cs="Times New Roman" w:eastAsia="Times New Roman" w:hAnsi="Times New Roman"/>
          <w:sz w:val="24"/>
          <w:szCs w:val="24"/>
        </w:rPr>
        <w:t xml:space="preserve">O modelo usado no protótipo do sistema (Secção 3.8) resulta de um novo treino com a configuração de referência, porque os pesos da corrida original não foram guardados. A divisão dos dados foi reconstruída e verificada item a item: as etiquetas de validação e de teste coincidem integralmente com as da corrida de referência. O novo modelo obteve F1-macro de 0,808 (IC 95% [0,773; 0,839]), contra 0,807 na referência; a diferença (0,1 p.p., IC 95% [-1,5; 1,8]) não é significativa (McNemar, p = 0,41), e os dois modelos dão a mesma previsão em 97,4% dos itens de teste. Os resultados deste capítulo referem-se à corrida de referência; o modelo do protótipo é, para efeitos práticos, equivalente.</w:t>
      </w:r>
    </w:p>
    <w:p>
      <w:pPr>
        <w:pStyle w:val="Heading3"/>
        <w:keepNext/>
        <w:spacing w:after="120" w:before="240"/>
      </w:pPr>
      <w:r>
        <w:rPr>
          <w:rFonts w:ascii="Times New Roman" w:cs="Times New Roman" w:eastAsia="Times New Roman" w:hAnsi="Times New Roman"/>
          <w:b/>
          <w:bCs/>
          <w:sz w:val="24"/>
          <w:szCs w:val="24"/>
        </w:rPr>
        <w:t xml:space="preserve">4.5.2 Ajuste de limiares de decisão</w:t>
      </w:r>
    </w:p>
    <w:p>
      <w:pPr>
        <w:spacing w:after="120" w:before="0" w:line="360"/>
        <w:ind w:firstLine="567"/>
        <w:jc w:val="both"/>
      </w:pPr>
      <w:r>
        <w:rPr>
          <w:rFonts w:ascii="Times New Roman" w:cs="Times New Roman" w:eastAsia="Times New Roman" w:hAnsi="Times New Roman"/>
          <w:sz w:val="24"/>
          <w:szCs w:val="24"/>
        </w:rPr>
        <w:t xml:space="preserve">Avaliou-se também o ajuste de vieses por classe sobre as log-probabilidades de cada modelo, escolhidos no conjunto de validação. Como os vieses são escolhidos nos mesmos dados em que se medem, o ganho na validação é optimista; por isso, o ganho esperado foi estimado por validação cruzada dentro do conjunto de validação e confirmado no teste (Tabela 4.6).</w:t>
      </w:r>
    </w:p>
    <w:p>
      <w:pPr>
        <w:pStyle w:val="LegendaTabela"/>
        <w:keepNext/>
        <w:spacing w:after="80" w:before="240" w:line="240"/>
        <w:jc w:val="center"/>
      </w:pPr>
      <w:r>
        <w:rPr>
          <w:rFonts w:ascii="Times New Roman" w:cs="Times New Roman" w:eastAsia="Times New Roman" w:hAnsi="Times New Roman"/>
          <w:b/>
          <w:bCs/>
          <w:sz w:val="20"/>
          <w:szCs w:val="20"/>
        </w:rPr>
        <w:t xml:space="preserve">Tabela 4.6 – Efeito do ajuste de limiares no F1-macro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700"/>
        <w:gridCol w:w="1520"/>
      </w:tblGrid>
      <w:tr>
        <w:trPr>
          <w:cantSplit/>
          <w:tblHeader/>
        </w:trPr>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Ganho esperado (VC), p.p.</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(sem → com)</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 teste, p.p. [IC 95%]</w:t>
            </w:r>
          </w:p>
        </w:tc>
        <w:tc>
          <w:tcPr>
            <w:tcW w:type="dxa" w:w="1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 0,799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 [-1,9; 0,3]</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 ± 0,7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 0,655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 [-3,1; 1,8]</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 0,648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 [-1,9; -0,4]</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 ± 0,7</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0,632 → 0,664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 [0,0; 5,9]</w:t>
            </w:r>
          </w:p>
        </w:tc>
        <w:tc>
          <w:tcPr>
            <w:tcW w:type="dxa" w:w="1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Análise de sensibilidade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VC: validação cruzada dentro do conjunto de validação (média ± desvio-padrão). Δ teste: diferença no conjunto de teste com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emparelhado.</w:t>
      </w:r>
    </w:p>
    <w:p>
      <w:pPr>
        <w:spacing w:after="120" w:before="0" w:line="360"/>
        <w:ind w:firstLine="567"/>
        <w:jc w:val="both"/>
      </w:pPr>
      <w:r>
        <w:rPr>
          <w:rFonts w:ascii="Times New Roman" w:cs="Times New Roman" w:eastAsia="Times New Roman" w:hAnsi="Times New Roman"/>
          <w:sz w:val="24"/>
          <w:szCs w:val="24"/>
        </w:rPr>
        <w:t xml:space="preserve">O ajuste não melhora o BERTimbau nem a Floresta Aleatória: o ganho esperado é negativo e confirma-se no teste. No Bi-LSTM, o ganho esperado positivo não se confirma no teste (IC inclui o zero). Apenas o SVM beneficia de forma consistente (+3,2 p.p., IC [0,0; 5,9]), passando para F1-macro de 0,664, valor que não altera a ordenação dos modelos. Por coerência, todas as tabelas deste capítulo reportam os modelos sem ajuste, e o valor ajustado do SVM é tratado apenas como análise de sensibilidade.</w:t>
      </w:r>
    </w:p>
    <w:p>
      <w:pPr>
        <w:pStyle w:val="Heading2"/>
        <w:keepNext/>
        <w:keepLines/>
        <w:spacing w:after="160" w:before="360" w:line="300"/>
      </w:pPr>
      <w:r>
        <w:rPr>
          <w:rFonts w:ascii="Times New Roman" w:cs="Times New Roman" w:eastAsia="Times New Roman" w:hAnsi="Times New Roman"/>
          <w:b/>
          <w:bCs/>
          <w:sz w:val="26"/>
          <w:szCs w:val="26"/>
        </w:rPr>
        <w:t xml:space="preserve">4.6 Lacuna de domínio: piloto angolano e corpus público (Hipótese H4)</w:t>
      </w:r>
    </w:p>
    <w:p>
      <w:pPr>
        <w:spacing w:after="120" w:before="0" w:line="360"/>
        <w:ind w:firstLine="567"/>
        <w:jc w:val="both"/>
      </w:pPr>
      <w:r>
        <w:rPr>
          <w:rFonts w:ascii="Times New Roman" w:cs="Times New Roman" w:eastAsia="Times New Roman" w:hAnsi="Times New Roman"/>
          <w:sz w:val="24"/>
          <w:szCs w:val="24"/>
        </w:rPr>
        <w:t xml:space="preserve">Conforme a formulação da Secção 1.3, testa-se se o desempenho do modelo seleccionado se degrada significativamente (ΔF1-macro ≥ 5 p.p.) em conteúdo angolano, comparando o subconjunto de teste proveniente do piloto angolano com o subconjunto proveniente dos corpora públicos. A Tabela 4.7 e a Figura 4.3 apresentam os resultados do BERTimbau em cada subconjunto.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4.7 – Desempenho do BERTimbau no piloto angolano e no corpus público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600"/>
        <w:gridCol w:w="450"/>
        <w:gridCol w:w="1900"/>
        <w:gridCol w:w="600"/>
        <w:gridCol w:w="805"/>
        <w:gridCol w:w="805"/>
        <w:gridCol w:w="805"/>
        <w:gridCol w:w="805"/>
      </w:tblGrid>
      <w:tr>
        <w:trPr>
          <w:cantSplit/>
          <w:tblHeader/>
        </w:trPr>
        <w:tc>
          <w:tcPr>
            <w:tcW w:type="dxa" w:w="1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w:t>
            </w:r>
          </w:p>
        </w:tc>
        <w:tc>
          <w:tcPr>
            <w:tcW w:type="dxa" w:w="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κ</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Norm.</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Desinf.</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Odio</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w:t>
            </w:r>
          </w:p>
        </w:tc>
      </w:tr>
      <w:tr>
        <w:trPr>
          <w:cantSplit/>
          <w:tblHeader w:val="false"/>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355</w:t>
            </w:r>
          </w:p>
        </w:tc>
        <w:tc>
          <w:tcPr>
            <w:tcW w:type="dxa" w:w="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0,533 [0,470; 0,592]</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0,436</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0,235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0,554</w:t>
            </w:r>
          </w:p>
        </w:tc>
      </w:tr>
      <w:tr>
        <w:trPr>
          <w:cantSplit/>
          <w:tblHeader w:val="false"/>
        </w:trPr>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Corpus público</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3.632</w:t>
            </w:r>
          </w:p>
        </w:tc>
        <w:tc>
          <w:tcPr>
            <w:tcW w:type="dxa" w:w="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0,919 [0,908; 0,929]</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0,879</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0,963</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0,992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Δ F1-macro (público − piloto) = 38,6 p.p. O corpus público não contém itens de Mobilizacao, pelo que o seu F1-macro é calculado sobre três classes.</w:t>
      </w:r>
    </w:p>
    <w:p>
      <w:pPr>
        <w:keepNext/>
        <w:spacing w:after="40" w:before="160"/>
        <w:jc w:val="center"/>
      </w:pPr>
      <w:r>
        <w:drawing>
          <wp:inline distT="0" distB="0" distL="0" distR="0">
            <wp:extent cx="4857750" cy="2495550"/>
            <wp:effectExtent t="0" r="0" b="0" l="0"/>
            <wp:docPr id="1" name="fig4_3_h4.png" descr="fig4_3_h4.png" title="fig4_3_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4955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4.3 – F1 por categoria do BERTimbau no corpus público e no piloto angolano (conjunto de teste)</w:t>
      </w:r>
    </w:p>
    <w:p>
      <w:pPr>
        <w:spacing w:after="120" w:before="0" w:line="360"/>
        <w:ind w:firstLine="567"/>
        <w:jc w:val="both"/>
      </w:pPr>
      <w:r>
        <w:rPr>
          <w:rFonts w:ascii="Times New Roman" w:cs="Times New Roman" w:eastAsia="Times New Roman" w:hAnsi="Times New Roman"/>
          <w:sz w:val="24"/>
          <w:szCs w:val="24"/>
        </w:rPr>
        <w:t xml:space="preserve">No piloto angolano, o BERTimbau obteve F1-macro de 0,533 (IC 95% [0,470; 0,592]) e κ de 0,436, contra 0,919 (IC 95% [0,908; 0,929]) e κ de 0,879 no corpus público. A diferença, de 38,6 p.p., excede largamente o limiar de 5 p.p. e os intervalos de confiança não se sobrepõem.</w:t>
      </w:r>
    </w:p>
    <w:p>
      <w:pPr>
        <w:spacing w:after="120" w:before="0" w:line="360"/>
        <w:ind w:firstLine="567"/>
        <w:jc w:val="both"/>
      </w:pPr>
      <w:r>
        <w:rPr>
          <w:rFonts w:ascii="Times New Roman" w:cs="Times New Roman" w:eastAsia="Times New Roman" w:hAnsi="Times New Roman"/>
          <w:sz w:val="24"/>
          <w:szCs w:val="24"/>
        </w:rPr>
        <w:t xml:space="preserve">A comparação tem um factor de confusão evidente: a Mobilizacao, a categoria mais difícil, existe apenas no piloto, e o F1-macro do corpus público é calculado sobre três classes. Para isolar este efeito, considerou-se no piloto apenas a média do F1 das três categorias comuns, que é de aproximadamente 0,53. A diferença mantém-se na mesma ordem de grandeza (cerca de 39 p.p.), pelo que a degradação não se explica pela composição das classes.</w:t>
      </w:r>
    </w:p>
    <w:p>
      <w:pPr>
        <w:spacing w:after="120" w:before="0" w:line="360"/>
        <w:ind w:firstLine="567"/>
        <w:jc w:val="both"/>
      </w:pPr>
      <w:r>
        <w:rPr>
          <w:rFonts w:ascii="Times New Roman" w:cs="Times New Roman" w:eastAsia="Times New Roman" w:hAnsi="Times New Roman"/>
          <w:sz w:val="24"/>
          <w:szCs w:val="24"/>
        </w:rPr>
        <w:t xml:space="preserve">O resultado mais revelador é o da Desinformacao: F1 de 0,992 no corpus público e de 0,235 no piloto. Nos corpora públicos, toda a Desinformacao provém do Fake.br, constituído por notícias completas, enquanto o piloto contém comentários curtos. A combinação de um desempenho quase perfeito no domínio de origem com um desempenho muito baixo no domínio angolano é um indício forte de que o modelo aprendeu sobretudo marcas de estilo e de formato do Fake.br (registo jornalístico, extensão, estrutura) e não propriedades da desinformação enquanto tal. O mesmo mecanismo pode afectar, em menor grau, o Odio (0,802 contra 0,518), cujos exemplos públicos provêm de comentários do Instagram e do Twitter brasileiros. Consequentemente, o F1 global de 0,807 e, em particular, o F1 de 0,947 na Desinformacao sobrestimam o desempenho que o sistema terá em conteúdo angolano; a estimativa realista para este domínio é a do piloto (F1-macro de 0,533).</w:t>
      </w:r>
    </w:p>
    <w:p>
      <w:pPr>
        <w:spacing w:after="120" w:before="0" w:line="360"/>
        <w:ind w:firstLine="567"/>
        <w:jc w:val="both"/>
      </w:pPr>
      <w:r>
        <w:rPr>
          <w:rFonts w:ascii="Times New Roman" w:cs="Times New Roman" w:eastAsia="Times New Roman" w:hAnsi="Times New Roman"/>
          <w:sz w:val="24"/>
          <w:szCs w:val="24"/>
        </w:rPr>
        <w:t xml:space="preserve">Duas limitações condicionam este teste. O subconjunto do piloto é pequeno (n = 355), o que alarga o intervalo de confiança, e o desenho não permite separar as diferentes componentes da lacuna de domínio: variedade linguística (calão urbano, empréstimos de línguas nacionais), plataforma (comentários de YouTube contra notícias, Instagram e Twitter) e registo. A H4 confirma, por isso, a existência de uma lacuna de domínio substancial, mas não atribui essa lacuna especificamente ao calão ou às línguas nacionais.</w:t>
      </w:r>
    </w:p>
    <w:p>
      <w:pPr>
        <w:pStyle w:val="Heading2"/>
        <w:keepNext/>
        <w:keepLines/>
        <w:spacing w:after="160" w:before="360" w:line="300"/>
      </w:pPr>
      <w:r>
        <w:rPr>
          <w:rFonts w:ascii="Times New Roman" w:cs="Times New Roman" w:eastAsia="Times New Roman" w:hAnsi="Times New Roman"/>
          <w:b/>
          <w:bCs/>
          <w:sz w:val="26"/>
          <w:szCs w:val="26"/>
        </w:rPr>
        <w:t xml:space="preserve">4.7 Avaliação operacional do sistema (Hipóteses H2 e H3)</w:t>
      </w:r>
    </w:p>
    <w:p>
      <w:pPr>
        <w:spacing w:after="120" w:before="0" w:line="360"/>
        <w:ind w:firstLine="567"/>
        <w:jc w:val="both"/>
      </w:pPr>
      <w:r>
        <w:rPr>
          <w:rFonts w:ascii="Times New Roman" w:cs="Times New Roman" w:eastAsia="Times New Roman" w:hAnsi="Times New Roman"/>
          <w:sz w:val="24"/>
          <w:szCs w:val="24"/>
        </w:rPr>
        <w:t xml:space="preserve">As Hipóteses H2 (processamento de cada publicação em menos de 60 segundos) e H3 (antecedência de pelo menos 48 horas em relação a eventos de segurança) referem-se ao sistema em operação e não ao classificador. A H2 foi medida com o protótipo e o modelo do sistema; a H3 não pôde ser testada.</w:t>
      </w:r>
    </w:p>
    <w:p>
      <w:pPr>
        <w:pStyle w:val="Heading3"/>
        <w:keepNext/>
        <w:spacing w:after="120" w:before="240"/>
      </w:pPr>
      <w:r>
        <w:rPr>
          <w:rFonts w:ascii="Times New Roman" w:cs="Times New Roman" w:eastAsia="Times New Roman" w:hAnsi="Times New Roman"/>
          <w:b/>
          <w:bCs/>
          <w:sz w:val="24"/>
          <w:szCs w:val="24"/>
        </w:rPr>
        <w:t xml:space="preserve">4.7.1 Tempo de processamento (H2)</w:t>
      </w:r>
    </w:p>
    <w:p>
      <w:pPr>
        <w:spacing w:after="120" w:before="0" w:line="360"/>
        <w:ind w:firstLine="567"/>
        <w:jc w:val="both"/>
      </w:pPr>
      <w:r>
        <w:rPr>
          <w:rFonts w:ascii="Times New Roman" w:cs="Times New Roman" w:eastAsia="Times New Roman" w:hAnsi="Times New Roman"/>
          <w:sz w:val="24"/>
          <w:szCs w:val="24"/>
        </w:rPr>
        <w:t xml:space="preserve">A medição seguiu o protocolo da Secção 3.9. O comando de medição importou, anonimizou e classificou um lote de 200 comentários reais das amostras aleatórias do piloto, numa base de dados temporária nova em cada repetição; 2 comentários foram descartados na importação por terem menos de três caracteres, restando 198. O ensaio foi repetido 3 vezes num computador pessoal, sem GPU, com processador Intel N100 (quatro núcleos, de baixo consumo) e 8 GB de memória RAM. Trata-se de equipamento modesto, pelo que os tempos obtidos tendem a ser conservadores face a um servidor de produção. A Tabela 4.9 resume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4.9 – Tempo de processamento do protótipo com o modelo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220"/>
      </w:tblGrid>
      <w:tr>
        <w:trPr>
          <w:cantSplit/>
          <w:tblHeader/>
        </w:trPr>
        <w:tc>
          <w:tcPr>
            <w:tcW w:type="dxa" w:w="5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3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Publicações por lote</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198</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Repetições</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total por lote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125,5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médio por publicação (repetição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Dispositivo de inferência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CPU (sem GPU)</w:t>
            </w:r>
          </w:p>
        </w:tc>
      </w:tr>
      <w:tr>
        <w:trPr>
          <w:cantSplit/>
          <w:tblHeader w:val="false"/>
        </w:trPr>
        <w:tc>
          <w:tcPr>
            <w:tcW w:type="dxa" w:w="5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máximo compatível com o limiar de 60 s</w:t>
            </w:r>
          </w:p>
        </w:tc>
        <w:tc>
          <w:tcPr>
            <w:tcW w:type="dxa" w:w="3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cerca de 94 publicações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tempo inclui a leitura do ficheiro, a anonimização, a gravação na base de dados e a classificação com o BERTimbau (até 256 subpalavras, lotes de inferência de 32). Não inclui o carregamento inicial do modelo, que ocorre uma vez no arranque do serviço, nem o intervalo entre a publicação original e a sua recolha.</w:t>
      </w:r>
    </w:p>
    <w:p>
      <w:pPr>
        <w:spacing w:after="120" w:before="0" w:line="360"/>
        <w:ind w:firstLine="567"/>
        <w:jc w:val="both"/>
      </w:pPr>
      <w:r>
        <w:rPr>
          <w:rFonts w:ascii="Times New Roman" w:cs="Times New Roman" w:eastAsia="Times New Roman" w:hAnsi="Times New Roman"/>
          <w:sz w:val="24"/>
          <w:szCs w:val="24"/>
        </w:rPr>
        <w:t xml:space="preserve">O custo por publicação, de cerca de 0,63 segundos, está muito abaixo do limiar de 60 segundos. Há, no entanto, uma condição: no protótipo, as classificações de um lote são gravadas em conjunto no fim do lote, pelo que todas as publicações entram na fila de revisão ao mesmo tempo. Num lote de 198 publicações, a primeira só fica disponível ao fim de cerca de 125 segundos. O critério da H2 é cumprido para lotes até cerca de 94 publicações neste equipamento; acima desse volume, é necessário processar em lotes menores, gravar as classificações à medida que cada sublote termina ou usar uma GPU. A medição foi feita num único computador e com um único lote, e não inclui o tempo entre a publicação na plataforma e a sua recolha, que depende da frequência de recolha; deve ser lida como uma estimativa do custo de processamento interno, e não como o tempo de detecção de ponta a ponta.</w:t>
      </w:r>
    </w:p>
    <w:p>
      <w:pPr>
        <w:spacing w:after="120" w:before="0" w:line="360"/>
        <w:ind w:firstLine="567"/>
        <w:jc w:val="both"/>
      </w:pPr>
      <w:r>
        <w:rPr>
          <w:rFonts w:ascii="Times New Roman" w:cs="Times New Roman" w:eastAsia="Times New Roman" w:hAnsi="Times New Roman"/>
          <w:sz w:val="24"/>
          <w:szCs w:val="24"/>
        </w:rPr>
        <w:t xml:space="preserve">Depois desta medição, o sistema passou a gravar as classificações por sublotes de 32 publicações, como a Secção 3.8.3 descreve. Com o mesmo custo por publicação, as primeiras publicações de qualquer lote deverão chegar à fila em cerca de 20 segundos, independentemente da dimensão do lote. Este valor é uma estimativa a partir da medição anterior e só substitui a condição acima depois de a medição ser repetida com a versão actual (o comando </w:t>
      </w:r>
      <w:r>
        <w:rPr>
          <w:rFonts w:ascii="Courier New" w:cs="Courier New" w:eastAsia="Courier New" w:hAnsi="Courier New"/>
          <w:sz w:val="21"/>
          <w:szCs w:val="21"/>
        </w:rPr>
        <w:t xml:space="preserve">medir-latencia</w:t>
      </w:r>
      <w:r>
        <w:rPr>
          <w:rFonts w:ascii="Times New Roman" w:cs="Times New Roman" w:eastAsia="Times New Roman" w:hAnsi="Times New Roman"/>
          <w:sz w:val="24"/>
          <w:szCs w:val="24"/>
        </w:rPr>
        <w:t xml:space="preserve"> passou a reportar também o tempo até ao primeiro sublote).</w:t>
      </w:r>
    </w:p>
    <w:p>
      <w:pPr>
        <w:pStyle w:val="Heading3"/>
        <w:keepNext/>
        <w:spacing w:after="120" w:before="240"/>
      </w:pPr>
      <w:r>
        <w:rPr>
          <w:rFonts w:ascii="Times New Roman" w:cs="Times New Roman" w:eastAsia="Times New Roman" w:hAnsi="Times New Roman"/>
          <w:b/>
          <w:bCs/>
          <w:sz w:val="24"/>
          <w:szCs w:val="24"/>
        </w:rPr>
        <w:t xml:space="preserve">4.7.2 Antecedência de detecção (H3)</w:t>
      </w:r>
    </w:p>
    <w:p>
      <w:pPr>
        <w:spacing w:after="120" w:before="0" w:line="360"/>
        <w:ind w:firstLine="567"/>
        <w:jc w:val="both"/>
      </w:pPr>
      <w:r>
        <w:rPr>
          <w:rFonts w:ascii="Times New Roman" w:cs="Times New Roman" w:eastAsia="Times New Roman" w:hAnsi="Times New Roman"/>
          <w:sz w:val="24"/>
          <w:szCs w:val="24"/>
        </w:rPr>
        <w:t xml:space="preserve">A H3 exige um corpus com datas de publicação, dividido cronologicamente (treino anterior ao período de teste), e um conjunto de eventos de referência independentes do corpus; sem estes elementos, qualquer medida de antecedência seria circular. Como o corpus desta investigação não foi construído em torno de eventos datados, a H3 fica por testar.</w:t>
      </w:r>
    </w:p>
    <w:p>
      <w:pPr>
        <w:pStyle w:val="Heading3"/>
        <w:keepNext/>
        <w:spacing w:after="120" w:before="240"/>
      </w:pPr>
      <w:r>
        <w:rPr>
          <w:rFonts w:ascii="Times New Roman" w:cs="Times New Roman" w:eastAsia="Times New Roman" w:hAnsi="Times New Roman"/>
          <w:b/>
          <w:bCs/>
          <w:sz w:val="24"/>
          <w:szCs w:val="24"/>
        </w:rPr>
        <w:t xml:space="preserve">4.7.3 Implicações para o desenho operacional</w:t>
      </w:r>
    </w:p>
    <w:p>
      <w:pPr>
        <w:spacing w:after="120" w:before="0" w:line="360"/>
        <w:ind w:firstLine="567"/>
        <w:jc w:val="both"/>
      </w:pPr>
      <w:r>
        <w:rPr>
          <w:rFonts w:ascii="Times New Roman" w:cs="Times New Roman" w:eastAsia="Times New Roman" w:hAnsi="Times New Roman"/>
          <w:sz w:val="24"/>
          <w:szCs w:val="24"/>
        </w:rPr>
        <w:t xml:space="preserve">Os resultados das Secções 4.4 a 4.6 têm, no entanto, consequências directas para o desenho operacional. Com precisão de 0,509 e sensibilidade de 0,596 na Mobilizacao, e com desempenho em conteúdo angolano inferior ao global, o sistema só é defensável como apoio ao analista: uma fila de revisão ordenada pela confiança do modelo, com confirmação humana obrigatória antes de qualquer acção e sem decisões automáticas sobre indivíduos. Neste enquadramento, as métricas operacionais relevantes passam a ser a precisão nos primeiros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itens da fila, o tempo de processamento e a concordância entre analista e sistema, medidas que o protótipo foi concebido para registar (Secção 3.9).</w:t>
      </w:r>
    </w:p>
    <w:p>
      <w:pPr>
        <w:pStyle w:val="Heading2"/>
        <w:keepNext/>
        <w:keepLines/>
        <w:spacing w:after="160" w:before="360" w:line="300"/>
      </w:pPr>
      <w:r>
        <w:rPr>
          <w:rFonts w:ascii="Times New Roman" w:cs="Times New Roman" w:eastAsia="Times New Roman" w:hAnsi="Times New Roman"/>
          <w:b/>
          <w:bCs/>
          <w:sz w:val="26"/>
          <w:szCs w:val="26"/>
        </w:rPr>
        <w:t xml:space="preserve">4.8 Discussão e verificação formal das hipóteses</w:t>
      </w:r>
    </w:p>
    <w:p>
      <w:pPr>
        <w:spacing w:after="120" w:before="0" w:line="360"/>
        <w:ind w:firstLine="567"/>
        <w:jc w:val="both"/>
      </w:pPr>
      <w:r>
        <w:rPr>
          <w:rFonts w:ascii="Times New Roman" w:cs="Times New Roman" w:eastAsia="Times New Roman" w:hAnsi="Times New Roman"/>
          <w:sz w:val="24"/>
          <w:szCs w:val="24"/>
        </w:rPr>
        <w:t xml:space="preserve">A Tabela 4.8 sintetiza a verificação das quatro hipóteses face aos critérios definidos na Secção 1.3.</w:t>
      </w:r>
    </w:p>
    <w:p>
      <w:pPr>
        <w:pStyle w:val="LegendaTabela"/>
        <w:keepNext/>
        <w:spacing w:after="80" w:before="240" w:line="240"/>
        <w:jc w:val="center"/>
      </w:pPr>
      <w:r>
        <w:rPr>
          <w:rFonts w:ascii="Times New Roman" w:cs="Times New Roman" w:eastAsia="Times New Roman" w:hAnsi="Times New Roman"/>
          <w:b/>
          <w:bCs/>
          <w:sz w:val="20"/>
          <w:szCs w:val="20"/>
        </w:rPr>
        <w:t xml:space="preserve">Tabela 4.8 – Verificação formal das hipóteses de investigação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Hipótese e critério</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Evidência</w:t>
            </w:r>
          </w:p>
        </w:tc>
        <w:tc>
          <w:tcPr>
            <w:tcW w:type="dxa" w:w="1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H1 – Modelos profundos superam os clássicos (ΔF1 ≥ 5 p.p.; p &lt; 0,05 com Bonferroni)</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BERTimbau: ΔF1 de 14,6 a 17,4 p.p., p &lt; 10</w:t>
            </w:r>
            <w:r>
              <w:rPr>
                <w:rFonts w:ascii="Times New Roman" w:cs="Times New Roman" w:eastAsia="Times New Roman" w:hAnsi="Times New Roman"/>
                <w:b w:val="false"/>
                <w:bCs w:val="false"/>
                <w:sz w:val="19"/>
                <w:szCs w:val="19"/>
                <w:vertAlign w:val="superscript"/>
              </w:rPr>
              <w:t xml:space="preserve">-47</w:t>
            </w:r>
            <w:r>
              <w:rPr>
                <w:rFonts w:ascii="Times New Roman" w:cs="Times New Roman" w:eastAsia="Times New Roman" w:hAnsi="Times New Roman"/>
                <w:b w:val="false"/>
                <w:bCs w:val="false"/>
                <w:sz w:val="19"/>
                <w:szCs w:val="19"/>
              </w:rPr>
              <w:t xml:space="preserve">. Bi-LSTM: ΔF1 de 0,2 e 2,8 p.p. (IC incluem 0)</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Parcialmente confirmada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H2 – Processamento de cada publicação em menos de 60 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 por publicação em CPU; cumprido para lotes até cerca de 94 publicações</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 com condições</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H3 – Antecedência ≥ 48 h face a eventos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Sem corpus datado nem divisão cronológica</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Não testada</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H4 – Degradação ≥ 5 p.p. em conteúdo angolano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ΔF1-macro = 38,6 p.p.; IC sem sobreposição; κ 0,436 contra 0,879</w:t>
            </w:r>
          </w:p>
        </w:tc>
        <w:tc>
          <w:tcPr>
            <w:tcW w:type="dxa" w:w="1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w:t>
            </w:r>
            <w:r>
              <w:rPr>
                <w:rFonts w:ascii="Times New Roman" w:cs="Times New Roman" w:eastAsia="Times New Roman" w:hAnsi="Times New Roman"/>
                <w:b w:val="false"/>
                <w:bCs w:val="false"/>
                <w:sz w:val="19"/>
                <w:szCs w:val="19"/>
              </w:rPr>
              <w:t xml:space="preserve"> (com reservas)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 designação “não testada” significa que os dados disponíveis não permitem confirmar nem rejeitar a hipótese.</w:t>
      </w:r>
    </w:p>
    <w:p>
      <w:pPr>
        <w:spacing w:after="120" w:before="0" w:line="360"/>
        <w:ind w:firstLine="567"/>
        <w:jc w:val="both"/>
      </w:pPr>
      <w:r>
        <w:rPr>
          <w:rFonts w:ascii="Times New Roman" w:cs="Times New Roman" w:eastAsia="Times New Roman" w:hAnsi="Times New Roman"/>
          <w:b/>
          <w:bCs/>
          <w:sz w:val="24"/>
          <w:szCs w:val="24"/>
        </w:rPr>
        <w:t xml:space="preserve">H1 – parcialmente confirmada.</w:t>
      </w:r>
      <w:r>
        <w:rPr>
          <w:rFonts w:ascii="Times New Roman" w:cs="Times New Roman" w:eastAsia="Times New Roman" w:hAnsi="Times New Roman"/>
          <w:sz w:val="24"/>
          <w:szCs w:val="24"/>
        </w:rPr>
        <w:t xml:space="preserve"> A hipótese previa que ambos os modelos de aprendizagem profunda superassem os clássicos. O BERTimbau cumpre o critério com margem ampla (ΔF1-macro ≥ 14,6 p.p.; p corrigido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o cumpre: não se distingue da Floresta Aleatória e a sua vantagem sobre o SVM (2,8 p.p.) fica abaixo do limiar de 5 p.p., com intervalo que inclui o zero. Uma explicação plausível para a diferença entre os dois modelos profundos é o pré-treino: o BERTimbau parte de representações contextuais aprendidas num corpus de português de grande dimensão, ao passo que o Bi-LSTM aprende essas representações sobretudo a partir do corpus de treino. O resultado sugere que, neste volume de dados, o pré-treino linguístico pesa mais do que a natureza sequencial da arquitectura, hipótese que exigiria um ensaio controlado para ser confirmada.</w:t>
      </w:r>
    </w:p>
    <w:p>
      <w:pPr>
        <w:spacing w:after="120" w:before="0" w:line="360"/>
        <w:ind w:firstLine="567"/>
        <w:jc w:val="both"/>
      </w:pPr>
      <w:r>
        <w:rPr>
          <w:rFonts w:ascii="Times New Roman" w:cs="Times New Roman" w:eastAsia="Times New Roman" w:hAnsi="Times New Roman"/>
          <w:b/>
          <w:bCs/>
          <w:sz w:val="24"/>
          <w:szCs w:val="24"/>
        </w:rPr>
        <w:t xml:space="preserve">H2 – confirmada com condições.</w:t>
      </w:r>
      <w:r>
        <w:rPr>
          <w:rFonts w:ascii="Times New Roman" w:cs="Times New Roman" w:eastAsia="Times New Roman" w:hAnsi="Times New Roman"/>
          <w:sz w:val="24"/>
          <w:szCs w:val="24"/>
        </w:rPr>
        <w:t xml:space="preserve"> O protótipo processa cada publicação em cerca de 0,63 segundos num computador sem GPU, muito abaixo do limiar de 60 segundos. Como as classificações de um lote são gravadas em conjunto, o limiar só é respeitado para lotes até cerca de 94 publicações neste equipamento. A medição cobre o processamento interno e não o intervalo entre a publicação e a sua recolha.</w:t>
      </w:r>
    </w:p>
    <w:p>
      <w:pPr>
        <w:spacing w:after="120" w:before="0" w:line="360"/>
        <w:ind w:firstLine="567"/>
        <w:jc w:val="both"/>
      </w:pPr>
      <w:r>
        <w:rPr>
          <w:rFonts w:ascii="Times New Roman" w:cs="Times New Roman" w:eastAsia="Times New Roman" w:hAnsi="Times New Roman"/>
          <w:b/>
          <w:bCs/>
          <w:sz w:val="24"/>
          <w:szCs w:val="24"/>
        </w:rPr>
        <w:t xml:space="preserve">H3 – não testada.</w:t>
      </w:r>
      <w:r>
        <w:rPr>
          <w:rFonts w:ascii="Times New Roman" w:cs="Times New Roman" w:eastAsia="Times New Roman" w:hAnsi="Times New Roman"/>
          <w:sz w:val="24"/>
          <w:szCs w:val="24"/>
        </w:rPr>
        <w:t xml:space="preserve"> A verificação exige um corpus datado em torno de eventos documentados, que não existe nesta fase, e constitui trabalho futuro.</w:t>
      </w:r>
    </w:p>
    <w:p>
      <w:pPr>
        <w:spacing w:after="120" w:before="0" w:line="360"/>
        <w:ind w:firstLine="567"/>
        <w:jc w:val="both"/>
      </w:pPr>
      <w:r>
        <w:rPr>
          <w:rFonts w:ascii="Times New Roman" w:cs="Times New Roman" w:eastAsia="Times New Roman" w:hAnsi="Times New Roman"/>
          <w:b/>
          <w:bCs/>
          <w:sz w:val="24"/>
          <w:szCs w:val="24"/>
        </w:rPr>
        <w:t xml:space="preserve">H4 – confirmada, com reservas.</w:t>
      </w:r>
      <w:r>
        <w:rPr>
          <w:rFonts w:ascii="Times New Roman" w:cs="Times New Roman" w:eastAsia="Times New Roman" w:hAnsi="Times New Roman"/>
          <w:sz w:val="24"/>
          <w:szCs w:val="24"/>
        </w:rPr>
        <w:t xml:space="preserve"> A degradação do desempenho em conteúdo angolano é grande (38,6 p.p.), robusta ao controlo da composição de classes e consistente no Kappa. As reservas referem-se à dimensão do subconjunto do piloto, à impossibilidade de separar os efeitos de língua, plataforma e registo, e ao indício de aprendizagem de atalhos de estilo na Desinformacao. Este último ponto tem uma implicação metodológica que ultrapassa a H4: corpora de desinformação constituídos por notícias completas não são adequados para treinar detectores de desinformação em comentários de redes sociais, e o desempenho nesta categoria deve ser medido em conteúdo do domínio de aplicação.</w:t>
      </w:r>
    </w:p>
    <w:p>
      <w:pPr>
        <w:spacing w:after="120" w:before="0" w:line="360"/>
        <w:ind w:firstLine="567"/>
        <w:jc w:val="both"/>
      </w:pPr>
      <w:r>
        <w:rPr>
          <w:rFonts w:ascii="Times New Roman" w:cs="Times New Roman" w:eastAsia="Times New Roman" w:hAnsi="Times New Roman"/>
          <w:sz w:val="24"/>
          <w:szCs w:val="24"/>
        </w:rPr>
        <w:t xml:space="preserve">Em conjunto, os resultados permitem três conclusões. Primeira: entre os modelos avaliados, o BERTimbau é o único adequado como classificador principal, e a sua superioridade é estatisticamente robusta. Segunda: o desempenho global (F1-macro de cerca de 0,80) é obtido sobretudo em conteúdo brasileiro e não deve ser apresentado como desempenho do sistema em Angola, onde a estimativa disponível é de cerca de 0,53. Terceira: a Mobilizacao, a categoria de maior interesse para a segurança, é aquela em que a evidência é mais frágil, quer pelo número reduzido de exemplos de teste, quer pela ambiguidade da fronteira com o exercício legítimo do direito de manifestação. Daqui decorrem as prioridades de trabalho futuro tratadas no Capítulo 5: ampliar o corpus angolano anotado, em especial nas categorias Mobilizacao e Desinformacao, medir o desempenho em conteúdo angolano como métrica principal e manter a revisão humana como componente obrigatória do sistema.</w:t>
      </w:r>
    </w:p>
    <w:p>
      <w:pPr>
        <w:sectPr>
          <w:headerReference w:type="default" r:id="rId19"/>
          <w:footerReference w:type="default" r:id="rId2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5 – CONCLUSÕES E RECOMENDAÇÕES</w:t>
      </w:r>
    </w:p>
    <w:p>
      <w:pPr>
        <w:spacing w:after="120" w:before="0" w:line="360"/>
        <w:ind w:firstLine="567"/>
        <w:jc w:val="both"/>
      </w:pPr>
      <w:r>
        <w:rPr>
          <w:rFonts w:ascii="Times New Roman" w:cs="Times New Roman" w:eastAsia="Times New Roman" w:hAnsi="Times New Roman"/>
          <w:sz w:val="24"/>
          <w:szCs w:val="24"/>
        </w:rPr>
        <w:t xml:space="preserve">Esta dissertação partiu de uma pergunta simples de formular e difícil de responder: em que medida a aprendizagem automática consegue apoiar, de forma fiável e responsável, a triagem de publicações ameaçadoras nas redes sociais angolanas. A resposta que os resultados permitem dar é matizada. Consegue, como instrumento para ordenar o trabalho do analista; não consegue, nem deve, substituí-lo.</w:t>
      </w:r>
    </w:p>
    <w:p>
      <w:pPr>
        <w:pStyle w:val="Heading2"/>
        <w:keepNext/>
        <w:keepLines/>
        <w:spacing w:after="160" w:before="360" w:line="300"/>
      </w:pPr>
      <w:r>
        <w:rPr>
          <w:rFonts w:ascii="Times New Roman" w:cs="Times New Roman" w:eastAsia="Times New Roman" w:hAnsi="Times New Roman"/>
          <w:b/>
          <w:bCs/>
          <w:sz w:val="26"/>
          <w:szCs w:val="26"/>
        </w:rPr>
        <w:t xml:space="preserve">5.1 Síntese dos objectivos</w:t>
      </w:r>
    </w:p>
    <w:p>
      <w:pPr>
        <w:spacing w:after="120" w:before="0" w:line="360"/>
        <w:ind w:firstLine="567"/>
        <w:jc w:val="both"/>
      </w:pPr>
      <w:r>
        <w:rPr>
          <w:rFonts w:ascii="Times New Roman" w:cs="Times New Roman" w:eastAsia="Times New Roman" w:hAnsi="Times New Roman"/>
          <w:sz w:val="24"/>
          <w:szCs w:val="24"/>
        </w:rPr>
        <w:t xml:space="preserve">A Tabela 5.1 resume o grau de cumprimento dos objectivos específicos.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5.1 – Cumprimento dos objectivos específicos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520"/>
        <w:gridCol w:w="1400"/>
      </w:tblGrid>
      <w:tr>
        <w:trPr>
          <w:cantSplit/>
          <w:tblHeader/>
        </w:trPr>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Objectivo</w:t>
            </w:r>
          </w:p>
        </w:tc>
        <w:tc>
          <w:tcPr>
            <w:tcW w:type="dxa" w:w="4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Resultado</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Estado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OE1 – Corpus angolano anotado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2.637 comentários públicos anotados por 3 anotadores; κ de Fleiss 0,718; proveniência registada por lote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OE2 – Comparação de algoritmos</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 F1-macro 0,807 [0,774; 0,838]; superior aos restantes com p &lt; 10</w:t>
            </w:r>
            <w:r>
              <w:rPr>
                <w:rFonts w:ascii="Times New Roman" w:cs="Times New Roman" w:eastAsia="Times New Roman" w:hAnsi="Times New Roman"/>
                <w:b w:val="false"/>
                <w:bCs w:val="false"/>
                <w:sz w:val="18"/>
                <w:szCs w:val="18"/>
                <w:vertAlign w:val="superscript"/>
              </w:rPr>
              <w:t xml:space="preserve">-47</w:t>
            </w:r>
            <w:r>
              <w:rPr>
                <w:rFonts w:ascii="Times New Roman" w:cs="Times New Roman" w:eastAsia="Times New Roman" w:hAnsi="Times New Roman"/>
                <w:b w:val="false"/>
                <w:bCs w:val="false"/>
                <w:sz w:val="18"/>
                <w:szCs w:val="18"/>
              </w:rPr>
              <w:t xml:space="preserve">; Bi-LSTM sem vantagem sobre a Floresta Aleatória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OE3 – Lacuna de domínio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F1-macro 0,533 no piloto contra 0,919 no corpus público (Δ 38,6 p.p.); indício de atalhos de estilo na Desinformação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OE4 – Protótipo do sistema</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Aplicação web com contas e papéis, ingestão anonimizada, base de dados auditada, classificação em segundo plano, fila por analista, revisão cega e amostra de controlo; 31 testes; tempo de processamento medido (0,63 s por publicação em CPU); avaliação com analistas por fazer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Parcialmente cumprido</w:t>
            </w:r>
          </w:p>
        </w:tc>
      </w:tr>
      <w:tr>
        <w:trPr>
          <w:cantSplit/>
          <w:tblHeader w:val="false"/>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OE5 – Quadro ético e legal</w:t>
            </w:r>
          </w:p>
        </w:tc>
        <w:tc>
          <w:tcPr>
            <w:tcW w:type="dxa" w:w="4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Salvaguardas implementadas no sistema (pseudonimização, minimização, conservação, auditoria, revisão humana); parecer jurídico recomendado</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5.2 Resposta às hipóteses</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foi parcialmente confirmada. O BERTimbau superou os modelos clássicos por 14,6 a 17,4 pontos percentuais de F1-macro, com significância estatística robusta. O Bi-LSTM, pelo contrário, não se distinguiu da Floresta Aleatória (ΔF1 = 0,2 p.p.), o que sugere que, neste volume de dados, o factor decisivo é o pré-treino linguístico e não a arquitectura sequencial.</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foi confirmada com condições. O protótipo processa cada publicação em cerca de 0,63 segundos num computador sem GPU, mas, como grava as classificações de cada lote em conjunto, só respeita o limiar de 60 segundos para lotes até cerca de 94 publicações nesse equipamento. A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não foi testada: exige um corpus datado em torno de eventos documentados, que não existe nesta fase.</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foi confirmada. Em conteúdo angolano, o F1-macro do BERTimbau desce 38,6 pontos percentuais, e a diferença mantém-se quando se controla a composição das classes. A queda na Desinformação, de 0,99 para 0,24, mostra que o modelo aprendeu sobretudo o estilo das notícias do Fake.br.</w:t>
      </w:r>
    </w:p>
    <w:p>
      <w:pPr>
        <w:pStyle w:val="Heading2"/>
        <w:keepNext/>
        <w:keepLines/>
        <w:spacing w:after="160" w:before="360" w:line="300"/>
      </w:pPr>
      <w:r>
        <w:rPr>
          <w:rFonts w:ascii="Times New Roman" w:cs="Times New Roman" w:eastAsia="Times New Roman" w:hAnsi="Times New Roman"/>
          <w:b/>
          <w:bCs/>
          <w:sz w:val="26"/>
          <w:szCs w:val="26"/>
        </w:rPr>
        <w:t xml:space="preserve">5.3 Contributos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Corpus angolano anotado.</w:t>
      </w:r>
      <w:r>
        <w:rPr>
          <w:rFonts w:ascii="Times New Roman" w:cs="Times New Roman" w:eastAsia="Times New Roman" w:hAnsi="Times New Roman"/>
          <w:sz w:val="24"/>
          <w:szCs w:val="24"/>
        </w:rPr>
        <w:t xml:space="preserve"> Tanto quanto foi possível apurar, é o primeiro corpus de comentários angolanos anotado para estas quatro categorias, com acordo entre anotadores medido e proveniência documentada.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Medida da lacuna de domínio.</w:t>
      </w:r>
      <w:r>
        <w:rPr>
          <w:rFonts w:ascii="Times New Roman" w:cs="Times New Roman" w:eastAsia="Times New Roman" w:hAnsi="Times New Roman"/>
          <w:sz w:val="24"/>
          <w:szCs w:val="24"/>
        </w:rPr>
        <w:t xml:space="preserve"> A dissertação quantifica, com intervalos de confiança, quanto se perde ao aplicar a conteúdo angolano um modelo treinado sobretudo com dados brasileiros, e identifica uma causa concreta (a aprendizagem de atalhos de estilo na Desinformação).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Avaliação metodologicamente cuidada.</w:t>
      </w:r>
      <w:r>
        <w:rPr>
          <w:rFonts w:ascii="Times New Roman" w:cs="Times New Roman" w:eastAsia="Times New Roman" w:hAnsi="Times New Roman"/>
          <w:sz w:val="24"/>
          <w:szCs w:val="24"/>
        </w:rPr>
        <w:t xml:space="preserve"> Intervalos de confiança, testes emparelhados com correcção para comparações múltiplas, repetição com várias sementes e selecção de variantes na validação, sem escolha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Arquitectura de triagem responsável.</w:t>
      </w:r>
      <w:r>
        <w:rPr>
          <w:rFonts w:ascii="Times New Roman" w:cs="Times New Roman" w:eastAsia="Times New Roman" w:hAnsi="Times New Roman"/>
          <w:sz w:val="24"/>
          <w:szCs w:val="24"/>
        </w:rPr>
        <w:t xml:space="preserve"> Um protótipo de código aberto, testado e documentado, que incorpora a protecção de dados desde a concepção e mantém o analista no centro da decisão, adequado aos recursos disponíveis e à soberania sobre os dados.</w:t>
      </w:r>
    </w:p>
    <w:p>
      <w:pPr>
        <w:pStyle w:val="Heading2"/>
        <w:keepNext/>
        <w:keepLines/>
        <w:spacing w:after="160" w:before="360" w:line="300"/>
      </w:pPr>
      <w:r>
        <w:rPr>
          <w:rFonts w:ascii="Times New Roman" w:cs="Times New Roman" w:eastAsia="Times New Roman" w:hAnsi="Times New Roman"/>
          <w:b/>
          <w:bCs/>
          <w:sz w:val="26"/>
          <w:szCs w:val="26"/>
        </w:rPr>
        <w:t xml:space="preserve">5.4 Limitações</w:t>
      </w:r>
    </w:p>
    <w:p>
      <w:pPr>
        <w:spacing w:after="120" w:before="0" w:line="360"/>
        <w:ind w:firstLine="567"/>
        <w:jc w:val="both"/>
      </w:pPr>
      <w:r>
        <w:rPr>
          <w:rFonts w:ascii="Times New Roman" w:cs="Times New Roman" w:eastAsia="Times New Roman" w:hAnsi="Times New Roman"/>
          <w:b/>
          <w:bCs/>
          <w:sz w:val="24"/>
          <w:szCs w:val="24"/>
        </w:rPr>
        <w:t xml:space="preserve">Dimensão e composição do corpus angolano.</w:t>
      </w:r>
      <w:r>
        <w:rPr>
          <w:rFonts w:ascii="Times New Roman" w:cs="Times New Roman" w:eastAsia="Times New Roman" w:hAnsi="Times New Roman"/>
          <w:sz w:val="24"/>
          <w:szCs w:val="24"/>
        </w:rPr>
        <w:t xml:space="preserve"> O piloto tem 2.637 comentários de uma só plataforma. A Mobilização Hostil conta com apenas 47 exemplos no teste, o que torna as estimativas desta categoria instáveis (IC 95% do F1 entre 0,42 e 0,66) e sensíveis à semente de treino.</w:t>
      </w:r>
    </w:p>
    <w:p>
      <w:pPr>
        <w:spacing w:after="120" w:before="0" w:line="360"/>
        <w:ind w:firstLine="567"/>
        <w:jc w:val="both"/>
      </w:pPr>
      <w:r>
        <w:rPr>
          <w:rFonts w:ascii="Times New Roman" w:cs="Times New Roman" w:eastAsia="Times New Roman" w:hAnsi="Times New Roman"/>
          <w:b/>
          <w:bCs/>
          <w:sz w:val="24"/>
          <w:szCs w:val="24"/>
        </w:rPr>
        <w:t xml:space="preserve">Predomínio de dados brasileiros.</w:t>
      </w:r>
      <w:r>
        <w:rPr>
          <w:rFonts w:ascii="Times New Roman" w:cs="Times New Roman" w:eastAsia="Times New Roman" w:hAnsi="Times New Roman"/>
          <w:sz w:val="24"/>
          <w:szCs w:val="24"/>
        </w:rPr>
        <w:t xml:space="preserve"> Cerca de 91% do conjunto de teste provém de corpora brasileiros. O desempenho global descreve, por isso, sobretudo conteúdo brasileiro; a estimativa disponível para Angola é a do piloto (F1-macro de cerca de 0,53), baseada em 355 itens.</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A única fonte pública de desinformação são notícias completas, um género muito diferente dos comentários. O valor elevado desta categoria no teste global não deve ser interpretado como capacidade de detectar desinformação em redes sociais.</w:t>
      </w:r>
    </w:p>
    <w:p>
      <w:pPr>
        <w:spacing w:after="120" w:before="0" w:line="360"/>
        <w:ind w:firstLine="567"/>
        <w:jc w:val="both"/>
      </w:pPr>
      <w:r>
        <w:rPr>
          <w:rFonts w:ascii="Times New Roman" w:cs="Times New Roman" w:eastAsia="Times New Roman" w:hAnsi="Times New Roman"/>
          <w:b/>
          <w:bCs/>
          <w:sz w:val="24"/>
          <w:szCs w:val="24"/>
        </w:rPr>
        <w:t xml:space="preserve">Variação linguística.</w:t>
      </w:r>
      <w:r>
        <w:rPr>
          <w:rFonts w:ascii="Times New Roman" w:cs="Times New Roman" w:eastAsia="Times New Roman" w:hAnsi="Times New Roman"/>
          <w:sz w:val="24"/>
          <w:szCs w:val="24"/>
        </w:rPr>
        <w:t xml:space="preserve"> O corpus não tem marcação de calão ou de línguas nacionais, pelo que não é possível separar o efeito da variedade linguística do efeito da plataforma e do registo. Textos integralmente em kimbundu, kikongo, umbundu ou tchokwe ficam fora do alcance do sistema.</w:t>
      </w:r>
    </w:p>
    <w:p>
      <w:pPr>
        <w:spacing w:after="120" w:before="0" w:line="360"/>
        <w:ind w:firstLine="567"/>
        <w:jc w:val="both"/>
      </w:pPr>
      <w:r>
        <w:rPr>
          <w:rFonts w:ascii="Times New Roman" w:cs="Times New Roman" w:eastAsia="Times New Roman" w:hAnsi="Times New Roman"/>
          <w:b/>
          <w:bCs/>
          <w:sz w:val="24"/>
          <w:szCs w:val="24"/>
        </w:rPr>
        <w:t xml:space="preserve">Avaliação operacional.</w:t>
      </w:r>
      <w:r>
        <w:rPr>
          <w:rFonts w:ascii="Times New Roman" w:cs="Times New Roman" w:eastAsia="Times New Roman" w:hAnsi="Times New Roman"/>
          <w:sz w:val="24"/>
          <w:szCs w:val="24"/>
        </w:rPr>
        <w:t xml:space="preserve"> O tempo de processamento foi medido num único computador, com um único lote, e não inclui o intervalo entre a publicação e a sua recolha. A utilidade da fila para analistas reais e a capacidade de antecipação não foram medidas. O protótipo funciona e está testado, mas a sua eficácia operacional está por demonstrar.</w:t>
      </w:r>
    </w:p>
    <w:p>
      <w:pPr>
        <w:spacing w:after="120" w:before="0" w:line="360"/>
        <w:ind w:firstLine="567"/>
        <w:jc w:val="both"/>
      </w:pPr>
      <w:r>
        <w:rPr>
          <w:rFonts w:ascii="Times New Roman" w:cs="Times New Roman" w:eastAsia="Times New Roman" w:hAnsi="Times New Roman"/>
          <w:b/>
          <w:bCs/>
          <w:sz w:val="24"/>
          <w:szCs w:val="24"/>
        </w:rPr>
        <w:t xml:space="preserve">Fronteira entre protesto e mobilização hostil.</w:t>
      </w:r>
      <w:r>
        <w:rPr>
          <w:rFonts w:ascii="Times New Roman" w:cs="Times New Roman" w:eastAsia="Times New Roman" w:hAnsi="Times New Roman"/>
          <w:sz w:val="24"/>
          <w:szCs w:val="24"/>
        </w:rPr>
        <w:t xml:space="preserve"> Esta fronteira é ambígua mesmo para anotadores humanos. Nenhum resultado desta dissertação autoriza o uso do sistema para fundamentar acções sobre pessoas sem revisão humana e sem enquadramento jurídico.</w:t>
      </w:r>
    </w:p>
    <w:p>
      <w:pPr>
        <w:pStyle w:val="Heading2"/>
        <w:keepNext/>
        <w:keepLines/>
        <w:spacing w:after="160" w:before="360" w:line="300"/>
      </w:pPr>
      <w:r>
        <w:rPr>
          <w:rFonts w:ascii="Times New Roman" w:cs="Times New Roman" w:eastAsia="Times New Roman" w:hAnsi="Times New Roman"/>
          <w:b/>
          <w:bCs/>
          <w:sz w:val="26"/>
          <w:szCs w:val="26"/>
        </w:rPr>
        <w:t xml:space="preserve">5.5 Recomendações e trabalho futuro</w:t>
      </w:r>
    </w:p>
    <w:p>
      <w:pPr>
        <w:spacing w:after="120" w:before="0" w:line="360"/>
        <w:ind w:firstLine="567"/>
        <w:jc w:val="both"/>
      </w:pPr>
      <w:r>
        <w:rPr>
          <w:rFonts w:ascii="Times New Roman" w:cs="Times New Roman" w:eastAsia="Times New Roman" w:hAnsi="Times New Roman"/>
          <w:sz w:val="24"/>
          <w:szCs w:val="24"/>
        </w:rPr>
        <w:t xml:space="preserve">As recomendações estão ordenadas por prioridade. As três primeiras são condições para qualquer uso institucional.</w:t>
      </w:r>
    </w:p>
    <w:p>
      <w:pPr>
        <w:spacing w:after="120" w:before="0" w:line="360"/>
        <w:ind w:firstLine="567"/>
        <w:jc w:val="both"/>
      </w:pPr>
      <w:r>
        <w:rPr>
          <w:rFonts w:ascii="Times New Roman" w:cs="Times New Roman" w:eastAsia="Times New Roman" w:hAnsi="Times New Roman"/>
          <w:b/>
          <w:bCs/>
          <w:sz w:val="24"/>
          <w:szCs w:val="24"/>
        </w:rPr>
        <w:t xml:space="preserve">1. Avaliar o sistema com analistas.</w:t>
      </w:r>
      <w:r>
        <w:rPr>
          <w:rFonts w:ascii="Times New Roman" w:cs="Times New Roman" w:eastAsia="Times New Roman" w:hAnsi="Times New Roman"/>
          <w:sz w:val="24"/>
          <w:szCs w:val="24"/>
        </w:rPr>
        <w:t xml:space="preserve"> Aplicar o protocolo da Secção 3.9 a um lote novo, com analistas: precisão nos primeiros K itens, κ analista–sistema e sensibilidade estimada numa amostra aleatória dos itens classificados como Normal. O sistema já tem as funções necessárias (revisão cega, fila independente por analista e amostra de controlo). Em paralelo, repetir a medição da H2 com a gravação por sublotes, já implementada, e em equipamento de produção.</w:t>
      </w:r>
    </w:p>
    <w:p>
      <w:pPr>
        <w:spacing w:after="120" w:before="0" w:line="360"/>
        <w:ind w:firstLine="567"/>
        <w:jc w:val="both"/>
      </w:pPr>
      <w:r>
        <w:rPr>
          <w:rFonts w:ascii="Times New Roman" w:cs="Times New Roman" w:eastAsia="Times New Roman" w:hAnsi="Times New Roman"/>
          <w:b/>
          <w:bCs/>
          <w:sz w:val="24"/>
          <w:szCs w:val="24"/>
        </w:rPr>
        <w:t xml:space="preserve">2. Obter parecer jurídico.</w:t>
      </w:r>
      <w:r>
        <w:rPr>
          <w:rFonts w:ascii="Times New Roman" w:cs="Times New Roman" w:eastAsia="Times New Roman" w:hAnsi="Times New Roman"/>
          <w:sz w:val="24"/>
          <w:szCs w:val="24"/>
        </w:rPr>
        <w:t xml:space="preserve"> Antes de qualquer integração institucional, obter parecer sobre a recolha de conteúdos públicos à luz da Lei n.º 22/11, da Lei n.º 7/17 e dos termos de utilização das plataformas, e sobre os limites constitucionais à monitorização de publicações de cidadãos.</w:t>
      </w:r>
    </w:p>
    <w:p>
      <w:pPr>
        <w:spacing w:after="120" w:before="0" w:line="360"/>
        <w:ind w:firstLine="567"/>
        <w:jc w:val="both"/>
      </w:pPr>
      <w:r>
        <w:rPr>
          <w:rFonts w:ascii="Times New Roman" w:cs="Times New Roman" w:eastAsia="Times New Roman" w:hAnsi="Times New Roman"/>
          <w:b/>
          <w:bCs/>
          <w:sz w:val="24"/>
          <w:szCs w:val="24"/>
        </w:rPr>
        <w:t xml:space="preserve">3. Ampliar o corpus angolano e medir sempre em Angola.</w:t>
      </w:r>
      <w:r>
        <w:rPr>
          <w:rFonts w:ascii="Times New Roman" w:cs="Times New Roman" w:eastAsia="Times New Roman" w:hAnsi="Times New Roman"/>
          <w:sz w:val="24"/>
          <w:szCs w:val="24"/>
        </w:rPr>
        <w:t xml:space="preserve"> Aumentar o número de exemplos anotados, em especial de Mobilização Hostil e de Desinformação em comentários, e diversificar as plataformas por vias oficiais. O desempenho em conteúdo angolano deve passar a ser a métrica principal do sistema.</w:t>
      </w:r>
    </w:p>
    <w:p>
      <w:pPr>
        <w:spacing w:after="120" w:before="0" w:line="360"/>
        <w:ind w:firstLine="567"/>
        <w:jc w:val="both"/>
      </w:pPr>
      <w:r>
        <w:rPr>
          <w:rFonts w:ascii="Times New Roman" w:cs="Times New Roman" w:eastAsia="Times New Roman" w:hAnsi="Times New Roman"/>
          <w:b/>
          <w:bCs/>
          <w:sz w:val="24"/>
          <w:szCs w:val="24"/>
        </w:rPr>
        <w:t xml:space="preserve">4. Substituir a fonte de desinformação.</w:t>
      </w:r>
      <w:r>
        <w:rPr>
          <w:rFonts w:ascii="Times New Roman" w:cs="Times New Roman" w:eastAsia="Times New Roman" w:hAnsi="Times New Roman"/>
          <w:sz w:val="24"/>
          <w:szCs w:val="24"/>
        </w:rPr>
        <w:t xml:space="preserve"> Construir ou adoptar exemplos de desinformação em formato de publicação curta, de preferência angolanos, para evitar que o modelo aprenda o estilo jornalístico em vez do fenómeno.</w:t>
      </w:r>
    </w:p>
    <w:p>
      <w:pPr>
        <w:spacing w:after="120" w:before="0" w:line="360"/>
        <w:ind w:firstLine="567"/>
        <w:jc w:val="both"/>
      </w:pPr>
      <w:r>
        <w:rPr>
          <w:rFonts w:ascii="Times New Roman" w:cs="Times New Roman" w:eastAsia="Times New Roman" w:hAnsi="Times New Roman"/>
          <w:b/>
          <w:bCs/>
          <w:sz w:val="24"/>
          <w:szCs w:val="24"/>
        </w:rPr>
        <w:t xml:space="preserve">5. Adaptar o modelo ao domínio.</w:t>
      </w:r>
      <w:r>
        <w:rPr>
          <w:rFonts w:ascii="Times New Roman" w:cs="Times New Roman" w:eastAsia="Times New Roman" w:hAnsi="Times New Roman"/>
          <w:sz w:val="24"/>
          <w:szCs w:val="24"/>
        </w:rPr>
        <w:t xml:space="preserve"> Continuar o pré-treino do BERTimbau com comentários angolanos não anotados, quando houver um volume suficiente (da ordem das dezenas de milhares de textos), seguindo Gururangan et al. (2020).</w:t>
      </w:r>
    </w:p>
    <w:p>
      <w:pPr>
        <w:spacing w:after="120" w:before="0" w:line="360"/>
        <w:ind w:firstLine="567"/>
        <w:jc w:val="both"/>
      </w:pPr>
      <w:r>
        <w:rPr>
          <w:rFonts w:ascii="Times New Roman" w:cs="Times New Roman" w:eastAsia="Times New Roman" w:hAnsi="Times New Roman"/>
          <w:b/>
          <w:bCs/>
          <w:sz w:val="24"/>
          <w:szCs w:val="24"/>
        </w:rPr>
        <w:t xml:space="preserve">6. Marcar a variedade linguística.</w:t>
      </w:r>
      <w:r>
        <w:rPr>
          <w:rFonts w:ascii="Times New Roman" w:cs="Times New Roman" w:eastAsia="Times New Roman" w:hAnsi="Times New Roman"/>
          <w:sz w:val="24"/>
          <w:szCs w:val="24"/>
        </w:rPr>
        <w:t xml:space="preserve"> Acrescentar ao guia de anotação a marcação de calão e de línguas nacionais, para permitir medir separadamente o seu efeito, e envolver linguistas na construção de recursos para as línguas nacionais.</w:t>
      </w:r>
    </w:p>
    <w:p>
      <w:pPr>
        <w:spacing w:after="120" w:before="0" w:line="360"/>
        <w:ind w:firstLine="567"/>
        <w:jc w:val="both"/>
      </w:pPr>
      <w:r>
        <w:rPr>
          <w:rFonts w:ascii="Times New Roman" w:cs="Times New Roman" w:eastAsia="Times New Roman" w:hAnsi="Times New Roman"/>
          <w:b/>
          <w:bCs/>
          <w:sz w:val="24"/>
          <w:szCs w:val="24"/>
        </w:rPr>
        <w:t xml:space="preserve">7. Validar a antecipação (H3).</w:t>
      </w:r>
      <w:r>
        <w:rPr>
          <w:rFonts w:ascii="Times New Roman" w:cs="Times New Roman" w:eastAsia="Times New Roman" w:hAnsi="Times New Roman"/>
          <w:sz w:val="24"/>
          <w:szCs w:val="24"/>
        </w:rPr>
        <w:t xml:space="preserve"> Constituir um corpus datado em torno de eventos documentados, com divisão cronológica estrita, e acrescentar ao sistema indicadores agregados no tempo, incluindo métricas de análise de redes para detectar publicação coordenada.</w:t>
      </w:r>
    </w:p>
    <w:p>
      <w:pPr>
        <w:spacing w:after="120" w:before="0" w:line="360"/>
        <w:ind w:firstLine="567"/>
        <w:jc w:val="both"/>
      </w:pPr>
      <w:r>
        <w:rPr>
          <w:rFonts w:ascii="Times New Roman" w:cs="Times New Roman" w:eastAsia="Times New Roman" w:hAnsi="Times New Roman"/>
          <w:b/>
          <w:bCs/>
          <w:sz w:val="24"/>
          <w:szCs w:val="24"/>
        </w:rPr>
        <w:t xml:space="preserve">8. Cooperação e enquadramento normativo.</w:t>
      </w:r>
      <w:r>
        <w:rPr>
          <w:rFonts w:ascii="Times New Roman" w:cs="Times New Roman" w:eastAsia="Times New Roman" w:hAnsi="Times New Roman"/>
          <w:sz w:val="24"/>
          <w:szCs w:val="24"/>
        </w:rPr>
        <w:t xml:space="preserve"> Partilhar recursos e metodologias com instituições do espaço da CPLP que enfrentam problemas semelhantes, e contribuir para um enquadramento nacional sobre o uso de inteligência artificial em segurança, com requisitos de transparência, auditoria e supervisão humana.</w:t>
      </w:r>
    </w:p>
    <w:p>
      <w:pPr>
        <w:pStyle w:val="Heading2"/>
        <w:keepNext/>
        <w:keepLines/>
        <w:spacing w:after="160" w:before="360" w:line="300"/>
      </w:pPr>
      <w:r>
        <w:rPr>
          <w:rFonts w:ascii="Times New Roman" w:cs="Times New Roman" w:eastAsia="Times New Roman" w:hAnsi="Times New Roman"/>
          <w:b/>
          <w:bCs/>
          <w:sz w:val="26"/>
          <w:szCs w:val="26"/>
        </w:rPr>
        <w:t xml:space="preserve">5.6 Considerações finais</w:t>
      </w:r>
    </w:p>
    <w:p>
      <w:pPr>
        <w:spacing w:after="120" w:before="0" w:line="360"/>
        <w:ind w:firstLine="567"/>
        <w:jc w:val="both"/>
      </w:pPr>
      <w:r>
        <w:rPr>
          <w:rFonts w:ascii="Times New Roman" w:cs="Times New Roman" w:eastAsia="Times New Roman" w:hAnsi="Times New Roman"/>
          <w:sz w:val="24"/>
          <w:szCs w:val="24"/>
        </w:rPr>
        <w:t xml:space="preserve">Os resultados mostram que um modelo de linguagem pré-treinado em português é claramente superior aos métodos clássicos, mas também que esse desempenho não se transfere intacto para o conteúdo angolano. Esta segunda conclusão não diminui o trabalho; pelo contrário, é talvez a mais útil, porque diz onde investir: em dados angolanos anotados, em avaliação no domínio real e em sistemas que tratem a classificação como uma sugestão e não como um veredicto. O protótipo desenvolvido segue esse princípio e fica disponível como base para as fases seguintes.</w:t>
      </w:r>
    </w:p>
    <w:p>
      <w:pPr>
        <w:sectPr>
          <w:headerReference w:type="default" r:id="rId21"/>
          <w:footerReference w:type="default" r:id="rId2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REFERÊNCIAS BIBLIOGRÁFICAS</w:t>
      </w:r>
    </w:p>
    <w:p>
      <w:pPr>
        <w:spacing w:after="240" w:line="240"/>
        <w:ind w:left="567" w:hanging="567"/>
        <w:jc w:val="left"/>
      </w:pPr>
      <w:r>
        <w:rPr>
          <w:rFonts w:ascii="Times New Roman" w:cs="Times New Roman" w:eastAsia="Times New Roman" w:hAnsi="Times New Roman"/>
          <w:sz w:val="24"/>
          <w:szCs w:val="24"/>
        </w:rPr>
        <w:t xml:space="preserve">AFRIPOL. (2023). </w:t>
      </w:r>
      <w:r>
        <w:rPr>
          <w:rFonts w:ascii="Times New Roman" w:cs="Times New Roman" w:eastAsia="Times New Roman" w:hAnsi="Times New Roman"/>
          <w:i/>
          <w:iCs/>
          <w:sz w:val="24"/>
          <w:szCs w:val="24"/>
        </w:rPr>
        <w:t xml:space="preserve">African cyberthreat assessment report</w:t>
      </w:r>
      <w:r>
        <w:rPr>
          <w:rFonts w:ascii="Times New Roman" w:cs="Times New Roman" w:eastAsia="Times New Roman" w:hAnsi="Times New Roman"/>
          <w:sz w:val="24"/>
          <w:szCs w:val="24"/>
        </w:rPr>
        <w:t xml:space="preserve">. African Union Mechanism for Police Cooperation; INTERPOL.</w:t>
      </w:r>
    </w:p>
    <w:p>
      <w:pPr>
        <w:spacing w:after="240" w:line="240"/>
        <w:ind w:left="567" w:hanging="567"/>
        <w:jc w:val="left"/>
      </w:pPr>
      <w:r>
        <w:rPr>
          <w:rFonts w:ascii="Times New Roman" w:cs="Times New Roman" w:eastAsia="Times New Roman" w:hAnsi="Times New Roman"/>
          <w:sz w:val="24"/>
          <w:szCs w:val="24"/>
        </w:rPr>
        <w:t xml:space="preserve">Boyd, D. M., &amp; Ellison, N. B. (2007). Social network sites: Definition, history, and scholarship. </w:t>
      </w:r>
      <w:r>
        <w:rPr>
          <w:rFonts w:ascii="Times New Roman" w:cs="Times New Roman" w:eastAsia="Times New Roman" w:hAnsi="Times New Roman"/>
          <w:i/>
          <w:iCs/>
          <w:sz w:val="24"/>
          <w:szCs w:val="24"/>
        </w:rPr>
        <w:t xml:space="preserve">Journal of Computer-Mediated Communication, 13</w:t>
      </w:r>
      <w:r>
        <w:rPr>
          <w:rFonts w:ascii="Times New Roman" w:cs="Times New Roman" w:eastAsia="Times New Roman" w:hAnsi="Times New Roman"/>
          <w:sz w:val="24"/>
          <w:szCs w:val="24"/>
        </w:rPr>
        <w:t xml:space="preserve">(1), 210–230. https://doi.org/10.1111/j.1083-6101.2007.00393.x</w:t>
      </w:r>
    </w:p>
    <w:p>
      <w:pPr>
        <w:spacing w:after="240" w:line="240"/>
        <w:ind w:left="567" w:hanging="567"/>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240" w:line="240"/>
        <w:ind w:left="567" w:hanging="567"/>
        <w:jc w:val="left"/>
      </w:pPr>
      <w:r>
        <w:rPr>
          <w:rFonts w:ascii="Times New Roman" w:cs="Times New Roman" w:eastAsia="Times New Roman" w:hAnsi="Times New Roman"/>
          <w:sz w:val="24"/>
          <w:szCs w:val="24"/>
        </w:rPr>
        <w:t xml:space="preserve">Castells, M. (2013). </w:t>
      </w:r>
      <w:r>
        <w:rPr>
          <w:rFonts w:ascii="Times New Roman" w:cs="Times New Roman" w:eastAsia="Times New Roman" w:hAnsi="Times New Roman"/>
          <w:i/>
          <w:iCs/>
          <w:sz w:val="24"/>
          <w:szCs w:val="24"/>
        </w:rPr>
        <w:t xml:space="preserve">Redes de indignação e esperança: Movimentos sociais na era da Internet</w:t>
      </w:r>
      <w:r>
        <w:rPr>
          <w:rFonts w:ascii="Times New Roman" w:cs="Times New Roman" w:eastAsia="Times New Roman" w:hAnsi="Times New Roman"/>
          <w:sz w:val="24"/>
          <w:szCs w:val="24"/>
        </w:rPr>
        <w:t xml:space="preserve">. Zahar.</w:t>
      </w:r>
    </w:p>
    <w:p>
      <w:pPr>
        <w:spacing w:after="240" w:line="240"/>
        <w:ind w:left="567" w:hanging="567"/>
        <w:jc w:val="left"/>
      </w:pPr>
      <w:r>
        <w:rPr>
          <w:rFonts w:ascii="Times New Roman" w:cs="Times New Roman" w:eastAsia="Times New Roman" w:hAnsi="Times New Roman"/>
          <w:sz w:val="24"/>
          <w:szCs w:val="24"/>
        </w:rPr>
        <w:t xml:space="preserve">Cintra, E. S. (2025). </w:t>
      </w:r>
      <w:r>
        <w:rPr>
          <w:rFonts w:ascii="Times New Roman" w:cs="Times New Roman" w:eastAsia="Times New Roman" w:hAnsi="Times New Roman"/>
          <w:i/>
          <w:iCs/>
          <w:sz w:val="24"/>
          <w:szCs w:val="24"/>
        </w:rPr>
        <w:t xml:space="preserve">Desafios midiáticos digitais contemporâneos: Um estudo da ciência das redes como contribuição ao Ministério da Defesa do Brasil sobre as aplicações do terrorismo peer-to-peer</w:t>
      </w:r>
      <w:r>
        <w:rPr>
          <w:rFonts w:ascii="Times New Roman" w:cs="Times New Roman" w:eastAsia="Times New Roman" w:hAnsi="Times New Roman"/>
          <w:sz w:val="24"/>
          <w:szCs w:val="24"/>
        </w:rPr>
        <w:t xml:space="preserve"> [Dissertação de mestrado, Escola Superior de Guerra].</w:t>
      </w:r>
    </w:p>
    <w:p>
      <w:pPr>
        <w:spacing w:after="240" w:line="240"/>
        <w:ind w:left="567" w:hanging="567"/>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 https://doi.org/10.1613/jair.953</w:t>
      </w:r>
    </w:p>
    <w:p>
      <w:pPr>
        <w:spacing w:after="240" w:line="240"/>
        <w:ind w:left="567" w:hanging="567"/>
        <w:jc w:val="left"/>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and Psychological Measurement, 20</w:t>
      </w:r>
      <w:r>
        <w:rPr>
          <w:rFonts w:ascii="Times New Roman" w:cs="Times New Roman" w:eastAsia="Times New Roman" w:hAnsi="Times New Roman"/>
          <w:sz w:val="24"/>
          <w:szCs w:val="24"/>
        </w:rPr>
        <w:t xml:space="preserve">(1), 37–46. https://doi.org/10.1177/001316446002000104</w:t>
      </w:r>
    </w:p>
    <w:p>
      <w:pPr>
        <w:spacing w:after="240" w:line="240"/>
        <w:ind w:left="567" w:hanging="567"/>
        <w:jc w:val="left"/>
      </w:pPr>
      <w:r>
        <w:rPr>
          <w:rFonts w:ascii="Times New Roman" w:cs="Times New Roman" w:eastAsia="Times New Roman" w:hAnsi="Times New Roman"/>
          <w:sz w:val="24"/>
          <w:szCs w:val="24"/>
        </w:rPr>
        <w:t xml:space="preserve">Conselho da Europa. (2022). </w:t>
      </w:r>
      <w:r>
        <w:rPr>
          <w:rFonts w:ascii="Times New Roman" w:cs="Times New Roman" w:eastAsia="Times New Roman" w:hAnsi="Times New Roman"/>
          <w:i/>
          <w:iCs/>
          <w:sz w:val="24"/>
          <w:szCs w:val="24"/>
        </w:rPr>
        <w:t xml:space="preserve">Recomendação CM/Rec(2022)16 do Comité de Ministros aos Estados-membros sobre o combate ao discurso de ódio</w:t>
      </w:r>
      <w:r>
        <w:rPr>
          <w:rFonts w:ascii="Times New Roman" w:cs="Times New Roman" w:eastAsia="Times New Roman" w:hAnsi="Times New Roman"/>
          <w:sz w:val="24"/>
          <w:szCs w:val="24"/>
        </w:rPr>
        <w:t xml:space="preserve">. Conselho da Europa.</w:t>
      </w:r>
    </w:p>
    <w:p>
      <w:pPr>
        <w:spacing w:after="240" w:line="240"/>
        <w:ind w:left="567" w:hanging="567"/>
        <w:jc w:val="left"/>
      </w:pPr>
      <w:r>
        <w:rPr>
          <w:rFonts w:ascii="Times New Roman" w:cs="Times New Roman" w:eastAsia="Times New Roman" w:hAnsi="Times New Roman"/>
          <w:sz w:val="24"/>
          <w:szCs w:val="24"/>
        </w:rPr>
        <w:t xml:space="preserve">Cortes, C., &amp; Vapnik, V. (1995). Support-vector networks. </w:t>
      </w:r>
      <w:r>
        <w:rPr>
          <w:rFonts w:ascii="Times New Roman" w:cs="Times New Roman" w:eastAsia="Times New Roman" w:hAnsi="Times New Roman"/>
          <w:i/>
          <w:iCs/>
          <w:sz w:val="24"/>
          <w:szCs w:val="24"/>
        </w:rPr>
        <w:t xml:space="preserve">Machine Learning, 20</w:t>
      </w:r>
      <w:r>
        <w:rPr>
          <w:rFonts w:ascii="Times New Roman" w:cs="Times New Roman" w:eastAsia="Times New Roman" w:hAnsi="Times New Roman"/>
          <w:sz w:val="24"/>
          <w:szCs w:val="24"/>
        </w:rPr>
        <w:t xml:space="preserve">(3), 273–297. https://doi.org/10.1007/BF00994018</w:t>
      </w:r>
    </w:p>
    <w:p>
      <w:pPr>
        <w:spacing w:after="240" w:line="240"/>
        <w:ind w:left="567" w:hanging="567"/>
        <w:jc w:val="left"/>
      </w:pPr>
      <w:r>
        <w:rPr>
          <w:rFonts w:ascii="Times New Roman" w:cs="Times New Roman" w:eastAsia="Times New Roman" w:hAnsi="Times New Roman"/>
          <w:sz w:val="24"/>
          <w:szCs w:val="24"/>
        </w:rPr>
        <w:t xml:space="preserve">Defense Advanced Research Projects Agency. (2016). </w:t>
      </w:r>
      <w:r>
        <w:rPr>
          <w:rFonts w:ascii="Times New Roman" w:cs="Times New Roman" w:eastAsia="Times New Roman" w:hAnsi="Times New Roman"/>
          <w:i/>
          <w:iCs/>
          <w:sz w:val="24"/>
          <w:szCs w:val="24"/>
        </w:rPr>
        <w:t xml:space="preserve">Media forensics (MediFor)</w:t>
      </w:r>
      <w:r>
        <w:rPr>
          <w:rFonts w:ascii="Times New Roman" w:cs="Times New Roman" w:eastAsia="Times New Roman" w:hAnsi="Times New Roman"/>
          <w:sz w:val="24"/>
          <w:szCs w:val="24"/>
        </w:rPr>
        <w:t xml:space="preserve">. U.S. Department of Defense. https://www.darpa.mil/research/programs/media-forensics</w:t>
      </w:r>
    </w:p>
    <w:p>
      <w:pPr>
        <w:spacing w:after="240" w:line="240"/>
        <w:ind w:left="567" w:hanging="567"/>
        <w:jc w:val="left"/>
      </w:pPr>
      <w:r>
        <w:rPr>
          <w:rFonts w:ascii="Times New Roman" w:cs="Times New Roman" w:eastAsia="Times New Roman" w:hAnsi="Times New Roman"/>
          <w:sz w:val="24"/>
          <w:szCs w:val="24"/>
        </w:rPr>
        <w:t xml:space="preserve">Devlin, J., Chang, M.-W., Lee, K., &amp; Toutanova, K. (2018). </w:t>
      </w:r>
      <w:r>
        <w:rPr>
          <w:rFonts w:ascii="Times New Roman" w:cs="Times New Roman" w:eastAsia="Times New Roman" w:hAnsi="Times New Roman"/>
          <w:i/>
          <w:iCs/>
          <w:sz w:val="24"/>
          <w:szCs w:val="24"/>
        </w:rPr>
        <w:t xml:space="preserve">BERT: Pre-training of deep bidirectional transformers for language understanding</w:t>
      </w:r>
      <w:r>
        <w:rPr>
          <w:rFonts w:ascii="Times New Roman" w:cs="Times New Roman" w:eastAsia="Times New Roman" w:hAnsi="Times New Roman"/>
          <w:sz w:val="24"/>
          <w:szCs w:val="24"/>
        </w:rPr>
        <w:t xml:space="preserve"> (arXiv:1810.04805). arXiv. https://arxiv.org/abs/1810.04805</w:t>
      </w:r>
    </w:p>
    <w:p>
      <w:pPr>
        <w:spacing w:after="240" w:line="240"/>
        <w:ind w:left="567" w:hanging="567"/>
        <w:jc w:val="left"/>
      </w:pPr>
      <w:r>
        <w:rPr>
          <w:rFonts w:ascii="Times New Roman" w:cs="Times New Roman" w:eastAsia="Times New Roman" w:hAnsi="Times New Roman"/>
          <w:sz w:val="24"/>
          <w:szCs w:val="24"/>
        </w:rPr>
        <w:t xml:space="preserve">Dietterich, T. G. (1998). Approximate statistical tests for comparing supervised classification learning algorithms. </w:t>
      </w:r>
      <w:r>
        <w:rPr>
          <w:rFonts w:ascii="Times New Roman" w:cs="Times New Roman" w:eastAsia="Times New Roman" w:hAnsi="Times New Roman"/>
          <w:i/>
          <w:iCs/>
          <w:sz w:val="24"/>
          <w:szCs w:val="24"/>
        </w:rPr>
        <w:t xml:space="preserve">Neural Computation, 10</w:t>
      </w:r>
      <w:r>
        <w:rPr>
          <w:rFonts w:ascii="Times New Roman" w:cs="Times New Roman" w:eastAsia="Times New Roman" w:hAnsi="Times New Roman"/>
          <w:sz w:val="24"/>
          <w:szCs w:val="24"/>
        </w:rPr>
        <w:t xml:space="preserve">(7), 1895–1923. https://doi.org/10.1162/089976698300017197</w:t>
      </w:r>
    </w:p>
    <w:p>
      <w:pPr>
        <w:spacing w:after="240" w:line="240"/>
        <w:ind w:left="567" w:hanging="567"/>
        <w:jc w:val="left"/>
      </w:pPr>
      <w:r>
        <w:rPr>
          <w:rFonts w:ascii="Times New Roman" w:cs="Times New Roman" w:eastAsia="Times New Roman" w:hAnsi="Times New Roman"/>
          <w:sz w:val="24"/>
          <w:szCs w:val="24"/>
        </w:rPr>
        <w:t xml:space="preserve">Efron, B., &amp; Tibshirani, R. J. (1993). </w:t>
      </w:r>
      <w:r>
        <w:rPr>
          <w:rFonts w:ascii="Times New Roman" w:cs="Times New Roman" w:eastAsia="Times New Roman" w:hAnsi="Times New Roman"/>
          <w:i/>
          <w:iCs/>
          <w:sz w:val="24"/>
          <w:szCs w:val="24"/>
        </w:rPr>
        <w:t xml:space="preserve">An introduction to the bootstrap</w:t>
      </w:r>
      <w:r>
        <w:rPr>
          <w:rFonts w:ascii="Times New Roman" w:cs="Times New Roman" w:eastAsia="Times New Roman" w:hAnsi="Times New Roman"/>
          <w:sz w:val="24"/>
          <w:szCs w:val="24"/>
        </w:rPr>
        <w:t xml:space="preserve">. Chapman &amp; Hall.</w:t>
      </w:r>
    </w:p>
    <w:p>
      <w:pPr>
        <w:spacing w:after="240" w:line="240"/>
        <w:ind w:left="567" w:hanging="567"/>
        <w:jc w:val="left"/>
      </w:pPr>
      <w:r>
        <w:rPr>
          <w:rFonts w:ascii="Times New Roman" w:cs="Times New Roman" w:eastAsia="Times New Roman" w:hAnsi="Times New Roman"/>
          <w:sz w:val="24"/>
          <w:szCs w:val="24"/>
        </w:rPr>
        <w:t xml:space="preserve">Elias, L. (2019). O terrorismo transnacional contemporâneo: Segurança, justiça e cooperação. </w:t>
      </w:r>
      <w:r>
        <w:rPr>
          <w:rFonts w:ascii="Times New Roman" w:cs="Times New Roman" w:eastAsia="Times New Roman" w:hAnsi="Times New Roman"/>
          <w:i/>
          <w:iCs/>
          <w:sz w:val="24"/>
          <w:szCs w:val="24"/>
        </w:rPr>
        <w:t xml:space="preserve">Nação e Defesa, 152</w:t>
      </w:r>
      <w:r>
        <w:rPr>
          <w:rFonts w:ascii="Times New Roman" w:cs="Times New Roman" w:eastAsia="Times New Roman" w:hAnsi="Times New Roman"/>
          <w:sz w:val="24"/>
          <w:szCs w:val="24"/>
        </w:rPr>
        <w:t xml:space="preserve">, 78–112.</w:t>
      </w:r>
    </w:p>
    <w:p>
      <w:pPr>
        <w:spacing w:after="240" w:line="240"/>
        <w:ind w:left="567" w:hanging="567"/>
        <w:jc w:val="left"/>
      </w:pPr>
      <w:r>
        <w:rPr>
          <w:rFonts w:ascii="Times New Roman" w:cs="Times New Roman" w:eastAsia="Times New Roman" w:hAnsi="Times New Roman"/>
          <w:sz w:val="24"/>
          <w:szCs w:val="24"/>
        </w:rPr>
        <w:t xml:space="preserve">EU DisinfoLab. (2020). </w:t>
      </w:r>
      <w:r>
        <w:rPr>
          <w:rFonts w:ascii="Times New Roman" w:cs="Times New Roman" w:eastAsia="Times New Roman" w:hAnsi="Times New Roman"/>
          <w:i/>
          <w:iCs/>
          <w:sz w:val="24"/>
          <w:szCs w:val="24"/>
        </w:rPr>
        <w:t xml:space="preserve">Methodologies for mapping disinformation networks and social network analysis</w:t>
      </w:r>
      <w:r>
        <w:rPr>
          <w:rFonts w:ascii="Times New Roman" w:cs="Times New Roman" w:eastAsia="Times New Roman" w:hAnsi="Times New Roman"/>
          <w:sz w:val="24"/>
          <w:szCs w:val="24"/>
        </w:rPr>
        <w:t xml:space="preserve">. EU DisinfoLab. https://www.disinfo.eu/</w:t>
      </w:r>
    </w:p>
    <w:p>
      <w:pPr>
        <w:spacing w:after="240" w:line="240"/>
        <w:ind w:left="567" w:hanging="567"/>
        <w:jc w:val="left"/>
      </w:pPr>
      <w:r>
        <w:rPr>
          <w:rFonts w:ascii="Times New Roman" w:cs="Times New Roman" w:eastAsia="Times New Roman" w:hAnsi="Times New Roman"/>
          <w:sz w:val="24"/>
          <w:szCs w:val="24"/>
        </w:rPr>
        <w:t xml:space="preserve">EU DisinfoLab. (2021). </w:t>
      </w:r>
      <w:r>
        <w:rPr>
          <w:rFonts w:ascii="Times New Roman" w:cs="Times New Roman" w:eastAsia="Times New Roman" w:hAnsi="Times New Roman"/>
          <w:i/>
          <w:iCs/>
          <w:sz w:val="24"/>
          <w:szCs w:val="24"/>
        </w:rPr>
        <w:t xml:space="preserve">Indian chronicles: Deep dive into a 15-year operation targeting the EU and UN</w:t>
      </w:r>
      <w:r>
        <w:rPr>
          <w:rFonts w:ascii="Times New Roman" w:cs="Times New Roman" w:eastAsia="Times New Roman" w:hAnsi="Times New Roman"/>
          <w:sz w:val="24"/>
          <w:szCs w:val="24"/>
        </w:rPr>
        <w:t xml:space="preserve">. EU DisinfoLab.</w:t>
      </w:r>
    </w:p>
    <w:p>
      <w:pPr>
        <w:spacing w:after="240" w:line="240"/>
        <w:ind w:left="567" w:hanging="567"/>
        <w:jc w:val="left"/>
      </w:pPr>
      <w:r>
        <w:rPr>
          <w:rFonts w:ascii="Times New Roman" w:cs="Times New Roman" w:eastAsia="Times New Roman" w:hAnsi="Times New Roman"/>
          <w:sz w:val="24"/>
          <w:szCs w:val="24"/>
        </w:rPr>
        <w:t xml:space="preserve">Fleiss, J. L. (1971). Measuring nominal scale agreement among many raters. </w:t>
      </w:r>
      <w:r>
        <w:rPr>
          <w:rFonts w:ascii="Times New Roman" w:cs="Times New Roman" w:eastAsia="Times New Roman" w:hAnsi="Times New Roman"/>
          <w:i/>
          <w:iCs/>
          <w:sz w:val="24"/>
          <w:szCs w:val="24"/>
        </w:rPr>
        <w:t xml:space="preserve">Psychological Bulletin, 76</w:t>
      </w:r>
      <w:r>
        <w:rPr>
          <w:rFonts w:ascii="Times New Roman" w:cs="Times New Roman" w:eastAsia="Times New Roman" w:hAnsi="Times New Roman"/>
          <w:sz w:val="24"/>
          <w:szCs w:val="24"/>
        </w:rPr>
        <w:t xml:space="preserve">(5), 378–382. https://doi.org/10.1037/h0031619</w:t>
      </w:r>
    </w:p>
    <w:p>
      <w:pPr>
        <w:spacing w:after="240" w:line="240"/>
        <w:ind w:left="567" w:hanging="567"/>
        <w:jc w:val="left"/>
      </w:pPr>
      <w:r>
        <w:rPr>
          <w:rFonts w:ascii="Times New Roman" w:cs="Times New Roman" w:eastAsia="Times New Roman" w:hAnsi="Times New Roman"/>
          <w:sz w:val="24"/>
          <w:szCs w:val="24"/>
        </w:rPr>
        <w:t xml:space="preserve">Fortuna, P., &amp; Nunes, S. (2018). A survey on automatic detection of hate speech in text. </w:t>
      </w:r>
      <w:r>
        <w:rPr>
          <w:rFonts w:ascii="Times New Roman" w:cs="Times New Roman" w:eastAsia="Times New Roman" w:hAnsi="Times New Roman"/>
          <w:i/>
          <w:iCs/>
          <w:sz w:val="24"/>
          <w:szCs w:val="24"/>
        </w:rPr>
        <w:t xml:space="preserve">ACM Computing Surveys, 51</w:t>
      </w:r>
      <w:r>
        <w:rPr>
          <w:rFonts w:ascii="Times New Roman" w:cs="Times New Roman" w:eastAsia="Times New Roman" w:hAnsi="Times New Roman"/>
          <w:sz w:val="24"/>
          <w:szCs w:val="24"/>
        </w:rPr>
        <w:t xml:space="preserve">(4), Artigo 85. https://doi.org/10.1145/3232676</w:t>
      </w:r>
    </w:p>
    <w:p>
      <w:pPr>
        <w:spacing w:after="240" w:line="240"/>
        <w:ind w:left="567" w:hanging="567"/>
        <w:jc w:val="left"/>
      </w:pPr>
      <w:r>
        <w:rPr>
          <w:rFonts w:ascii="Times New Roman" w:cs="Times New Roman" w:eastAsia="Times New Roman" w:hAnsi="Times New Roman"/>
          <w:sz w:val="24"/>
          <w:szCs w:val="24"/>
        </w:rPr>
        <w:t xml:space="preserve">Fortuna, P., Soler-Company, J., &amp; Wanner, L. (2021). How well do hate speech, toxicity, abusive and offensive language classification models generalize across datasets? </w:t>
      </w:r>
      <w:r>
        <w:rPr>
          <w:rFonts w:ascii="Times New Roman" w:cs="Times New Roman" w:eastAsia="Times New Roman" w:hAnsi="Times New Roman"/>
          <w:i/>
          <w:iCs/>
          <w:sz w:val="24"/>
          <w:szCs w:val="24"/>
        </w:rPr>
        <w:t xml:space="preserve">Information Processing &amp; Management, 58</w:t>
      </w:r>
      <w:r>
        <w:rPr>
          <w:rFonts w:ascii="Times New Roman" w:cs="Times New Roman" w:eastAsia="Times New Roman" w:hAnsi="Times New Roman"/>
          <w:sz w:val="24"/>
          <w:szCs w:val="24"/>
        </w:rPr>
        <w:t xml:space="preserve">(3), Artigo 102524. https://doi.org/10.1016/j.ipm.2021.102524</w:t>
      </w:r>
    </w:p>
    <w:p>
      <w:pPr>
        <w:spacing w:after="240" w:line="240"/>
        <w:ind w:left="567" w:hanging="567"/>
        <w:jc w:val="left"/>
      </w:pPr>
      <w:r>
        <w:rPr>
          <w:rFonts w:ascii="Times New Roman" w:cs="Times New Roman" w:eastAsia="Times New Roman" w:hAnsi="Times New Roman"/>
          <w:sz w:val="24"/>
          <w:szCs w:val="24"/>
        </w:rPr>
        <w:t xml:space="preserve">Freire, C. P. (2015). </w:t>
      </w:r>
      <w:r>
        <w:rPr>
          <w:rFonts w:ascii="Times New Roman" w:cs="Times New Roman" w:eastAsia="Times New Roman" w:hAnsi="Times New Roman"/>
          <w:i/>
          <w:iCs/>
          <w:sz w:val="24"/>
          <w:szCs w:val="24"/>
        </w:rPr>
        <w:t xml:space="preserve">Método de monitoramento de redes sociais: Epistemologia, técnicas e propostas de mineração de banco de dados para conteúdos gerados por fãs de telenovela em redes sociais</w:t>
      </w:r>
      <w:r>
        <w:rPr>
          <w:rFonts w:ascii="Times New Roman" w:cs="Times New Roman" w:eastAsia="Times New Roman" w:hAnsi="Times New Roman"/>
          <w:sz w:val="24"/>
          <w:szCs w:val="24"/>
        </w:rPr>
        <w:t xml:space="preserve"> [Tese de doutoramento, Universidade de São Paulo].</w:t>
      </w:r>
    </w:p>
    <w:p>
      <w:pPr>
        <w:spacing w:after="240" w:line="240"/>
        <w:ind w:left="567" w:hanging="567"/>
        <w:jc w:val="left"/>
      </w:pPr>
      <w:r>
        <w:rPr>
          <w:rFonts w:ascii="Times New Roman" w:cs="Times New Roman" w:eastAsia="Times New Roman" w:hAnsi="Times New Roman"/>
          <w:sz w:val="24"/>
          <w:szCs w:val="24"/>
        </w:rPr>
        <w:t xml:space="preserve">Geirhos, R., Jacobsen, J.-H., Michaelis, C., Zemel, R., Brendel, W., Bethge, M., &amp; Wichmann, F. A. (2020). Shortcut learning in deep neural networks. </w:t>
      </w:r>
      <w:r>
        <w:rPr>
          <w:rFonts w:ascii="Times New Roman" w:cs="Times New Roman" w:eastAsia="Times New Roman" w:hAnsi="Times New Roman"/>
          <w:i/>
          <w:iCs/>
          <w:sz w:val="24"/>
          <w:szCs w:val="24"/>
        </w:rPr>
        <w:t xml:space="preserve">Nature Machine Intelligence, 2</w:t>
      </w:r>
      <w:r>
        <w:rPr>
          <w:rFonts w:ascii="Times New Roman" w:cs="Times New Roman" w:eastAsia="Times New Roman" w:hAnsi="Times New Roman"/>
          <w:sz w:val="24"/>
          <w:szCs w:val="24"/>
        </w:rPr>
        <w:t xml:space="preserve">(11), 665–673. https://doi.org/10.1038/s42256-020-00257-z</w:t>
      </w:r>
    </w:p>
    <w:p>
      <w:pPr>
        <w:spacing w:after="240" w:line="240"/>
        <w:ind w:left="567" w:hanging="567"/>
        <w:jc w:val="left"/>
      </w:pPr>
      <w:r>
        <w:rPr>
          <w:rFonts w:ascii="Times New Roman" w:cs="Times New Roman" w:eastAsia="Times New Roman" w:hAnsi="Times New Roman"/>
          <w:sz w:val="24"/>
          <w:szCs w:val="24"/>
        </w:rPr>
        <w:t xml:space="preserve">Gururangan, S., Marasović, A., Swayamdipta, S., Lo, K., Beltagy, I., Downey, D., &amp; Smith, N. A. (2020). Don't stop pretraining: Adapt language models to domains and tasks. In </w:t>
      </w:r>
      <w:r>
        <w:rPr>
          <w:rFonts w:ascii="Times New Roman" w:cs="Times New Roman" w:eastAsia="Times New Roman" w:hAnsi="Times New Roman"/>
          <w:i/>
          <w:iCs/>
          <w:sz w:val="24"/>
          <w:szCs w:val="24"/>
        </w:rPr>
        <w:t xml:space="preserve">Proceedings of the 58th Annual Meeting of the Association for Computational Linguistics</w:t>
      </w:r>
      <w:r>
        <w:rPr>
          <w:rFonts w:ascii="Times New Roman" w:cs="Times New Roman" w:eastAsia="Times New Roman" w:hAnsi="Times New Roman"/>
          <w:sz w:val="24"/>
          <w:szCs w:val="24"/>
        </w:rPr>
        <w:t xml:space="preserve"> (pp. 8342–8360). Association for Computational Linguistics. https://doi.org/10.18653/v1/2020.acl-main.740</w:t>
      </w:r>
    </w:p>
    <w:p>
      <w:pPr>
        <w:spacing w:after="240" w:line="240"/>
        <w:ind w:left="567" w:hanging="567"/>
        <w:jc w:val="left"/>
      </w:pPr>
      <w:r>
        <w:rPr>
          <w:rFonts w:ascii="Times New Roman" w:cs="Times New Roman" w:eastAsia="Times New Roman" w:hAnsi="Times New Roman"/>
          <w:sz w:val="24"/>
          <w:szCs w:val="24"/>
        </w:rPr>
        <w:t xml:space="preserve">Hassane, A. C. J. (2021). 2022 vais gostar: A onda de manifestações da juventude em Angola. </w:t>
      </w:r>
      <w:r>
        <w:rPr>
          <w:rFonts w:ascii="Times New Roman" w:cs="Times New Roman" w:eastAsia="Times New Roman" w:hAnsi="Times New Roman"/>
          <w:i/>
          <w:iCs/>
          <w:sz w:val="24"/>
          <w:szCs w:val="24"/>
        </w:rPr>
        <w:t xml:space="preserve">Revista Relações Internacionais e Diplomacia em Análise, 2</w:t>
      </w:r>
      <w:r>
        <w:rPr>
          <w:rFonts w:ascii="Times New Roman" w:cs="Times New Roman" w:eastAsia="Times New Roman" w:hAnsi="Times New Roman"/>
          <w:sz w:val="24"/>
          <w:szCs w:val="24"/>
        </w:rPr>
        <w:t xml:space="preserve">(3), 28–40.</w:t>
      </w:r>
    </w:p>
    <w:p>
      <w:pPr>
        <w:spacing w:after="240" w:line="240"/>
        <w:ind w:left="567" w:hanging="567"/>
        <w:jc w:val="left"/>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after="240" w:line="240"/>
        <w:ind w:left="567" w:hanging="567"/>
        <w:jc w:val="left"/>
      </w:pPr>
      <w:r>
        <w:rPr>
          <w:rFonts w:ascii="Times New Roman" w:cs="Times New Roman" w:eastAsia="Times New Roman" w:hAnsi="Times New Roman"/>
          <w:sz w:val="24"/>
          <w:szCs w:val="24"/>
        </w:rPr>
        <w:t xml:space="preserve">Joachims, T. (1998). Text categorization with support vector machines: Learning with many relevant features. In C. Nédellec &amp; C. Rouveirol (Eds.), </w:t>
      </w:r>
      <w:r>
        <w:rPr>
          <w:rFonts w:ascii="Times New Roman" w:cs="Times New Roman" w:eastAsia="Times New Roman" w:hAnsi="Times New Roman"/>
          <w:i/>
          <w:iCs/>
          <w:sz w:val="24"/>
          <w:szCs w:val="24"/>
        </w:rPr>
        <w:t xml:space="preserve">Machine Learning: ECML-98</w:t>
      </w:r>
      <w:r>
        <w:rPr>
          <w:rFonts w:ascii="Times New Roman" w:cs="Times New Roman" w:eastAsia="Times New Roman" w:hAnsi="Times New Roman"/>
          <w:sz w:val="24"/>
          <w:szCs w:val="24"/>
        </w:rPr>
        <w:t xml:space="preserve"> (pp. 137–142). Springer. https://doi.org/10.1007/BFb0026683</w:t>
      </w:r>
    </w:p>
    <w:p>
      <w:pPr>
        <w:spacing w:after="240" w:line="240"/>
        <w:ind w:left="567" w:hanging="567"/>
        <w:jc w:val="left"/>
      </w:pPr>
      <w:r>
        <w:rPr>
          <w:rFonts w:ascii="Times New Roman" w:cs="Times New Roman" w:eastAsia="Times New Roman" w:hAnsi="Times New Roman"/>
          <w:sz w:val="24"/>
          <w:szCs w:val="24"/>
        </w:rPr>
        <w:t xml:space="preserve">Kemp, S. (2025).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DataReportal. https://datareportal.com/reports/digital-2026-angola</w:t>
      </w:r>
    </w:p>
    <w:p>
      <w:pPr>
        <w:spacing w:after="240" w:line="240"/>
        <w:ind w:left="567" w:hanging="567"/>
        <w:jc w:val="left"/>
      </w:pPr>
      <w:r>
        <w:rPr>
          <w:rFonts w:ascii="Times New Roman" w:cs="Times New Roman" w:eastAsia="Times New Roman" w:hAnsi="Times New Roman"/>
          <w:sz w:val="24"/>
          <w:szCs w:val="24"/>
        </w:rPr>
        <w:t xml:space="preserve">Landis, J. R., &amp; Koch, G. G. (1977). The measurement of observer agreement for categorical data. </w:t>
      </w:r>
      <w:r>
        <w:rPr>
          <w:rFonts w:ascii="Times New Roman" w:cs="Times New Roman" w:eastAsia="Times New Roman" w:hAnsi="Times New Roman"/>
          <w:i/>
          <w:iCs/>
          <w:sz w:val="24"/>
          <w:szCs w:val="24"/>
        </w:rPr>
        <w:t xml:space="preserve">Biometrics, 33</w:t>
      </w:r>
      <w:r>
        <w:rPr>
          <w:rFonts w:ascii="Times New Roman" w:cs="Times New Roman" w:eastAsia="Times New Roman" w:hAnsi="Times New Roman"/>
          <w:sz w:val="24"/>
          <w:szCs w:val="24"/>
        </w:rPr>
        <w:t xml:space="preserve">(1), 159–174. https://doi.org/10.2307/2529310</w:t>
      </w:r>
    </w:p>
    <w:p>
      <w:pPr>
        <w:spacing w:after="240" w:line="240"/>
        <w:ind w:left="567" w:hanging="567"/>
        <w:jc w:val="left"/>
      </w:pPr>
      <w:r>
        <w:rPr>
          <w:rFonts w:ascii="Times New Roman" w:cs="Times New Roman" w:eastAsia="Times New Roman" w:hAnsi="Times New Roman"/>
          <w:sz w:val="24"/>
          <w:szCs w:val="24"/>
        </w:rPr>
        <w:t xml:space="preserve">Leite, J. A., Silva, D., Bontcheva, K., &amp; Scarton, C. (2020). Toxic language detection in social media for Brazilian Portuguese: New dataset and multilingual analysis. In </w:t>
      </w:r>
      <w:r>
        <w:rPr>
          <w:rFonts w:ascii="Times New Roman" w:cs="Times New Roman" w:eastAsia="Times New Roman" w:hAnsi="Times New Roman"/>
          <w:i/>
          <w:iCs/>
          <w:sz w:val="24"/>
          <w:szCs w:val="24"/>
        </w:rPr>
        <w:t xml:space="preserve">Proceedings of the 1st Conference of the Asia-Pacific Chapter of the Association for Computational Linguistics and the 10th International Joint Conference on Natural Language Processing</w:t>
      </w:r>
      <w:r>
        <w:rPr>
          <w:rFonts w:ascii="Times New Roman" w:cs="Times New Roman" w:eastAsia="Times New Roman" w:hAnsi="Times New Roman"/>
          <w:sz w:val="24"/>
          <w:szCs w:val="24"/>
        </w:rPr>
        <w:t xml:space="preserve"> (pp. 914–924). Association for Computational Linguistics.</w:t>
      </w:r>
    </w:p>
    <w:p>
      <w:pPr>
        <w:spacing w:after="240" w:line="240"/>
        <w:ind w:left="567" w:hanging="567"/>
        <w:jc w:val="left"/>
      </w:pPr>
      <w:r>
        <w:rPr>
          <w:rFonts w:ascii="Times New Roman" w:cs="Times New Roman" w:eastAsia="Times New Roman" w:hAnsi="Times New Roman"/>
          <w:sz w:val="24"/>
          <w:szCs w:val="24"/>
        </w:rPr>
        <w:t xml:space="preserve">Marcon, F. (2019). Agências estetizadas: Juventudes, mobilizações e ativismos em Angola. </w:t>
      </w:r>
      <w:r>
        <w:rPr>
          <w:rFonts w:ascii="Times New Roman" w:cs="Times New Roman" w:eastAsia="Times New Roman" w:hAnsi="Times New Roman"/>
          <w:i/>
          <w:iCs/>
          <w:sz w:val="24"/>
          <w:szCs w:val="24"/>
        </w:rPr>
        <w:t xml:space="preserve">Crítica e Sociedade, 9</w:t>
      </w:r>
      <w:r>
        <w:rPr>
          <w:rFonts w:ascii="Times New Roman" w:cs="Times New Roman" w:eastAsia="Times New Roman" w:hAnsi="Times New Roman"/>
          <w:sz w:val="24"/>
          <w:szCs w:val="24"/>
        </w:rPr>
        <w:t xml:space="preserve">(2). https://doi.org/10.14393/CEv9n2-2019</w:t>
      </w:r>
    </w:p>
    <w:p>
      <w:pPr>
        <w:spacing w:after="240" w:line="240"/>
        <w:ind w:left="567" w:hanging="567"/>
        <w:jc w:val="left"/>
      </w:pPr>
      <w:r>
        <w:rPr>
          <w:rFonts w:ascii="Times New Roman" w:cs="Times New Roman" w:eastAsia="Times New Roman" w:hAnsi="Times New Roman"/>
          <w:sz w:val="24"/>
          <w:szCs w:val="24"/>
        </w:rPr>
        <w:t xml:space="preserve">McNemar, Q. (1947). Note on the sampling error of the difference between correlated proportions or percentages. </w:t>
      </w:r>
      <w:r>
        <w:rPr>
          <w:rFonts w:ascii="Times New Roman" w:cs="Times New Roman" w:eastAsia="Times New Roman" w:hAnsi="Times New Roman"/>
          <w:i/>
          <w:iCs/>
          <w:sz w:val="24"/>
          <w:szCs w:val="24"/>
        </w:rPr>
        <w:t xml:space="preserve">Psychometrika, 12</w:t>
      </w:r>
      <w:r>
        <w:rPr>
          <w:rFonts w:ascii="Times New Roman" w:cs="Times New Roman" w:eastAsia="Times New Roman" w:hAnsi="Times New Roman"/>
          <w:sz w:val="24"/>
          <w:szCs w:val="24"/>
        </w:rPr>
        <w:t xml:space="preserve">(2), 153–157. https://doi.org/10.1007/BF02295996</w:t>
      </w:r>
    </w:p>
    <w:p>
      <w:pPr>
        <w:spacing w:after="240" w:line="240"/>
        <w:ind w:left="567" w:hanging="567"/>
        <w:jc w:val="left"/>
      </w:pPr>
      <w:r>
        <w:rPr>
          <w:rFonts w:ascii="Times New Roman" w:cs="Times New Roman" w:eastAsia="Times New Roman" w:hAnsi="Times New Roman"/>
          <w:sz w:val="24"/>
          <w:szCs w:val="24"/>
        </w:rPr>
        <w:t xml:space="preserve">Monaco, N., &amp; Arnaudo, D. (2020). </w:t>
      </w:r>
      <w:r>
        <w:rPr>
          <w:rFonts w:ascii="Times New Roman" w:cs="Times New Roman" w:eastAsia="Times New Roman" w:hAnsi="Times New Roman"/>
          <w:i/>
          <w:iCs/>
          <w:sz w:val="24"/>
          <w:szCs w:val="24"/>
        </w:rPr>
        <w:t xml:space="preserve">Análise de dados para o monitoramento de redes sociais</w:t>
      </w:r>
      <w:r>
        <w:rPr>
          <w:rFonts w:ascii="Times New Roman" w:cs="Times New Roman" w:eastAsia="Times New Roman" w:hAnsi="Times New Roman"/>
          <w:sz w:val="24"/>
          <w:szCs w:val="24"/>
        </w:rPr>
        <w:t xml:space="preserve">. National Democratic Institute.</w:t>
      </w:r>
    </w:p>
    <w:p>
      <w:pPr>
        <w:spacing w:after="240" w:line="240"/>
        <w:ind w:left="567" w:hanging="567"/>
        <w:jc w:val="left"/>
      </w:pPr>
      <w:r>
        <w:rPr>
          <w:rFonts w:ascii="Times New Roman" w:cs="Times New Roman" w:eastAsia="Times New Roman" w:hAnsi="Times New Roman"/>
          <w:sz w:val="24"/>
          <w:szCs w:val="24"/>
        </w:rPr>
        <w:t xml:space="preserve">Monteiro, R. A., Santos, R. L. S., Pardo, T. A. S., de Almeida, T. A., Ruiz, E. E. S., &amp; Vale, O. A. (2018). Contributions to the study of fake news in Portuguese: New corpus and automatic detection results. In </w:t>
      </w:r>
      <w:r>
        <w:rPr>
          <w:rFonts w:ascii="Times New Roman" w:cs="Times New Roman" w:eastAsia="Times New Roman" w:hAnsi="Times New Roman"/>
          <w:i/>
          <w:iCs/>
          <w:sz w:val="24"/>
          <w:szCs w:val="24"/>
        </w:rPr>
        <w:t xml:space="preserve">Computational Processing of the Portuguese Language: PROPOR 2018</w:t>
      </w:r>
      <w:r>
        <w:rPr>
          <w:rFonts w:ascii="Times New Roman" w:cs="Times New Roman" w:eastAsia="Times New Roman" w:hAnsi="Times New Roman"/>
          <w:sz w:val="24"/>
          <w:szCs w:val="24"/>
        </w:rPr>
        <w:t xml:space="preserve"> (pp. 324–334). Springer. https://doi.org/10.1007/978-3-319-99722-3_33</w:t>
      </w:r>
    </w:p>
    <w:p>
      <w:pPr>
        <w:spacing w:after="240" w:line="240"/>
        <w:ind w:left="567" w:hanging="567"/>
        <w:jc w:val="left"/>
      </w:pPr>
      <w:r>
        <w:rPr>
          <w:rFonts w:ascii="Times New Roman" w:cs="Times New Roman" w:eastAsia="Times New Roman" w:hAnsi="Times New Roman"/>
          <w:sz w:val="24"/>
          <w:szCs w:val="24"/>
        </w:rPr>
        <w:t xml:space="preserve">Palantir Technologies. (2021). </w:t>
      </w:r>
      <w:r>
        <w:rPr>
          <w:rFonts w:ascii="Times New Roman" w:cs="Times New Roman" w:eastAsia="Times New Roman" w:hAnsi="Times New Roman"/>
          <w:i/>
          <w:iCs/>
          <w:sz w:val="24"/>
          <w:szCs w:val="24"/>
        </w:rPr>
        <w:t xml:space="preserve">Palantir Gotham: Enterprise platform for mission planning and intelligence analysis</w:t>
      </w:r>
      <w:r>
        <w:rPr>
          <w:rFonts w:ascii="Times New Roman" w:cs="Times New Roman" w:eastAsia="Times New Roman" w:hAnsi="Times New Roman"/>
          <w:sz w:val="24"/>
          <w:szCs w:val="24"/>
        </w:rPr>
        <w:t xml:space="preserve">. Digital Marketplace, UK Government.</w:t>
      </w:r>
    </w:p>
    <w:p>
      <w:pPr>
        <w:spacing w:after="240" w:line="240"/>
        <w:ind w:left="567" w:hanging="567"/>
        <w:jc w:val="left"/>
      </w:pPr>
      <w:r>
        <w:rPr>
          <w:rFonts w:ascii="Times New Roman" w:cs="Times New Roman" w:eastAsia="Times New Roman" w:hAnsi="Times New Roman"/>
          <w:sz w:val="24"/>
          <w:szCs w:val="24"/>
        </w:rPr>
        <w:t xml:space="preserve">Poletto, F., Basile, V., Sanguinetti, M., Bosco, C., &amp; Patti, V. (2021). Resources and benchmark corpora for hate speech detection: A systematic review. </w:t>
      </w:r>
      <w:r>
        <w:rPr>
          <w:rFonts w:ascii="Times New Roman" w:cs="Times New Roman" w:eastAsia="Times New Roman" w:hAnsi="Times New Roman"/>
          <w:i/>
          <w:iCs/>
          <w:sz w:val="24"/>
          <w:szCs w:val="24"/>
        </w:rPr>
        <w:t xml:space="preserve">Language Resources and Evaluation, 55</w:t>
      </w:r>
      <w:r>
        <w:rPr>
          <w:rFonts w:ascii="Times New Roman" w:cs="Times New Roman" w:eastAsia="Times New Roman" w:hAnsi="Times New Roman"/>
          <w:sz w:val="24"/>
          <w:szCs w:val="24"/>
        </w:rPr>
        <w:t xml:space="preserve">(2), 477–523. https://doi.org/10.1007/s10579-020-09502-8</w:t>
      </w:r>
    </w:p>
    <w:p>
      <w:pPr>
        <w:spacing w:after="240" w:line="240"/>
        <w:ind w:left="567" w:hanging="567"/>
        <w:jc w:val="left"/>
      </w:pPr>
      <w:r>
        <w:rPr>
          <w:rFonts w:ascii="Times New Roman" w:cs="Times New Roman" w:eastAsia="Times New Roman" w:hAnsi="Times New Roman"/>
          <w:sz w:val="24"/>
          <w:szCs w:val="24"/>
        </w:rPr>
        <w:t xml:space="preserve">República de Angola. (2010). </w:t>
      </w:r>
      <w:r>
        <w:rPr>
          <w:rFonts w:ascii="Times New Roman" w:cs="Times New Roman" w:eastAsia="Times New Roman" w:hAnsi="Times New Roman"/>
          <w:i/>
          <w:iCs/>
          <w:sz w:val="24"/>
          <w:szCs w:val="24"/>
        </w:rPr>
        <w:t xml:space="preserve">Constituição da República de Angola</w:t>
      </w:r>
      <w:r>
        <w:rPr>
          <w:rFonts w:ascii="Times New Roman" w:cs="Times New Roman" w:eastAsia="Times New Roman" w:hAnsi="Times New Roman"/>
          <w:sz w:val="24"/>
          <w:szCs w:val="24"/>
        </w:rPr>
        <w:t xml:space="preserve">. Assembleia Nacional.</w:t>
      </w:r>
    </w:p>
    <w:p>
      <w:pPr>
        <w:spacing w:after="240" w:line="240"/>
        <w:ind w:left="567" w:hanging="567"/>
        <w:jc w:val="left"/>
      </w:pPr>
      <w:r>
        <w:rPr>
          <w:rFonts w:ascii="Times New Roman" w:cs="Times New Roman" w:eastAsia="Times New Roman" w:hAnsi="Times New Roman"/>
          <w:sz w:val="24"/>
          <w:szCs w:val="24"/>
        </w:rPr>
        <w:t xml:space="preserve">República de Angola. (2011). Lei n.º 22/11, de 17 de Junho: Lei da Protecção de Dados Pessoais.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 n.º 114.</w:t>
      </w:r>
    </w:p>
    <w:p>
      <w:pPr>
        <w:spacing w:after="240" w:line="240"/>
        <w:ind w:left="567" w:hanging="567"/>
        <w:jc w:val="left"/>
      </w:pPr>
      <w:r>
        <w:rPr>
          <w:rFonts w:ascii="Times New Roman" w:cs="Times New Roman" w:eastAsia="Times New Roman" w:hAnsi="Times New Roman"/>
          <w:sz w:val="24"/>
          <w:szCs w:val="24"/>
        </w:rPr>
        <w:t xml:space="preserve">República de Angola. (2017). Lei n.º 7/17, de 16 de Fevereiro: Lei de Protecção das Redes e Sistemas Informáticos.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w:t>
      </w:r>
    </w:p>
    <w:p>
      <w:pPr>
        <w:spacing w:after="240" w:line="240"/>
        <w:ind w:left="567" w:hanging="567"/>
        <w:jc w:val="left"/>
      </w:pPr>
      <w:r>
        <w:rPr>
          <w:rFonts w:ascii="Times New Roman" w:cs="Times New Roman" w:eastAsia="Times New Roman" w:hAnsi="Times New Roman"/>
          <w:sz w:val="24"/>
          <w:szCs w:val="24"/>
        </w:rPr>
        <w:t xml:space="preserve">Sambaca, S. C., &amp; Pessoa, S. N. (2026). </w:t>
      </w:r>
      <w:r>
        <w:rPr>
          <w:rFonts w:ascii="Times New Roman" w:cs="Times New Roman" w:eastAsia="Times New Roman" w:hAnsi="Times New Roman"/>
          <w:i/>
          <w:iCs/>
          <w:sz w:val="24"/>
          <w:szCs w:val="24"/>
        </w:rPr>
        <w:t xml:space="preserve">Eleições em Angola: A influência das redes sociais no comportamento eleitoral dos jovens angolanos em 2022</w:t>
      </w:r>
      <w:r>
        <w:rPr>
          <w:rFonts w:ascii="Times New Roman" w:cs="Times New Roman" w:eastAsia="Times New Roman" w:hAnsi="Times New Roman"/>
          <w:sz w:val="24"/>
          <w:szCs w:val="24"/>
        </w:rPr>
        <w:t xml:space="preserve">. Zenodo. https://doi.org/10.5281/zenodo.18363947</w:t>
      </w:r>
    </w:p>
    <w:p>
      <w:pPr>
        <w:spacing w:after="240" w:line="240"/>
        <w:ind w:left="567" w:hanging="567"/>
        <w:jc w:val="left"/>
      </w:pPr>
      <w:r>
        <w:rPr>
          <w:rFonts w:ascii="Times New Roman" w:cs="Times New Roman" w:eastAsia="Times New Roman" w:hAnsi="Times New Roman"/>
          <w:sz w:val="24"/>
          <w:szCs w:val="24"/>
        </w:rPr>
        <w:t xml:space="preserve">Schuster, M., &amp; Paliwal, K. K. (1997). Bidirectional recurrent neural networks. </w:t>
      </w:r>
      <w:r>
        <w:rPr>
          <w:rFonts w:ascii="Times New Roman" w:cs="Times New Roman" w:eastAsia="Times New Roman" w:hAnsi="Times New Roman"/>
          <w:i/>
          <w:iCs/>
          <w:sz w:val="24"/>
          <w:szCs w:val="24"/>
        </w:rPr>
        <w:t xml:space="preserve">IEEE Transactions on Signal Processing, 45</w:t>
      </w:r>
      <w:r>
        <w:rPr>
          <w:rFonts w:ascii="Times New Roman" w:cs="Times New Roman" w:eastAsia="Times New Roman" w:hAnsi="Times New Roman"/>
          <w:sz w:val="24"/>
          <w:szCs w:val="24"/>
        </w:rPr>
        <w:t xml:space="preserve">(11), 2673–2681. https://doi.org/10.1109/78.650093</w:t>
      </w:r>
    </w:p>
    <w:p>
      <w:pPr>
        <w:spacing w:after="240" w:line="240"/>
        <w:ind w:left="567" w:hanging="567"/>
        <w:jc w:val="left"/>
      </w:pPr>
      <w:r>
        <w:rPr>
          <w:rFonts w:ascii="Times New Roman" w:cs="Times New Roman" w:eastAsia="Times New Roman" w:hAnsi="Times New Roman"/>
          <w:sz w:val="24"/>
          <w:szCs w:val="24"/>
        </w:rPr>
        <w:t xml:space="preserve">Sette Câmara, T. (2016). Terrorismo na era da Internet: O uso de redes sociais pelo Estado Islâmico. </w:t>
      </w:r>
      <w:r>
        <w:rPr>
          <w:rFonts w:ascii="Times New Roman" w:cs="Times New Roman" w:eastAsia="Times New Roman" w:hAnsi="Times New Roman"/>
          <w:i/>
          <w:iCs/>
          <w:sz w:val="24"/>
          <w:szCs w:val="24"/>
        </w:rPr>
        <w:t xml:space="preserve">Revista Relações Internacionais no Mundo Atual, 21</w:t>
      </w:r>
      <w:r>
        <w:rPr>
          <w:rFonts w:ascii="Times New Roman" w:cs="Times New Roman" w:eastAsia="Times New Roman" w:hAnsi="Times New Roman"/>
          <w:sz w:val="24"/>
          <w:szCs w:val="24"/>
        </w:rPr>
        <w:t xml:space="preserve">(1), 196–221.</w:t>
      </w:r>
    </w:p>
    <w:p>
      <w:pPr>
        <w:spacing w:after="240" w:line="240"/>
        <w:ind w:left="567" w:hanging="567"/>
        <w:jc w:val="left"/>
      </w:pPr>
      <w:r>
        <w:rPr>
          <w:rFonts w:ascii="Times New Roman" w:cs="Times New Roman" w:eastAsia="Times New Roman" w:hAnsi="Times New Roman"/>
          <w:sz w:val="24"/>
          <w:szCs w:val="24"/>
        </w:rPr>
        <w:t xml:space="preserve">Sokolova, M., &amp; Lapalme, G. (2009). A systematic analysis of performance measures for classification tasks. </w:t>
      </w:r>
      <w:r>
        <w:rPr>
          <w:rFonts w:ascii="Times New Roman" w:cs="Times New Roman" w:eastAsia="Times New Roman" w:hAnsi="Times New Roman"/>
          <w:i/>
          <w:iCs/>
          <w:sz w:val="24"/>
          <w:szCs w:val="24"/>
        </w:rPr>
        <w:t xml:space="preserve">Information Processing &amp; Management, 45</w:t>
      </w:r>
      <w:r>
        <w:rPr>
          <w:rFonts w:ascii="Times New Roman" w:cs="Times New Roman" w:eastAsia="Times New Roman" w:hAnsi="Times New Roman"/>
          <w:sz w:val="24"/>
          <w:szCs w:val="24"/>
        </w:rPr>
        <w:t xml:space="preserve">(4), 427–437. https://doi.org/10.1016/j.ipm.2009.03.002</w:t>
      </w:r>
    </w:p>
    <w:p>
      <w:pPr>
        <w:spacing w:after="240" w:line="240"/>
        <w:ind w:left="567" w:hanging="567"/>
        <w:jc w:val="left"/>
      </w:pPr>
      <w:r>
        <w:rPr>
          <w:rFonts w:ascii="Times New Roman" w:cs="Times New Roman" w:eastAsia="Times New Roman" w:hAnsi="Times New Roman"/>
          <w:sz w:val="24"/>
          <w:szCs w:val="24"/>
        </w:rPr>
        <w:t xml:space="preserve">Souza, F., Nogueira, R., &amp; Lotufo, R. (2020). BERTimbau: Pretrained BERT models for Brazilian Portuguese. In </w:t>
      </w:r>
      <w:r>
        <w:rPr>
          <w:rFonts w:ascii="Times New Roman" w:cs="Times New Roman" w:eastAsia="Times New Roman" w:hAnsi="Times New Roman"/>
          <w:i/>
          <w:iCs/>
          <w:sz w:val="24"/>
          <w:szCs w:val="24"/>
        </w:rPr>
        <w:t xml:space="preserve">Intelligent Systems: BRACIS 2020</w:t>
      </w:r>
      <w:r>
        <w:rPr>
          <w:rFonts w:ascii="Times New Roman" w:cs="Times New Roman" w:eastAsia="Times New Roman" w:hAnsi="Times New Roman"/>
          <w:sz w:val="24"/>
          <w:szCs w:val="24"/>
        </w:rPr>
        <w:t xml:space="preserve"> (pp. 403–417). Springer. https://doi.org/10.1007/978-3-030-61377-8_28</w:t>
      </w:r>
    </w:p>
    <w:p>
      <w:pPr>
        <w:spacing w:after="240" w:line="240"/>
        <w:ind w:left="567" w:hanging="567"/>
        <w:jc w:val="left"/>
      </w:pPr>
      <w:r>
        <w:rPr>
          <w:rFonts w:ascii="Times New Roman" w:cs="Times New Roman" w:eastAsia="Times New Roman" w:hAnsi="Times New Roman"/>
          <w:sz w:val="24"/>
          <w:szCs w:val="24"/>
        </w:rPr>
        <w:t xml:space="preserve">Thelwall, M. (2009). Social network sites: Users and uses. </w:t>
      </w:r>
      <w:r>
        <w:rPr>
          <w:rFonts w:ascii="Times New Roman" w:cs="Times New Roman" w:eastAsia="Times New Roman" w:hAnsi="Times New Roman"/>
          <w:i/>
          <w:iCs/>
          <w:sz w:val="24"/>
          <w:szCs w:val="24"/>
        </w:rPr>
        <w:t xml:space="preserve">Advances in Computers, 76</w:t>
      </w:r>
      <w:r>
        <w:rPr>
          <w:rFonts w:ascii="Times New Roman" w:cs="Times New Roman" w:eastAsia="Times New Roman" w:hAnsi="Times New Roman"/>
          <w:sz w:val="24"/>
          <w:szCs w:val="24"/>
        </w:rPr>
        <w:t xml:space="preserve">, 19–73. https://doi.org/10.1016/S0065-2458(09)01002-X</w:t>
      </w:r>
    </w:p>
    <w:p>
      <w:pPr>
        <w:spacing w:after="240" w:line="240"/>
        <w:ind w:left="567" w:hanging="567"/>
        <w:jc w:val="left"/>
      </w:pPr>
      <w:r>
        <w:rPr>
          <w:rFonts w:ascii="Times New Roman" w:cs="Times New Roman" w:eastAsia="Times New Roman" w:hAnsi="Times New Roman"/>
          <w:sz w:val="24"/>
          <w:szCs w:val="24"/>
        </w:rPr>
        <w:t xml:space="preserve">UNESCO. (2019). </w:t>
      </w:r>
      <w:r>
        <w:rPr>
          <w:rFonts w:ascii="Times New Roman" w:cs="Times New Roman" w:eastAsia="Times New Roman" w:hAnsi="Times New Roman"/>
          <w:i/>
          <w:iCs/>
          <w:sz w:val="24"/>
          <w:szCs w:val="24"/>
        </w:rPr>
        <w:t xml:space="preserve">Journalism, fake news &amp; disinformation: Handbook for journalism education and training</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Recommendation on the ethics of artificial intelligence</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União Europeia. (2024). Regulamento (UE) 2024/1689 do Parlamento Europeu e do Conselho, de 13 de junho de 2024, que cria regras harmonizadas em matéria de inteligência artificial.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Série L.</w:t>
      </w:r>
    </w:p>
    <w:p>
      <w:pPr>
        <w:spacing w:after="240" w:line="240"/>
        <w:ind w:left="567" w:hanging="567"/>
        <w:jc w:val="left"/>
      </w:pPr>
      <w:r>
        <w:rPr>
          <w:rFonts w:ascii="Times New Roman" w:cs="Times New Roman" w:eastAsia="Times New Roman" w:hAnsi="Times New Roman"/>
          <w:sz w:val="24"/>
          <w:szCs w:val="24"/>
        </w:rPr>
        <w:t xml:space="preserve">Vargas, F., Carvalho, I., Rodrigues de Góes, F., Pardo, T., &amp; Benevenuto, F. (2022). HateBR: A large expert annotated corpus of Brazilian Instagram comments for offensive language and hate speech detection.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7174–7183). European Language Resources Association.</w:t>
      </w:r>
    </w:p>
    <w:p>
      <w:pPr>
        <w:spacing w:after="240" w:line="240"/>
        <w:ind w:left="567" w:hanging="567"/>
        <w:jc w:val="left"/>
      </w:pPr>
      <w:r>
        <w:rPr>
          <w:rFonts w:ascii="Times New Roman" w:cs="Times New Roman" w:eastAsia="Times New Roman" w:hAnsi="Times New Roman"/>
          <w:sz w:val="24"/>
          <w:szCs w:val="24"/>
        </w:rPr>
        <w:t xml:space="preserve">Vaswani, A., Shazeer, N., Parmar, N., Uszkoreit, J., Jones, L., Gomez, A. N., Kaiser, Ł., &amp; Polosukhin, I. (2017). Attention is all you need. In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(pp. 5998–6008). Curran Associates.</w:t>
      </w:r>
    </w:p>
    <w:p>
      <w:pPr>
        <w:spacing w:after="240" w:line="240"/>
        <w:ind w:left="567" w:hanging="567"/>
        <w:jc w:val="left"/>
      </w:pPr>
      <w:r>
        <w:rPr>
          <w:rFonts w:ascii="Times New Roman" w:cs="Times New Roman" w:eastAsia="Times New Roman" w:hAnsi="Times New Roman"/>
          <w:sz w:val="24"/>
          <w:szCs w:val="24"/>
        </w:rPr>
        <w:t xml:space="preserve">Wardle, C., &amp; Derakhshan, H. (2017). </w:t>
      </w:r>
      <w:r>
        <w:rPr>
          <w:rFonts w:ascii="Times New Roman" w:cs="Times New Roman" w:eastAsia="Times New Roman" w:hAnsi="Times New Roman"/>
          <w:i/>
          <w:iCs/>
          <w:sz w:val="24"/>
          <w:szCs w:val="24"/>
        </w:rPr>
        <w:t xml:space="preserve">Information disorder: Toward an interdisciplinary framework for research and policy making</w:t>
      </w:r>
      <w:r>
        <w:rPr>
          <w:rFonts w:ascii="Times New Roman" w:cs="Times New Roman" w:eastAsia="Times New Roman" w:hAnsi="Times New Roman"/>
          <w:sz w:val="24"/>
          <w:szCs w:val="24"/>
        </w:rPr>
        <w:t xml:space="preserve"> (Relatório DGI(2017)09). Conselho da Europa.</w:t>
      </w:r>
    </w:p>
    <w:p>
      <w:pPr>
        <w:spacing w:after="240" w:line="240"/>
        <w:ind w:left="567" w:hanging="567"/>
        <w:jc w:val="left"/>
      </w:pPr>
      <w:r>
        <w:rPr>
          <w:rFonts w:ascii="Times New Roman" w:cs="Times New Roman" w:eastAsia="Times New Roman" w:hAnsi="Times New Roman"/>
          <w:sz w:val="24"/>
          <w:szCs w:val="24"/>
        </w:rPr>
        <w:t xml:space="preserve">Woolley, S. C., &amp; Howard, P. N. (2017). </w:t>
      </w:r>
      <w:r>
        <w:rPr>
          <w:rFonts w:ascii="Times New Roman" w:cs="Times New Roman" w:eastAsia="Times New Roman" w:hAnsi="Times New Roman"/>
          <w:i/>
          <w:iCs/>
          <w:sz w:val="24"/>
          <w:szCs w:val="24"/>
        </w:rPr>
        <w:t xml:space="preserve">Computational propaganda worldwide: Executive summary</w:t>
      </w:r>
      <w:r>
        <w:rPr>
          <w:rFonts w:ascii="Times New Roman" w:cs="Times New Roman" w:eastAsia="Times New Roman" w:hAnsi="Times New Roman"/>
          <w:sz w:val="24"/>
          <w:szCs w:val="24"/>
        </w:rPr>
        <w:t xml:space="preserve"> (Working Paper 2017.11). Oxford Internet Institute.</w:t>
      </w:r>
    </w:p>
    <w:p>
      <w:pPr>
        <w:sectPr>
          <w:headerReference w:type="default" r:id="rId23"/>
          <w:footerReference w:type="default" r:id="rId2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GLOSSÁRIO</w:t>
      </w:r>
    </w:p>
    <w:p>
      <w:pPr>
        <w:spacing w:after="140" w:line="300"/>
        <w:jc w:val="both"/>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Variante do optimizador Adam com decaimento de pesos desacoplado, habitual no ajuste fino de modelos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Ajuste fino.</w:t>
      </w:r>
      <w:r>
        <w:rPr>
          <w:rFonts w:ascii="Times New Roman" w:cs="Times New Roman" w:eastAsia="Times New Roman" w:hAnsi="Times New Roman"/>
          <w:sz w:val="24"/>
          <w:szCs w:val="24"/>
        </w:rPr>
        <w:t xml:space="preserve"> Treino adicional de um modelo pré-treinado numa tarefa específica, com dados anotados dessa tarefa.</w:t>
      </w:r>
    </w:p>
    <w:p>
      <w:pPr>
        <w:spacing w:after="140" w:line="300"/>
        <w:jc w:val="both"/>
      </w:pPr>
      <w:r>
        <w:rPr>
          <w:rFonts w:ascii="Times New Roman" w:cs="Times New Roman" w:eastAsia="Times New Roman" w:hAnsi="Times New Roman"/>
          <w:b/>
          <w:bCs/>
          <w:sz w:val="24"/>
          <w:szCs w:val="24"/>
        </w:rPr>
        <w:t xml:space="preserve">Aprendizagem de atalhos.</w:t>
      </w:r>
      <w:r>
        <w:rPr>
          <w:rFonts w:ascii="Times New Roman" w:cs="Times New Roman" w:eastAsia="Times New Roman" w:hAnsi="Times New Roman"/>
          <w:sz w:val="24"/>
          <w:szCs w:val="24"/>
        </w:rPr>
        <w:t xml:space="preserve"> Fenómeno em que o modelo aprende uma regularidade acidental dos dados de treino (por exemplo, o estilo de uma fonte) em vez da propriedade que se pretende detectar.</w:t>
      </w:r>
    </w:p>
    <w:p>
      <w:pPr>
        <w:spacing w:after="140" w:line="300"/>
        <w:jc w:val="both"/>
      </w:pPr>
      <w:r>
        <w:rPr>
          <w:rFonts w:ascii="Times New Roman" w:cs="Times New Roman" w:eastAsia="Times New Roman" w:hAnsi="Times New Roman"/>
          <w:b/>
          <w:bCs/>
          <w:sz w:val="24"/>
          <w:szCs w:val="24"/>
        </w:rPr>
        <w:t xml:space="preserve">AUC-ROC.</w:t>
      </w:r>
      <w:r>
        <w:rPr>
          <w:rFonts w:ascii="Times New Roman" w:cs="Times New Roman" w:eastAsia="Times New Roman" w:hAnsi="Times New Roman"/>
          <w:sz w:val="24"/>
          <w:szCs w:val="24"/>
        </w:rPr>
        <w:t xml:space="preserve"> Área sob a curva que relaciona a taxa de verdadeiros positivos com a taxa de falsos positivos para todos os limiares de decisão; 0,5 corresponde ao acaso e 1 à separação perfeita.</w:t>
      </w:r>
    </w:p>
    <w:p>
      <w:pPr>
        <w:spacing w:after="140" w:line="300"/>
        <w:jc w:val="both"/>
      </w:pPr>
      <w:r>
        <w:rPr>
          <w:rFonts w:ascii="Times New Roman" w:cs="Times New Roman" w:eastAsia="Times New Roman" w:hAnsi="Times New Roman"/>
          <w:b/>
          <w:bCs/>
          <w:sz w:val="24"/>
          <w:szCs w:val="24"/>
        </w:rPr>
        <w:t xml:space="preserve">BERTimbau.</w:t>
      </w:r>
      <w:r>
        <w:rPr>
          <w:rFonts w:ascii="Times New Roman" w:cs="Times New Roman" w:eastAsia="Times New Roman" w:hAnsi="Times New Roman"/>
          <w:sz w:val="24"/>
          <w:szCs w:val="24"/>
        </w:rPr>
        <w:t xml:space="preserve"> Versão do modelo BERT pré-treinada com texto em português do Brasil (Souza et al., 2020).</w:t>
      </w:r>
    </w:p>
    <w:p>
      <w:pPr>
        <w:spacing w:after="140" w:line="300"/>
        <w:jc w:val="both"/>
      </w:pP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Método de reamostragem com reposição usado para estimar a variabilidade de uma estatística e construir intervalos de confiança.</w:t>
      </w:r>
    </w:p>
    <w:p>
      <w:pPr>
        <w:spacing w:after="140" w:line="300"/>
        <w:jc w:val="both"/>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sz w:val="24"/>
          <w:szCs w:val="24"/>
        </w:rPr>
        <w:t xml:space="preserve"> Colecção estruturada de textos usada para treinar ou avaliar modelos de linguagem.</w:t>
      </w:r>
    </w:p>
    <w:p>
      <w:pPr>
        <w:spacing w:after="140" w:line="300"/>
        <w:jc w:val="both"/>
      </w:pPr>
      <w:r>
        <w:rPr>
          <w:rFonts w:ascii="Times New Roman" w:cs="Times New Roman" w:eastAsia="Times New Roman" w:hAnsi="Times New Roman"/>
          <w:b/>
          <w:bCs/>
          <w:sz w:val="24"/>
          <w:szCs w:val="24"/>
        </w:rPr>
        <w:t xml:space="preserve">Corpus híbrido.</w:t>
      </w:r>
      <w:r>
        <w:rPr>
          <w:rFonts w:ascii="Times New Roman" w:cs="Times New Roman" w:eastAsia="Times New Roman" w:hAnsi="Times New Roman"/>
          <w:sz w:val="24"/>
          <w:szCs w:val="24"/>
        </w:rPr>
        <w:t xml:space="preserve"> Nesta dissertação, a combinação do piloto angolano com os corpora públicos ToLD-BR, HateBR e Fake.br.</w:t>
      </w:r>
    </w:p>
    <w:p>
      <w:pPr>
        <w:spacing w:after="140" w:line="300"/>
        <w:jc w:val="both"/>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Média harmónica entre a precisão e a sensibilidade de uma categoria.</w:t>
      </w:r>
    </w:p>
    <w:p>
      <w:pPr>
        <w:spacing w:after="140" w:line="300"/>
        <w:jc w:val="both"/>
      </w:pP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Média simples dos F1 das categorias; dá a mesma importância a todas, independentemente da sua frequência.</w:t>
      </w:r>
    </w:p>
    <w:p>
      <w:pPr>
        <w:spacing w:after="140" w:line="300"/>
        <w:jc w:val="both"/>
      </w:pPr>
      <w:r>
        <w:rPr>
          <w:rFonts w:ascii="Times New Roman" w:cs="Times New Roman" w:eastAsia="Times New Roman" w:hAnsi="Times New Roman"/>
          <w:b/>
          <w:bCs/>
          <w:sz w:val="24"/>
          <w:szCs w:val="24"/>
        </w:rPr>
        <w:t xml:space="preserve">F1 ponderado.</w:t>
      </w:r>
      <w:r>
        <w:rPr>
          <w:rFonts w:ascii="Times New Roman" w:cs="Times New Roman" w:eastAsia="Times New Roman" w:hAnsi="Times New Roman"/>
          <w:sz w:val="24"/>
          <w:szCs w:val="24"/>
        </w:rPr>
        <w:t xml:space="preserve"> Média dos F1 das categorias ponderada pelo número de exemplos de cada uma; é dominado pelas categorias frequentes.</w:t>
      </w:r>
    </w:p>
    <w:p>
      <w:pPr>
        <w:spacing w:after="140" w:line="300"/>
        <w:jc w:val="both"/>
      </w:pPr>
      <w:r>
        <w:rPr>
          <w:rFonts w:ascii="Times New Roman" w:cs="Times New Roman" w:eastAsia="Times New Roman" w:hAnsi="Times New Roman"/>
          <w:b/>
          <w:bCs/>
          <w:sz w:val="24"/>
          <w:szCs w:val="24"/>
        </w:rPr>
        <w:t xml:space="preserve">Fila de revisão.</w:t>
      </w:r>
      <w:r>
        <w:rPr>
          <w:rFonts w:ascii="Times New Roman" w:cs="Times New Roman" w:eastAsia="Times New Roman" w:hAnsi="Times New Roman"/>
          <w:sz w:val="24"/>
          <w:szCs w:val="24"/>
        </w:rPr>
        <w:t xml:space="preserve"> Lista de publicações por rever, ordenada pela prioridade calculada pelo sistema.</w:t>
      </w:r>
    </w:p>
    <w:p>
      <w:pPr>
        <w:spacing w:after="140" w:line="300"/>
        <w:jc w:val="both"/>
      </w:pPr>
      <w:r>
        <w:rPr>
          <w:rFonts w:ascii="Times New Roman" w:cs="Times New Roman" w:eastAsia="Times New Roman" w:hAnsi="Times New Roman"/>
          <w:b/>
          <w:bCs/>
          <w:sz w:val="24"/>
          <w:szCs w:val="24"/>
        </w:rPr>
        <w:t xml:space="preserve">HMAC.</w:t>
      </w:r>
      <w:r>
        <w:rPr>
          <w:rFonts w:ascii="Times New Roman" w:cs="Times New Roman" w:eastAsia="Times New Roman" w:hAnsi="Times New Roman"/>
          <w:sz w:val="24"/>
          <w:szCs w:val="24"/>
        </w:rPr>
        <w:t xml:space="preserve"> Código de autenticação de mensagens baseado numa função de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e num segredo; usado para gerar pseudónimos que não podem ser revertidos por dicionário sem o segredo.</w:t>
      </w:r>
    </w:p>
    <w:p>
      <w:pPr>
        <w:spacing w:after="140" w:line="300"/>
        <w:jc w:val="both"/>
      </w:pPr>
      <w:r>
        <w:rPr>
          <w:rFonts w:ascii="Times New Roman" w:cs="Times New Roman" w:eastAsia="Times New Roman" w:hAnsi="Times New Roman"/>
          <w:b/>
          <w:bCs/>
          <w:sz w:val="24"/>
          <w:szCs w:val="24"/>
        </w:rPr>
        <w:t xml:space="preserve">Kappa de Cohen.</w:t>
      </w:r>
      <w:r>
        <w:rPr>
          <w:rFonts w:ascii="Times New Roman" w:cs="Times New Roman" w:eastAsia="Times New Roman" w:hAnsi="Times New Roman"/>
          <w:sz w:val="24"/>
          <w:szCs w:val="24"/>
        </w:rPr>
        <w:t xml:space="preserve"> Medida de acordo entre dois avaliadores corrigida pelo acordo esperado ao acaso.</w:t>
      </w:r>
    </w:p>
    <w:p>
      <w:pPr>
        <w:spacing w:after="140" w:line="300"/>
        <w:jc w:val="both"/>
      </w:pPr>
      <w:r>
        <w:rPr>
          <w:rFonts w:ascii="Times New Roman" w:cs="Times New Roman" w:eastAsia="Times New Roman" w:hAnsi="Times New Roman"/>
          <w:b/>
          <w:bCs/>
          <w:sz w:val="24"/>
          <w:szCs w:val="24"/>
        </w:rPr>
        <w:t xml:space="preserve">Kappa de Fleiss.</w:t>
      </w:r>
      <w:r>
        <w:rPr>
          <w:rFonts w:ascii="Times New Roman" w:cs="Times New Roman" w:eastAsia="Times New Roman" w:hAnsi="Times New Roman"/>
          <w:sz w:val="24"/>
          <w:szCs w:val="24"/>
        </w:rPr>
        <w:t xml:space="preserve"> Generalização do Kappa para três ou mais avaliadores.</w:t>
      </w:r>
    </w:p>
    <w:p>
      <w:pPr>
        <w:spacing w:after="140" w:line="300"/>
        <w:jc w:val="both"/>
      </w:pPr>
      <w:r>
        <w:rPr>
          <w:rFonts w:ascii="Times New Roman" w:cs="Times New Roman" w:eastAsia="Times New Roman" w:hAnsi="Times New Roman"/>
          <w:b/>
          <w:bCs/>
          <w:sz w:val="24"/>
          <w:szCs w:val="24"/>
        </w:rPr>
        <w:t xml:space="preserve">Lacuna de domínio.</w:t>
      </w:r>
      <w:r>
        <w:rPr>
          <w:rFonts w:ascii="Times New Roman" w:cs="Times New Roman" w:eastAsia="Times New Roman" w:hAnsi="Times New Roman"/>
          <w:sz w:val="24"/>
          <w:szCs w:val="24"/>
        </w:rPr>
        <w:t xml:space="preserve"> Diferença de desempenho de um modelo entre os dados semelhantes aos de treino e dados de outro domínio (plataforma, região, variedade linguística ou género textual).</w:t>
      </w:r>
    </w:p>
    <w:p>
      <w:pPr>
        <w:spacing w:after="140" w:line="300"/>
        <w:jc w:val="both"/>
      </w:pPr>
      <w:r>
        <w:rPr>
          <w:rFonts w:ascii="Times New Roman" w:cs="Times New Roman" w:eastAsia="Times New Roman" w:hAnsi="Times New Roman"/>
          <w:b/>
          <w:bCs/>
          <w:sz w:val="24"/>
          <w:szCs w:val="24"/>
        </w:rPr>
        <w:t xml:space="preserve">Pseudonimização.</w:t>
      </w:r>
      <w:r>
        <w:rPr>
          <w:rFonts w:ascii="Times New Roman" w:cs="Times New Roman" w:eastAsia="Times New Roman" w:hAnsi="Times New Roman"/>
          <w:sz w:val="24"/>
          <w:szCs w:val="24"/>
        </w:rPr>
        <w:t xml:space="preserve"> Substituição de identificadores pessoais por códigos que não permitem identificar a pessoa sem informação adicional guardada separadamente.</w:t>
      </w:r>
    </w:p>
    <w:p>
      <w:pPr>
        <w:spacing w:after="140" w:line="300"/>
        <w:jc w:val="both"/>
      </w:pPr>
      <w:r>
        <w:rPr>
          <w:rFonts w:ascii="Times New Roman" w:cs="Times New Roman" w:eastAsia="Times New Roman" w:hAnsi="Times New Roman"/>
          <w:b/>
          <w:bCs/>
          <w:sz w:val="24"/>
          <w:szCs w:val="24"/>
        </w:rPr>
        <w:t xml:space="preserve">Precisão.</w:t>
      </w:r>
      <w:r>
        <w:rPr>
          <w:rFonts w:ascii="Times New Roman" w:cs="Times New Roman" w:eastAsia="Times New Roman" w:hAnsi="Times New Roman"/>
          <w:sz w:val="24"/>
          <w:szCs w:val="24"/>
        </w:rPr>
        <w:t xml:space="preserve"> Fracção das previsões de uma categoria que estão correctas.</w:t>
      </w:r>
    </w:p>
    <w:p>
      <w:pPr>
        <w:spacing w:after="140" w:line="300"/>
        <w:jc w:val="both"/>
      </w:pPr>
      <w:r>
        <w:rPr>
          <w:rFonts w:ascii="Times New Roman" w:cs="Times New Roman" w:eastAsia="Times New Roman" w:hAnsi="Times New Roman"/>
          <w:b/>
          <w:bCs/>
          <w:sz w:val="24"/>
          <w:szCs w:val="24"/>
        </w:rPr>
        <w:t xml:space="preserve">Precisão nos primeiros K.</w:t>
      </w:r>
      <w:r>
        <w:rPr>
          <w:rFonts w:ascii="Times New Roman" w:cs="Times New Roman" w:eastAsia="Times New Roman" w:hAnsi="Times New Roman"/>
          <w:sz w:val="24"/>
          <w:szCs w:val="24"/>
        </w:rPr>
        <w:t xml:space="preserve"> Fracção de ameaças confirmadas pelo analista entre os K primeiros itens da fila de revisão.</w:t>
      </w:r>
    </w:p>
    <w:p>
      <w:pPr>
        <w:spacing w:after="140" w:line="300"/>
        <w:jc w:val="both"/>
      </w:pPr>
      <w:r>
        <w:rPr>
          <w:rFonts w:ascii="Times New Roman" w:cs="Times New Roman" w:eastAsia="Times New Roman" w:hAnsi="Times New Roman"/>
          <w:b/>
          <w:bCs/>
          <w:sz w:val="24"/>
          <w:szCs w:val="24"/>
        </w:rPr>
        <w:t xml:space="preserve">Sensibilidade.</w:t>
      </w:r>
      <w:r>
        <w:rPr>
          <w:rFonts w:ascii="Times New Roman" w:cs="Times New Roman" w:eastAsia="Times New Roman" w:hAnsi="Times New Roman"/>
          <w:sz w:val="24"/>
          <w:szCs w:val="24"/>
        </w:rPr>
        <w:t xml:space="preserve"> Fracção dos exemplos de uma categoria que o modelo identifica (em inglês,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Subpalavra.</w:t>
      </w:r>
      <w:r>
        <w:rPr>
          <w:rFonts w:ascii="Times New Roman" w:cs="Times New Roman" w:eastAsia="Times New Roman" w:hAnsi="Times New Roman"/>
          <w:sz w:val="24"/>
          <w:szCs w:val="24"/>
        </w:rPr>
        <w:t xml:space="preserve"> Fragmento de palavra usado pelo tokenizador dos modelos BERT; palavras fora do vocabulário são divididas em subpalavras conhecidas.</w:t>
      </w:r>
    </w:p>
    <w:p>
      <w:pPr>
        <w:spacing w:after="140" w:line="300"/>
        <w:jc w:val="both"/>
      </w:pPr>
      <w:r>
        <w:rPr>
          <w:rFonts w:ascii="Times New Roman" w:cs="Times New Roman" w:eastAsia="Times New Roman" w:hAnsi="Times New Roman"/>
          <w:b/>
          <w:bCs/>
          <w:sz w:val="24"/>
          <w:szCs w:val="24"/>
        </w:rPr>
        <w:t xml:space="preserve">Teste de McNemar.</w:t>
      </w:r>
      <w:r>
        <w:rPr>
          <w:rFonts w:ascii="Times New Roman" w:cs="Times New Roman" w:eastAsia="Times New Roman" w:hAnsi="Times New Roman"/>
          <w:sz w:val="24"/>
          <w:szCs w:val="24"/>
        </w:rPr>
        <w:t xml:space="preserve"> Teste estatístico para comparar dois classificadores no mesmo conjunto de teste, com base nos casos em que apenas um deles acerta.</w:t>
      </w:r>
    </w:p>
    <w:p>
      <w:pPr>
        <w:spacing w:after="140" w:line="300"/>
        <w:jc w:val="both"/>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Representação de um texto pela frequência dos seus termos, ponderada pela raridade de cada termo no conjunto de documentos.</w:t>
      </w:r>
    </w:p>
    <w:p>
      <w:pPr>
        <w:spacing w:after="140" w:line="300"/>
        <w:jc w:val="both"/>
      </w:pPr>
      <w:r>
        <w:rPr>
          <w:rFonts w:ascii="Times New Roman" w:cs="Times New Roman" w:eastAsia="Times New Roman" w:hAnsi="Times New Roman"/>
          <w:b/>
          <w:bCs/>
          <w:sz w:val="24"/>
          <w:szCs w:val="24"/>
        </w:rPr>
        <w:t xml:space="preserve">Transformer.</w:t>
      </w:r>
      <w:r>
        <w:rPr>
          <w:rFonts w:ascii="Times New Roman" w:cs="Times New Roman" w:eastAsia="Times New Roman" w:hAnsi="Times New Roman"/>
          <w:sz w:val="24"/>
          <w:szCs w:val="24"/>
        </w:rPr>
        <w:t xml:space="preserve"> Arquitectura de rede neuronal baseada em mecanismos de atenção, que processa toda a sequência em paralelo (Vaswani et al., 2017).</w:t>
      </w:r>
    </w:p>
    <w:p>
      <w:pPr>
        <w:sectPr>
          <w:headerReference w:type="default" r:id="rId25"/>
          <w:footerReference w:type="default" r:id="rId2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A – EXCERTOS DE CÓDIGO-FONTE</w:t>
      </w:r>
    </w:p>
    <w:p>
      <w:pPr>
        <w:spacing w:after="120" w:before="0" w:line="360"/>
        <w:ind w:firstLine="567"/>
        <w:jc w:val="both"/>
      </w:pPr>
      <w:r>
        <w:rPr>
          <w:rFonts w:ascii="Times New Roman" w:cs="Times New Roman" w:eastAsia="Times New Roman" w:hAnsi="Times New Roman"/>
          <w:sz w:val="24"/>
          <w:szCs w:val="24"/>
        </w:rPr>
        <w:t xml:space="preserve">Os excertos seguintes são reproduzidos, sem alterações, do código do protótipo (pasta sistema_uan do repositório do projecto). O código completo, com testes e documentação, está disponível em https://github.com/manuelmuinga/dissertacao-uan-angola.</w:t>
      </w:r>
    </w:p>
    <w:p>
      <w:pPr>
        <w:pStyle w:val="Heading2"/>
        <w:keepNext/>
        <w:keepLines/>
        <w:spacing w:after="160" w:before="360" w:line="300"/>
      </w:pPr>
      <w:r>
        <w:rPr>
          <w:rFonts w:ascii="Times New Roman" w:cs="Times New Roman" w:eastAsia="Times New Roman" w:hAnsi="Times New Roman"/>
          <w:b/>
          <w:bCs/>
          <w:sz w:val="26"/>
          <w:szCs w:val="26"/>
        </w:rPr>
        <w:t xml:space="preserve">A.1 Anonimização à entrada</w:t>
      </w:r>
    </w:p>
    <w:p>
      <w:pPr>
        <w:spacing w:after="120" w:before="0" w:line="360"/>
        <w:ind w:firstLine="567"/>
        <w:jc w:val="both"/>
      </w:pPr>
      <w:r>
        <w:rPr>
          <w:rFonts w:ascii="Times New Roman" w:cs="Times New Roman" w:eastAsia="Times New Roman" w:hAnsi="Times New Roman"/>
          <w:sz w:val="24"/>
          <w:szCs w:val="24"/>
        </w:rPr>
        <w:t xml:space="preserve">Máscaras de identificadores directos e pseudónimo do autor (módulo sistema/anonimizacao.py).</w:t>
      </w:r>
    </w:p>
    <w:p>
      <w:pPr>
        <w:shd w:fill="F4F3EF" w:color="auto" w:val="clear"/>
        <w:spacing w:after="0" w:before="120" w:line="220"/>
        <w:ind w:left="113" w:right="113"/>
      </w:pPr>
      <w:r>
        <w:rPr>
          <w:rFonts w:ascii="Courier New" w:cs="Courier New" w:eastAsia="Courier New" w:hAnsi="Courier New"/>
          <w:sz w:val="17"/>
          <w:szCs w:val="17"/>
        </w:rPr>
        <w:t xml:space="preserve">_PADROES: list[tuple[re.Pattern[str], str]] = [</w:t>
      </w:r>
    </w:p>
    <w:p>
      <w:pPr>
        <w:shd w:fill="F4F3EF" w:color="auto" w:val="clear"/>
        <w:spacing w:after="0" w:before="0" w:line="220"/>
        <w:ind w:left="113" w:right="113"/>
      </w:pPr>
      <w:r>
        <w:rPr>
          <w:rFonts w:ascii="Courier New" w:cs="Courier New" w:eastAsia="Courier New" w:hAnsi="Courier New"/>
          <w:sz w:val="17"/>
          <w:szCs w:val="17"/>
        </w:rPr>
        <w:t xml:space="preserve">    (re.compile(r"https?://\S+|www\.\S+", re.IGNORECASE), "[URL]"),</w:t>
      </w:r>
    </w:p>
    <w:p>
      <w:pPr>
        <w:shd w:fill="F4F3EF" w:color="auto" w:val="clear"/>
        <w:spacing w:after="0" w:before="0" w:line="220"/>
        <w:ind w:left="113" w:right="113"/>
      </w:pPr>
      <w:r>
        <w:rPr>
          <w:rFonts w:ascii="Courier New" w:cs="Courier New" w:eastAsia="Courier New" w:hAnsi="Courier New"/>
          <w:sz w:val="17"/>
          <w:szCs w:val="17"/>
        </w:rPr>
        <w:t xml:space="preserve">    (re.compile(r"\b[\w.+-]+@[\w-]+\.[\w.-]+\b"), "[EMAIL]"),</w:t>
      </w:r>
    </w:p>
    <w:p>
      <w:pPr>
        <w:shd w:fill="F4F3EF" w:color="auto" w:val="clear"/>
        <w:spacing w:after="0" w:before="0" w:line="220"/>
        <w:ind w:left="113" w:right="113"/>
      </w:pPr>
      <w:r>
        <w:rPr>
          <w:rFonts w:ascii="Courier New" w:cs="Courier New" w:eastAsia="Courier New" w:hAnsi="Courier New"/>
          <w:sz w:val="17"/>
          <w:szCs w:val="17"/>
        </w:rPr>
        <w:t xml:space="preserve">    # Telefones: +244 9xx xxx xxx, 9xxxxxxxx e variantes com espaços/hífenes.</w:t>
      </w:r>
    </w:p>
    <w:p>
      <w:pPr>
        <w:shd w:fill="F4F3EF" w:color="auto" w:val="clear"/>
        <w:spacing w:after="0" w:before="0" w:line="220"/>
        <w:ind w:left="113" w:right="113"/>
      </w:pPr>
      <w:r>
        <w:rPr>
          <w:rFonts w:ascii="Courier New" w:cs="Courier New" w:eastAsia="Courier New" w:hAnsi="Courier New"/>
          <w:sz w:val="17"/>
          <w:szCs w:val="17"/>
        </w:rPr>
        <w:t xml:space="preserve">    (re.compile(r"(?&lt;!\w)(?:\+?244[\s-]?)?9\d{2}[\s-]?\d{3}[\s-]?\d{3}(?!\w)"), "[TELEFONE]"),</w:t>
      </w:r>
    </w:p>
    <w:p>
      <w:pPr>
        <w:shd w:fill="F4F3EF" w:color="auto" w:val="clear"/>
        <w:spacing w:after="0" w:before="0" w:line="220"/>
        <w:ind w:left="113" w:right="113"/>
      </w:pPr>
      <w:r>
        <w:rPr>
          <w:rFonts w:ascii="Courier New" w:cs="Courier New" w:eastAsia="Courier New" w:hAnsi="Courier New"/>
          <w:sz w:val="17"/>
          <w:szCs w:val="17"/>
        </w:rPr>
        <w:t xml:space="preserve">    (re.compile(r"(?&lt;!\w)@[\w.]{2,}"), "@[UTILIZADOR]"),</w:t>
      </w:r>
    </w:p>
    <w:p>
      <w:pPr>
        <w:shd w:fill="F4F3EF" w:color="auto" w:val="clear"/>
        <w:spacing w:after="0" w:before="0" w:line="220"/>
        <w:ind w:left="113" w:right="113"/>
      </w:pPr>
      <w:r>
        <w:rPr>
          <w:rFonts w:ascii="Courier New" w:cs="Courier New" w:eastAsia="Courier New" w:hAnsi="Courier New"/>
          <w:sz w:val="17"/>
          <w:szCs w:val="17"/>
        </w:rPr>
        <w:t xml:space="preserve">]</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mascarar_texto(texto: str) -&gt; str:</w:t>
      </w:r>
    </w:p>
    <w:p>
      <w:pPr>
        <w:shd w:fill="F4F3EF" w:color="auto" w:val="clear"/>
        <w:spacing w:after="0" w:before="0" w:line="220"/>
        <w:ind w:left="113" w:right="113"/>
      </w:pPr>
      <w:r>
        <w:rPr>
          <w:rFonts w:ascii="Courier New" w:cs="Courier New" w:eastAsia="Courier New" w:hAnsi="Courier New"/>
          <w:sz w:val="17"/>
          <w:szCs w:val="17"/>
        </w:rPr>
        <w:t xml:space="preserve">    """Substitui identificadores directos no texto por marcadores."""</w:t>
      </w:r>
    </w:p>
    <w:p>
      <w:pPr>
        <w:shd w:fill="F4F3EF" w:color="auto" w:val="clear"/>
        <w:spacing w:after="0" w:before="0" w:line="220"/>
        <w:ind w:left="113" w:right="113"/>
      </w:pPr>
      <w:r>
        <w:rPr>
          <w:rFonts w:ascii="Courier New" w:cs="Courier New" w:eastAsia="Courier New" w:hAnsi="Courier New"/>
          <w:sz w:val="17"/>
          <w:szCs w:val="17"/>
        </w:rPr>
        <w:t xml:space="preserve">    if not texto:</w:t>
      </w:r>
    </w:p>
    <w:p>
      <w:pPr>
        <w:shd w:fill="F4F3EF" w:color="auto" w:val="clear"/>
        <w:spacing w:after="0" w:before="0" w:line="220"/>
        <w:ind w:left="113" w:right="113"/>
      </w:pPr>
      <w:r>
        <w:rPr>
          <w:rFonts w:ascii="Courier New" w:cs="Courier New" w:eastAsia="Courier New" w:hAnsi="Courier New"/>
          <w:sz w:val="17"/>
          <w:szCs w:val="17"/>
        </w:rPr>
        <w:t xml:space="preserve">        return ""</w:t>
      </w:r>
    </w:p>
    <w:p>
      <w:pPr>
        <w:shd w:fill="F4F3EF" w:color="auto" w:val="clear"/>
        <w:spacing w:after="0" w:before="0" w:line="220"/>
        <w:ind w:left="113" w:right="113"/>
      </w:pPr>
      <w:r>
        <w:rPr>
          <w:rFonts w:ascii="Courier New" w:cs="Courier New" w:eastAsia="Courier New" w:hAnsi="Courier New"/>
          <w:sz w:val="17"/>
          <w:szCs w:val="17"/>
        </w:rPr>
        <w:t xml:space="preserve">    for padrao, marcador in _PADROES:</w:t>
      </w:r>
    </w:p>
    <w:p>
      <w:pPr>
        <w:shd w:fill="F4F3EF" w:color="auto" w:val="clear"/>
        <w:spacing w:after="0" w:before="0" w:line="220"/>
        <w:ind w:left="113" w:right="113"/>
      </w:pPr>
      <w:r>
        <w:rPr>
          <w:rFonts w:ascii="Courier New" w:cs="Courier New" w:eastAsia="Courier New" w:hAnsi="Courier New"/>
          <w:sz w:val="17"/>
          <w:szCs w:val="17"/>
        </w:rPr>
        <w:t xml:space="preserve">        texto = padrao.sub(marcador, texto)</w:t>
      </w:r>
    </w:p>
    <w:p>
      <w:pPr>
        <w:shd w:fill="F4F3EF" w:color="auto" w:val="clear"/>
        <w:spacing w:after="0" w:before="0" w:line="220"/>
        <w:ind w:left="113" w:right="113"/>
      </w:pPr>
      <w:r>
        <w:rPr>
          <w:rFonts w:ascii="Courier New" w:cs="Courier New" w:eastAsia="Courier New" w:hAnsi="Courier New"/>
          <w:sz w:val="17"/>
          <w:szCs w:val="17"/>
        </w:rPr>
        <w:t xml:space="preserve">    return re.sub(r"\s+", " ", texto).strip()</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pseudonimo_autor(autor: str | None, segredo: str) -&gt; str | None:</w:t>
      </w:r>
    </w:p>
    <w:p>
      <w:pPr>
        <w:shd w:fill="F4F3EF" w:color="auto" w:val="clear"/>
        <w:spacing w:after="0" w:before="0" w:line="220"/>
        <w:ind w:left="113" w:right="113"/>
      </w:pPr>
      <w:r>
        <w:rPr>
          <w:rFonts w:ascii="Courier New" w:cs="Courier New" w:eastAsia="Courier New" w:hAnsi="Courier New"/>
          <w:sz w:val="17"/>
          <w:szCs w:val="17"/>
        </w:rPr>
        <w:t xml:space="preserve">    """Pseudónimo irreversível do autor (HMAC-SHA-256, 16 hex)."""</w:t>
      </w:r>
    </w:p>
    <w:p>
      <w:pPr>
        <w:shd w:fill="F4F3EF" w:color="auto" w:val="clear"/>
        <w:spacing w:after="0" w:before="0" w:line="220"/>
        <w:ind w:left="113" w:right="113"/>
      </w:pPr>
      <w:r>
        <w:rPr>
          <w:rFonts w:ascii="Courier New" w:cs="Courier New" w:eastAsia="Courier New" w:hAnsi="Courier New"/>
          <w:sz w:val="17"/>
          <w:szCs w:val="17"/>
        </w:rPr>
        <w:t xml:space="preserve">    if not autor:</w:t>
      </w:r>
    </w:p>
    <w:p>
      <w:pPr>
        <w:shd w:fill="F4F3EF" w:color="auto" w:val="clear"/>
        <w:spacing w:after="0" w:before="0" w:line="220"/>
        <w:ind w:left="113" w:right="113"/>
      </w:pPr>
      <w:r>
        <w:rPr>
          <w:rFonts w:ascii="Courier New" w:cs="Courier New" w:eastAsia="Courier New" w:hAnsi="Courier New"/>
          <w:sz w:val="17"/>
          <w:szCs w:val="17"/>
        </w:rPr>
        <w:t xml:space="preserve">        return None</w:t>
      </w:r>
    </w:p>
    <w:p>
      <w:pPr>
        <w:shd w:fill="F4F3EF" w:color="auto" w:val="clear"/>
        <w:spacing w:after="0" w:before="0" w:line="220"/>
        <w:ind w:left="113" w:right="113"/>
      </w:pPr>
      <w:r>
        <w:rPr>
          <w:rFonts w:ascii="Courier New" w:cs="Courier New" w:eastAsia="Courier New" w:hAnsi="Courier New"/>
          <w:sz w:val="17"/>
          <w:szCs w:val="17"/>
        </w:rPr>
        <w:t xml:space="preserve">    if not segredo:</w:t>
      </w:r>
    </w:p>
    <w:p>
      <w:pPr>
        <w:shd w:fill="F4F3EF" w:color="auto" w:val="clear"/>
        <w:spacing w:after="0" w:before="0" w:line="220"/>
        <w:ind w:left="113" w:right="113"/>
      </w:pPr>
      <w:r>
        <w:rPr>
          <w:rFonts w:ascii="Courier New" w:cs="Courier New" w:eastAsia="Courier New" w:hAnsi="Courier New"/>
          <w:sz w:val="17"/>
          <w:szCs w:val="17"/>
        </w:rPr>
        <w:t xml:space="preserve">        raise ValueError(</w:t>
      </w:r>
    </w:p>
    <w:p>
      <w:pPr>
        <w:shd w:fill="F4F3EF" w:color="auto" w:val="clear"/>
        <w:spacing w:after="0" w:before="0" w:line="220"/>
        <w:ind w:left="113" w:right="113"/>
      </w:pPr>
      <w:r>
        <w:rPr>
          <w:rFonts w:ascii="Courier New" w:cs="Courier New" w:eastAsia="Courier New" w:hAnsi="Courier New"/>
          <w:sz w:val="17"/>
          <w:szCs w:val="17"/>
        </w:rPr>
        <w:t xml:space="preserve">            "Defina UAN_SEGREDO_HASH: sem segredo, o hash de um nome de utilizador "</w:t>
      </w:r>
    </w:p>
    <w:p>
      <w:pPr>
        <w:shd w:fill="F4F3EF" w:color="auto" w:val="clear"/>
        <w:spacing w:after="0" w:before="0" w:line="220"/>
        <w:ind w:left="113" w:right="113"/>
      </w:pPr>
      <w:r>
        <w:rPr>
          <w:rFonts w:ascii="Courier New" w:cs="Courier New" w:eastAsia="Courier New" w:hAnsi="Courier New"/>
          <w:sz w:val="17"/>
          <w:szCs w:val="17"/>
        </w:rPr>
        <w:t xml:space="preserve">            "pode ser revertido por dicionário."</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digest = hmac.new(segredo.encode("utf-8"), autor.strip().lower().encode("utf-8"), hashlib.sha256)</w:t>
      </w:r>
    </w:p>
    <w:p>
      <w:pPr>
        <w:shd w:fill="F4F3EF" w:color="auto" w:val="clear"/>
        <w:spacing w:after="200" w:before="0" w:line="220"/>
        <w:ind w:left="113" w:right="113"/>
      </w:pPr>
      <w:r>
        <w:rPr>
          <w:rFonts w:ascii="Courier New" w:cs="Courier New" w:eastAsia="Courier New" w:hAnsi="Courier New"/>
          <w:sz w:val="17"/>
          <w:szCs w:val="17"/>
        </w:rPr>
        <w:t xml:space="preserve">    return digest.hexdigest()[:16]</w:t>
      </w:r>
    </w:p>
    <w:p>
      <w:pPr>
        <w:pStyle w:val="Heading2"/>
        <w:keepNext/>
        <w:keepLines/>
        <w:spacing w:after="160" w:before="360" w:line="300"/>
      </w:pPr>
      <w:r>
        <w:rPr>
          <w:rFonts w:ascii="Times New Roman" w:cs="Times New Roman" w:eastAsia="Times New Roman" w:hAnsi="Times New Roman"/>
          <w:b/>
          <w:bCs/>
          <w:sz w:val="26"/>
          <w:szCs w:val="26"/>
        </w:rPr>
        <w:t xml:space="preserve">A.2 Classificação em lote com o BERTimbau</w:t>
      </w:r>
    </w:p>
    <w:p>
      <w:pPr>
        <w:spacing w:after="120" w:before="0" w:line="360"/>
        <w:ind w:firstLine="567"/>
        <w:jc w:val="both"/>
      </w:pPr>
      <w:r>
        <w:rPr>
          <w:rFonts w:ascii="Times New Roman" w:cs="Times New Roman" w:eastAsia="Times New Roman" w:hAnsi="Times New Roman"/>
          <w:sz w:val="24"/>
          <w:szCs w:val="24"/>
        </w:rPr>
        <w:t xml:space="preserve">Método de classificação da classe ClassificadorBERTimbau (módulo sistema/classificador.py).</w:t>
      </w:r>
    </w:p>
    <w:p>
      <w:pPr>
        <w:shd w:fill="F4F3EF" w:color="auto" w:val="clear"/>
        <w:spacing w:after="0" w:before="120" w:line="220"/>
        <w:ind w:left="113" w:right="113"/>
      </w:pPr>
      <w:r>
        <w:rPr>
          <w:rFonts w:ascii="Courier New" w:cs="Courier New" w:eastAsia="Courier New" w:hAnsi="Courier New"/>
          <w:sz w:val="17"/>
          <w:szCs w:val="17"/>
        </w:rPr>
        <w:t xml:space="preserve">    def classificar(self, textos: list[str]) -&gt; list[Resultado]:</w:t>
      </w:r>
    </w:p>
    <w:p>
      <w:pPr>
        <w:shd w:fill="F4F3EF" w:color="auto" w:val="clear"/>
        <w:spacing w:after="0" w:before="0" w:line="220"/>
        <w:ind w:left="113" w:right="113"/>
      </w:pPr>
      <w:r>
        <w:rPr>
          <w:rFonts w:ascii="Courier New" w:cs="Courier New" w:eastAsia="Courier New" w:hAnsi="Courier New"/>
          <w:sz w:val="17"/>
          <w:szCs w:val="17"/>
        </w:rPr>
        <w:t xml:space="preserve">        torch = self._torch</w:t>
      </w:r>
    </w:p>
    <w:p>
      <w:pPr>
        <w:shd w:fill="F4F3EF" w:color="auto" w:val="clear"/>
        <w:spacing w:after="0" w:before="0" w:line="220"/>
        <w:ind w:left="113" w:right="113"/>
      </w:pPr>
      <w:r>
        <w:rPr>
          <w:rFonts w:ascii="Courier New" w:cs="Courier New" w:eastAsia="Courier New" w:hAnsi="Courier New"/>
          <w:sz w:val="17"/>
          <w:szCs w:val="17"/>
        </w:rPr>
        <w:t xml:space="preserve">        resultados: list[Resultado] = []</w:t>
      </w:r>
    </w:p>
    <w:p>
      <w:pPr>
        <w:shd w:fill="F4F3EF" w:color="auto" w:val="clear"/>
        <w:spacing w:after="0" w:before="0" w:line="220"/>
        <w:ind w:left="113" w:right="113"/>
      </w:pPr>
      <w:r>
        <w:rPr>
          <w:rFonts w:ascii="Courier New" w:cs="Courier New" w:eastAsia="Courier New" w:hAnsi="Courier New"/>
          <w:sz w:val="17"/>
          <w:szCs w:val="17"/>
        </w:rPr>
        <w:t xml:space="preserve">        for i in range(0, len(textos), self.tamanho_lote):</w:t>
      </w:r>
    </w:p>
    <w:p>
      <w:pPr>
        <w:shd w:fill="F4F3EF" w:color="auto" w:val="clear"/>
        <w:spacing w:after="0" w:before="0" w:line="220"/>
        <w:ind w:left="113" w:right="113"/>
      </w:pPr>
      <w:r>
        <w:rPr>
          <w:rFonts w:ascii="Courier New" w:cs="Courier New" w:eastAsia="Courier New" w:hAnsi="Courier New"/>
          <w:sz w:val="17"/>
          <w:szCs w:val="17"/>
        </w:rPr>
        <w:t xml:space="preserve">            lote = textos[i : i + self.tamanho_lote]</w:t>
      </w:r>
    </w:p>
    <w:p>
      <w:pPr>
        <w:shd w:fill="F4F3EF" w:color="auto" w:val="clear"/>
        <w:spacing w:after="0" w:before="0" w:line="220"/>
        <w:ind w:left="113" w:right="113"/>
      </w:pPr>
      <w:r>
        <w:rPr>
          <w:rFonts w:ascii="Courier New" w:cs="Courier New" w:eastAsia="Courier New" w:hAnsi="Courier New"/>
          <w:sz w:val="17"/>
          <w:szCs w:val="17"/>
        </w:rPr>
        <w:t xml:space="preserve">            enc = self.tokenizer(lote, truncation=True, max_length=self.max_length, padding=True, return_tensors="pt")</w:t>
      </w:r>
    </w:p>
    <w:p>
      <w:pPr>
        <w:shd w:fill="F4F3EF" w:color="auto" w:val="clear"/>
        <w:spacing w:after="0" w:before="0" w:line="220"/>
        <w:ind w:left="113" w:right="113"/>
      </w:pPr>
      <w:r>
        <w:rPr>
          <w:rFonts w:ascii="Courier New" w:cs="Courier New" w:eastAsia="Courier New" w:hAnsi="Courier New"/>
          <w:sz w:val="17"/>
          <w:szCs w:val="17"/>
        </w:rPr>
        <w:t xml:space="preserve">            enc = {k: v.to(self.dispositivo) for k, v in enc.items()}</w:t>
      </w:r>
    </w:p>
    <w:p>
      <w:pPr>
        <w:shd w:fill="F4F3EF" w:color="auto" w:val="clear"/>
        <w:spacing w:after="0" w:before="0" w:line="220"/>
        <w:ind w:left="113" w:right="113"/>
      </w:pPr>
      <w:r>
        <w:rPr>
          <w:rFonts w:ascii="Courier New" w:cs="Courier New" w:eastAsia="Courier New" w:hAnsi="Courier New"/>
          <w:sz w:val="17"/>
          <w:szCs w:val="17"/>
        </w:rPr>
        <w:t xml:space="preserve">            with torch.no_grad():</w:t>
      </w:r>
    </w:p>
    <w:p>
      <w:pPr>
        <w:shd w:fill="F4F3EF" w:color="auto" w:val="clear"/>
        <w:spacing w:after="0" w:before="0" w:line="220"/>
        <w:ind w:left="113" w:right="113"/>
      </w:pPr>
      <w:r>
        <w:rPr>
          <w:rFonts w:ascii="Courier New" w:cs="Courier New" w:eastAsia="Courier New" w:hAnsi="Courier New"/>
          <w:sz w:val="17"/>
          <w:szCs w:val="17"/>
        </w:rPr>
        <w:t xml:space="preserve">                probs = torch.softmax(self.modelo(**enc).logits, dim=-1).cpu().tolist()</w:t>
      </w:r>
    </w:p>
    <w:p>
      <w:pPr>
        <w:shd w:fill="F4F3EF" w:color="auto" w:val="clear"/>
        <w:spacing w:after="0" w:before="0" w:line="220"/>
        <w:ind w:left="113" w:right="113"/>
      </w:pPr>
      <w:r>
        <w:rPr>
          <w:rFonts w:ascii="Courier New" w:cs="Courier New" w:eastAsia="Courier New" w:hAnsi="Courier New"/>
          <w:sz w:val="17"/>
          <w:szCs w:val="17"/>
        </w:rPr>
        <w:t xml:space="preserve">            resultados.extend(Resultado(dict(zip(self.rotulos, map(float, p)))) for p in probs)</w:t>
      </w:r>
    </w:p>
    <w:p>
      <w:pPr>
        <w:shd w:fill="F4F3EF" w:color="auto" w:val="clear"/>
        <w:spacing w:after="200" w:before="0" w:line="220"/>
        <w:ind w:left="113" w:right="113"/>
      </w:pPr>
      <w:r>
        <w:rPr>
          <w:rFonts w:ascii="Courier New" w:cs="Courier New" w:eastAsia="Courier New" w:hAnsi="Courier New"/>
          <w:sz w:val="17"/>
          <w:szCs w:val="17"/>
        </w:rPr>
        <w:t xml:space="preserve">        return resultados</w:t>
      </w:r>
    </w:p>
    <w:p>
      <w:pPr>
        <w:pStyle w:val="Heading2"/>
        <w:keepNext/>
        <w:keepLines/>
        <w:spacing w:after="160" w:before="360" w:line="300"/>
      </w:pPr>
      <w:r>
        <w:rPr>
          <w:rFonts w:ascii="Times New Roman" w:cs="Times New Roman" w:eastAsia="Times New Roman" w:hAnsi="Times New Roman"/>
          <w:b/>
          <w:bCs/>
          <w:sz w:val="26"/>
          <w:szCs w:val="26"/>
        </w:rPr>
        <w:t xml:space="preserve">A.3 Prioridade e classificação das publicações pendentes</w:t>
      </w:r>
    </w:p>
    <w:p>
      <w:pPr>
        <w:spacing w:after="120" w:before="0" w:line="360"/>
        <w:ind w:firstLine="567"/>
        <w:jc w:val="both"/>
      </w:pPr>
      <w:r>
        <w:rPr>
          <w:rFonts w:ascii="Times New Roman" w:cs="Times New Roman" w:eastAsia="Times New Roman" w:hAnsi="Times New Roman"/>
          <w:sz w:val="24"/>
          <w:szCs w:val="24"/>
        </w:rPr>
        <w:t xml:space="preserve">Cálculo da prioridade na fila e gravação das classificações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prioridade(res: Resultado) -&gt; float:</w:t>
      </w:r>
    </w:p>
    <w:p>
      <w:pPr>
        <w:shd w:fill="F4F3EF" w:color="auto" w:val="clear"/>
        <w:spacing w:after="0" w:before="0" w:line="220"/>
        <w:ind w:left="113" w:right="113"/>
      </w:pPr>
      <w:r>
        <w:rPr>
          <w:rFonts w:ascii="Courier New" w:cs="Courier New" w:eastAsia="Courier New" w:hAnsi="Courier New"/>
          <w:sz w:val="17"/>
          <w:szCs w:val="17"/>
        </w:rPr>
        <w:t xml:space="preserve">    """Prioridade na fila = probabilidade de NÃO ser Normal.</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Ordena pela suspeita global e não pela categoria prevista, para que um item</w:t>
      </w:r>
    </w:p>
    <w:p>
      <w:pPr>
        <w:shd w:fill="F4F3EF" w:color="auto" w:val="clear"/>
        <w:spacing w:after="0" w:before="0" w:line="220"/>
        <w:ind w:left="113" w:right="113"/>
      </w:pPr>
      <w:r>
        <w:rPr>
          <w:rFonts w:ascii="Courier New" w:cs="Courier New" w:eastAsia="Courier New" w:hAnsi="Courier New"/>
          <w:sz w:val="17"/>
          <w:szCs w:val="17"/>
        </w:rPr>
        <w:t xml:space="preserve">    com 45% Mobilizacao e 50% Normal (previsto Normal) também suba na fila.</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return 1.0 - res.probabilidades.get("Normal", 0.0)</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classificar_pendentes(bd: BaseDados, clf: Classificador, limite: int = 1000) -&gt; dict:</w:t>
      </w:r>
    </w:p>
    <w:p>
      <w:pPr>
        <w:shd w:fill="F4F3EF" w:color="auto" w:val="clear"/>
        <w:spacing w:after="0" w:before="0" w:line="220"/>
        <w:ind w:left="113" w:right="113"/>
      </w:pPr>
      <w:r>
        <w:rPr>
          <w:rFonts w:ascii="Courier New" w:cs="Courier New" w:eastAsia="Courier New" w:hAnsi="Courier New"/>
          <w:sz w:val="17"/>
          <w:szCs w:val="17"/>
        </w:rPr>
        <w:t xml:space="preserve">    pend = bd.pendentes(limite)</w:t>
      </w:r>
    </w:p>
    <w:p>
      <w:pPr>
        <w:shd w:fill="F4F3EF" w:color="auto" w:val="clear"/>
        <w:spacing w:after="0" w:before="0" w:line="220"/>
        <w:ind w:left="113" w:right="113"/>
      </w:pPr>
      <w:r>
        <w:rPr>
          <w:rFonts w:ascii="Courier New" w:cs="Courier New" w:eastAsia="Courier New" w:hAnsi="Courier New"/>
          <w:sz w:val="17"/>
          <w:szCs w:val="17"/>
        </w:rPr>
        <w:t xml:space="preserve">    if not pend:</w:t>
      </w:r>
    </w:p>
    <w:p>
      <w:pPr>
        <w:shd w:fill="F4F3EF" w:color="auto" w:val="clear"/>
        <w:spacing w:after="0" w:before="0" w:line="220"/>
        <w:ind w:left="113" w:right="113"/>
      </w:pPr>
      <w:r>
        <w:rPr>
          <w:rFonts w:ascii="Courier New" w:cs="Courier New" w:eastAsia="Courier New" w:hAnsi="Courier New"/>
          <w:sz w:val="17"/>
          <w:szCs w:val="17"/>
        </w:rPr>
        <w:t xml:space="preserve">        return {"classificados": 0}</w:t>
      </w:r>
    </w:p>
    <w:p>
      <w:pPr>
        <w:shd w:fill="F4F3EF" w:color="auto" w:val="clear"/>
        <w:spacing w:after="0" w:before="0" w:line="220"/>
        <w:ind w:left="113" w:right="113"/>
      </w:pPr>
      <w:r>
        <w:rPr>
          <w:rFonts w:ascii="Courier New" w:cs="Courier New" w:eastAsia="Courier New" w:hAnsi="Courier New"/>
          <w:sz w:val="17"/>
          <w:szCs w:val="17"/>
        </w:rPr>
        <w:t xml:space="preserve">    t0 = time.perf_counter()</w:t>
      </w:r>
    </w:p>
    <w:p>
      <w:pPr>
        <w:shd w:fill="F4F3EF" w:color="auto" w:val="clear"/>
        <w:spacing w:after="0" w:before="0" w:line="220"/>
        <w:ind w:left="113" w:right="113"/>
      </w:pPr>
      <w:r>
        <w:rPr>
          <w:rFonts w:ascii="Courier New" w:cs="Courier New" w:eastAsia="Courier New" w:hAnsi="Courier New"/>
          <w:sz w:val="17"/>
          <w:szCs w:val="17"/>
        </w:rPr>
        <w:t xml:space="preserve">    resultados = clf.classificar([p["texto"] for p in pend])</w:t>
      </w:r>
    </w:p>
    <w:p>
      <w:pPr>
        <w:shd w:fill="F4F3EF" w:color="auto" w:val="clear"/>
        <w:spacing w:after="0" w:before="0" w:line="220"/>
        <w:ind w:left="113" w:right="113"/>
      </w:pPr>
      <w:r>
        <w:rPr>
          <w:rFonts w:ascii="Courier New" w:cs="Courier New" w:eastAsia="Courier New" w:hAnsi="Courier New"/>
          <w:sz w:val="17"/>
          <w:szCs w:val="17"/>
        </w:rPr>
        <w:t xml:space="preserve">    dur_ms = (time.perf_counter() - t0) * 1000 / len(pend)</w:t>
      </w:r>
    </w:p>
    <w:p>
      <w:pPr>
        <w:shd w:fill="F4F3EF" w:color="auto" w:val="clear"/>
        <w:spacing w:after="0" w:before="0" w:line="220"/>
        <w:ind w:left="113" w:right="113"/>
      </w:pPr>
      <w:r>
        <w:rPr>
          <w:rFonts w:ascii="Courier New" w:cs="Courier New" w:eastAsia="Courier New" w:hAnsi="Courier New"/>
          <w:sz w:val="17"/>
          <w:szCs w:val="17"/>
        </w:rPr>
        <w:t xml:space="preserve">    quando = agora()</w:t>
      </w:r>
    </w:p>
    <w:p>
      <w:pPr>
        <w:shd w:fill="F4F3EF" w:color="auto" w:val="clear"/>
        <w:spacing w:after="0" w:before="0" w:line="220"/>
        <w:ind w:left="113" w:right="113"/>
      </w:pPr>
      <w:r>
        <w:rPr>
          <w:rFonts w:ascii="Courier New" w:cs="Courier New" w:eastAsia="Courier New" w:hAnsi="Courier New"/>
          <w:sz w:val="17"/>
          <w:szCs w:val="17"/>
        </w:rPr>
        <w:t xml:space="preserve">    bd.gravar_classificacoes([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"id_pub": p["id_pub"],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"probabilidades": json.dumps(r.probabilidades), "categoria": r.categoria,</w:t>
      </w:r>
    </w:p>
    <w:p>
      <w:pPr>
        <w:shd w:fill="F4F3EF" w:color="auto" w:val="clear"/>
        <w:spacing w:after="0" w:before="0" w:line="220"/>
        <w:ind w:left="113" w:right="113"/>
      </w:pPr>
      <w:r>
        <w:rPr>
          <w:rFonts w:ascii="Courier New" w:cs="Courier New" w:eastAsia="Courier New" w:hAnsi="Courier New"/>
          <w:sz w:val="17"/>
          <w:szCs w:val="17"/>
        </w:rPr>
        <w:t xml:space="preserve">            "confianca": r.confianca, "prioridade": prioridade(r),</w:t>
      </w:r>
    </w:p>
    <w:p>
      <w:pPr>
        <w:shd w:fill="F4F3EF" w:color="auto" w:val="clear"/>
        <w:spacing w:after="0" w:before="0" w:line="220"/>
        <w:ind w:left="113" w:right="113"/>
      </w:pPr>
      <w:r>
        <w:rPr>
          <w:rFonts w:ascii="Courier New" w:cs="Courier New" w:eastAsia="Courier New" w:hAnsi="Courier New"/>
          <w:sz w:val="17"/>
          <w:szCs w:val="17"/>
        </w:rPr>
        <w:t xml:space="preserve">            "classificado_em": quando, "duracao_ms": dur_ms,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for p, r in zip(pend, resultados)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bd.auditar("sistema", "classificacao", {"n": len(pend),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return {"classificados": len(pend), "ms_por_item": round(dur_ms, 2),</w:t>
      </w:r>
    </w:p>
    <w:p>
      <w:pPr>
        <w:shd w:fill="F4F3EF" w:color="auto" w:val="clear"/>
        <w:spacing w:after="200" w:before="0" w:line="220"/>
        <w:ind w:left="113" w:right="113"/>
      </w:pPr>
      <w:r>
        <w:rPr>
          <w:rFonts w:ascii="Courier New" w:cs="Courier New" w:eastAsia="Courier New" w:hAnsi="Courier New"/>
          <w:sz w:val="17"/>
          <w:szCs w:val="17"/>
        </w:rPr>
        <w:t xml:space="preserve">            "categorias": dict(Counter(r.categoria for r in resultados))}</w:t>
      </w:r>
    </w:p>
    <w:p>
      <w:pPr>
        <w:pStyle w:val="Heading2"/>
        <w:keepNext/>
        <w:keepLines/>
        <w:spacing w:after="160" w:before="360" w:line="300"/>
      </w:pPr>
      <w:r>
        <w:rPr>
          <w:rFonts w:ascii="Times New Roman" w:cs="Times New Roman" w:eastAsia="Times New Roman" w:hAnsi="Times New Roman"/>
          <w:b/>
          <w:bCs/>
          <w:sz w:val="26"/>
          <w:szCs w:val="26"/>
        </w:rPr>
        <w:t xml:space="preserve">A.4 Métricas operacionais</w:t>
      </w:r>
    </w:p>
    <w:p>
      <w:pPr>
        <w:spacing w:after="120" w:before="0" w:line="360"/>
        <w:ind w:firstLine="567"/>
        <w:jc w:val="both"/>
      </w:pPr>
      <w:r>
        <w:rPr>
          <w:rFonts w:ascii="Times New Roman" w:cs="Times New Roman" w:eastAsia="Times New Roman" w:hAnsi="Times New Roman"/>
          <w:sz w:val="24"/>
          <w:szCs w:val="24"/>
        </w:rPr>
        <w:t xml:space="preserve">Precisão nos primeiros K, concordância e Kappa entre analista e sistema, e latência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metricas(bd: BaseDados, ks: tuple[int, ...] = (10, 25, 50, 100)) -&gt; dict:</w:t>
      </w:r>
    </w:p>
    <w:p>
      <w:pPr>
        <w:shd w:fill="F4F3EF" w:color="auto" w:val="clear"/>
        <w:spacing w:after="0" w:before="0" w:line="220"/>
        <w:ind w:left="113" w:right="113"/>
      </w:pPr>
      <w:r>
        <w:rPr>
          <w:rFonts w:ascii="Courier New" w:cs="Courier New" w:eastAsia="Courier New" w:hAnsi="Courier New"/>
          <w:sz w:val="17"/>
          <w:szCs w:val="17"/>
        </w:rPr>
        <w:t xml:space="preserve">    """Métricas operacionais a partir das revisões humanas.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 precisão@K: entre os K itens de maior prioridade já revistos, fracção que o</w:t>
      </w:r>
    </w:p>
    <w:p>
      <w:pPr>
        <w:shd w:fill="F4F3EF" w:color="auto" w:val="clear"/>
        <w:spacing w:after="0" w:before="0" w:line="220"/>
        <w:ind w:left="113" w:right="113"/>
      </w:pPr>
      <w:r>
        <w:rPr>
          <w:rFonts w:ascii="Courier New" w:cs="Courier New" w:eastAsia="Courier New" w:hAnsi="Courier New"/>
          <w:sz w:val="17"/>
          <w:szCs w:val="17"/>
        </w:rPr>
        <w:t xml:space="preserve">      analista confirmou como ameaça (qualquer categoria diferente de Normal);</w:t>
      </w:r>
    </w:p>
    <w:p>
      <w:pPr>
        <w:shd w:fill="F4F3EF" w:color="auto" w:val="clear"/>
        <w:spacing w:after="0" w:before="0" w:line="220"/>
        <w:ind w:left="113" w:right="113"/>
      </w:pPr>
      <w:r>
        <w:rPr>
          <w:rFonts w:ascii="Courier New" w:cs="Courier New" w:eastAsia="Courier New" w:hAnsi="Courier New"/>
          <w:sz w:val="17"/>
          <w:szCs w:val="17"/>
        </w:rPr>
        <w:t xml:space="preserve">    - concordância e Kappa analista–sistema;</w:t>
      </w:r>
    </w:p>
    <w:p>
      <w:pPr>
        <w:shd w:fill="F4F3EF" w:color="auto" w:val="clear"/>
        <w:spacing w:after="0" w:before="0" w:line="220"/>
        <w:ind w:left="113" w:right="113"/>
      </w:pPr>
      <w:r>
        <w:rPr>
          <w:rFonts w:ascii="Courier New" w:cs="Courier New" w:eastAsia="Courier New" w:hAnsi="Courier New"/>
          <w:sz w:val="17"/>
          <w:szCs w:val="17"/>
        </w:rPr>
        <w:t xml:space="preserve">    - latência recolha→classificação (mediana e P95), para a H2.</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rev = bd.consultar(</w:t>
      </w:r>
    </w:p>
    <w:p>
      <w:pPr>
        <w:shd w:fill="F4F3EF" w:color="auto" w:val="clear"/>
        <w:spacing w:after="0" w:before="0" w:line="220"/>
        <w:ind w:left="113" w:right="113"/>
      </w:pPr>
      <w:r>
        <w:rPr>
          <w:rFonts w:ascii="Courier New" w:cs="Courier New" w:eastAsia="Courier New" w:hAnsi="Courier New"/>
          <w:sz w:val="17"/>
          <w:szCs w:val="17"/>
        </w:rPr>
        <w:t xml:space="preserve">        """SELECT k.categoria AS sistema, r.categoria AS analista, k.prioridade</w:t>
      </w:r>
    </w:p>
    <w:p>
      <w:pPr>
        <w:shd w:fill="F4F3EF" w:color="auto" w:val="clear"/>
        <w:spacing w:after="0" w:before="0" w:line="220"/>
        <w:ind w:left="113" w:right="113"/>
      </w:pPr>
      <w:r>
        <w:rPr>
          <w:rFonts w:ascii="Courier New" w:cs="Courier New" w:eastAsia="Courier New" w:hAnsi="Courier New"/>
          <w:sz w:val="17"/>
          <w:szCs w:val="17"/>
        </w:rPr>
        <w:t xml:space="preserve">           FROM revisoes r JOIN classificacoes k ON k.id_pub = r.id_pub ORDER BY k.prioridade DESC"""</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out: dict = {"n_revistas": len(rev)}</w:t>
      </w:r>
    </w:p>
    <w:p>
      <w:pPr>
        <w:shd w:fill="F4F3EF" w:color="auto" w:val="clear"/>
        <w:spacing w:after="0" w:before="0" w:line="220"/>
        <w:ind w:left="113" w:right="113"/>
      </w:pPr>
      <w:r>
        <w:rPr>
          <w:rFonts w:ascii="Courier New" w:cs="Courier New" w:eastAsia="Courier New" w:hAnsi="Courier New"/>
          <w:sz w:val="17"/>
          <w:szCs w:val="17"/>
        </w:rPr>
        <w:t xml:space="preserve">    if rev:</w:t>
      </w:r>
    </w:p>
    <w:p>
      <w:pPr>
        <w:shd w:fill="F4F3EF" w:color="auto" w:val="clear"/>
        <w:spacing w:after="0" w:before="0" w:line="220"/>
        <w:ind w:left="113" w:right="113"/>
      </w:pPr>
      <w:r>
        <w:rPr>
          <w:rFonts w:ascii="Courier New" w:cs="Courier New" w:eastAsia="Courier New" w:hAnsi="Courier New"/>
          <w:sz w:val="17"/>
          <w:szCs w:val="17"/>
        </w:rPr>
        <w:t xml:space="preserve">        ameaca = [x["analista"] != "Normal" for x in rev]</w:t>
      </w:r>
    </w:p>
    <w:p>
      <w:pPr>
        <w:shd w:fill="F4F3EF" w:color="auto" w:val="clear"/>
        <w:spacing w:after="0" w:before="0" w:line="220"/>
        <w:ind w:left="113" w:right="113"/>
      </w:pPr>
      <w:r>
        <w:rPr>
          <w:rFonts w:ascii="Courier New" w:cs="Courier New" w:eastAsia="Courier New" w:hAnsi="Courier New"/>
          <w:sz w:val="17"/>
          <w:szCs w:val="17"/>
        </w:rPr>
        <w:t xml:space="preserve">        out["precisao_at_k"] = {k: round(sum(ameaca[:k]) / min(k, len(ameaca)), 3) for k in ks if len(ameaca) &gt;= k}</w:t>
      </w:r>
    </w:p>
    <w:p>
      <w:pPr>
        <w:shd w:fill="F4F3EF" w:color="auto" w:val="clear"/>
        <w:spacing w:after="0" w:before="0" w:line="220"/>
        <w:ind w:left="113" w:right="113"/>
      </w:pPr>
      <w:r>
        <w:rPr>
          <w:rFonts w:ascii="Courier New" w:cs="Courier New" w:eastAsia="Courier New" w:hAnsi="Courier New"/>
          <w:sz w:val="17"/>
          <w:szCs w:val="17"/>
        </w:rPr>
        <w:t xml:space="preserve">        s, a = [x["sistema"] for x in rev], [x["analista"] for x in rev]</w:t>
      </w:r>
    </w:p>
    <w:p>
      <w:pPr>
        <w:shd w:fill="F4F3EF" w:color="auto" w:val="clear"/>
        <w:spacing w:after="0" w:before="0" w:line="220"/>
        <w:ind w:left="113" w:right="113"/>
      </w:pPr>
      <w:r>
        <w:rPr>
          <w:rFonts w:ascii="Courier New" w:cs="Courier New" w:eastAsia="Courier New" w:hAnsi="Courier New"/>
          <w:sz w:val="17"/>
          <w:szCs w:val="17"/>
        </w:rPr>
        <w:t xml:space="preserve">        out["concordancia"] = round(sum(x == y for x, y in zip(s, a)) / len(rev), 3)</w:t>
      </w:r>
    </w:p>
    <w:p>
      <w:pPr>
        <w:shd w:fill="F4F3EF" w:color="auto" w:val="clear"/>
        <w:spacing w:after="0" w:before="0" w:line="220"/>
        <w:ind w:left="113" w:right="113"/>
      </w:pPr>
      <w:r>
        <w:rPr>
          <w:rFonts w:ascii="Courier New" w:cs="Courier New" w:eastAsia="Courier New" w:hAnsi="Courier New"/>
          <w:sz w:val="17"/>
          <w:szCs w:val="17"/>
        </w:rPr>
        <w:t xml:space="preserve">        k = _kappa(s, a)</w:t>
      </w:r>
    </w:p>
    <w:p>
      <w:pPr>
        <w:shd w:fill="F4F3EF" w:color="auto" w:val="clear"/>
        <w:spacing w:after="0" w:before="0" w:line="220"/>
        <w:ind w:left="113" w:right="113"/>
      </w:pPr>
      <w:r>
        <w:rPr>
          <w:rFonts w:ascii="Courier New" w:cs="Courier New" w:eastAsia="Courier New" w:hAnsi="Courier New"/>
          <w:sz w:val="17"/>
          <w:szCs w:val="17"/>
        </w:rPr>
        <w:t xml:space="preserve">        out["kappa_analista_sistema"] = None if k is None else round(k, 3)</w:t>
      </w:r>
    </w:p>
    <w:p>
      <w:pPr>
        <w:shd w:fill="F4F3EF" w:color="auto" w:val="clear"/>
        <w:spacing w:after="0" w:before="0" w:line="220"/>
        <w:ind w:left="113" w:right="113"/>
      </w:pPr>
      <w:r>
        <w:rPr>
          <w:rFonts w:ascii="Courier New" w:cs="Courier New" w:eastAsia="Courier New" w:hAnsi="Courier New"/>
          <w:sz w:val="17"/>
          <w:szCs w:val="17"/>
        </w:rPr>
        <w:t xml:space="preserve">        out["por_categoria"] = {</w:t>
      </w:r>
    </w:p>
    <w:p>
      <w:pPr>
        <w:shd w:fill="F4F3EF" w:color="auto" w:val="clear"/>
        <w:spacing w:after="0" w:before="0" w:line="220"/>
        <w:ind w:left="113" w:right="113"/>
      </w:pPr>
      <w:r>
        <w:rPr>
          <w:rFonts w:ascii="Courier New" w:cs="Courier New" w:eastAsia="Courier New" w:hAnsi="Courier New"/>
          <w:sz w:val="17"/>
          <w:szCs w:val="17"/>
        </w:rPr>
        <w:t xml:space="preserve">            c: {"previstas": s.count(c), "confirmadas": sum(1 for x, y in zip(s, a) if x == c and y == c)}</w:t>
      </w:r>
    </w:p>
    <w:p>
      <w:pPr>
        <w:shd w:fill="F4F3EF" w:color="auto" w:val="clear"/>
        <w:spacing w:after="0" w:before="0" w:line="220"/>
        <w:ind w:left="113" w:right="113"/>
      </w:pPr>
      <w:r>
        <w:rPr>
          <w:rFonts w:ascii="Courier New" w:cs="Courier New" w:eastAsia="Courier New" w:hAnsi="Courier New"/>
          <w:sz w:val="17"/>
          <w:szCs w:val="17"/>
        </w:rPr>
        <w:t xml:space="preserve">            for c in ROTULOS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lat = bd.consultar(</w:t>
      </w:r>
    </w:p>
    <w:p>
      <w:pPr>
        <w:shd w:fill="F4F3EF" w:color="auto" w:val="clear"/>
        <w:spacing w:after="0" w:before="0" w:line="220"/>
        <w:ind w:left="113" w:right="113"/>
      </w:pPr>
      <w:r>
        <w:rPr>
          <w:rFonts w:ascii="Courier New" w:cs="Courier New" w:eastAsia="Courier New" w:hAnsi="Courier New"/>
          <w:sz w:val="17"/>
          <w:szCs w:val="17"/>
        </w:rPr>
        <w:t xml:space="preserve">        """SELECT p.recolhido_em, k.classificado_em FROM classificacoes k JOIN publicacoes p ON p.id_pub = k.id_pub"""</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seg = [</w:t>
      </w:r>
    </w:p>
    <w:p>
      <w:pPr>
        <w:shd w:fill="F4F3EF" w:color="auto" w:val="clear"/>
        <w:spacing w:after="0" w:before="0" w:line="220"/>
        <w:ind w:left="113" w:right="113"/>
      </w:pPr>
      <w:r>
        <w:rPr>
          <w:rFonts w:ascii="Courier New" w:cs="Courier New" w:eastAsia="Courier New" w:hAnsi="Courier New"/>
          <w:sz w:val="17"/>
          <w:szCs w:val="17"/>
        </w:rPr>
        <w:t xml:space="preserve">        (datetime.fromisoformat(x["classificado_em"]) - datetime.fromisoformat(x["recolhido_em"])).total_seconds()</w:t>
      </w:r>
    </w:p>
    <w:p>
      <w:pPr>
        <w:shd w:fill="F4F3EF" w:color="auto" w:val="clear"/>
        <w:spacing w:after="0" w:before="0" w:line="220"/>
        <w:ind w:left="113" w:right="113"/>
      </w:pPr>
      <w:r>
        <w:rPr>
          <w:rFonts w:ascii="Courier New" w:cs="Courier New" w:eastAsia="Courier New" w:hAnsi="Courier New"/>
          <w:sz w:val="17"/>
          <w:szCs w:val="17"/>
        </w:rPr>
        <w:t xml:space="preserve">        for x in lat</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if seg:</w:t>
      </w:r>
    </w:p>
    <w:p>
      <w:pPr>
        <w:shd w:fill="F4F3EF" w:color="auto" w:val="clear"/>
        <w:spacing w:after="0" w:before="0" w:line="220"/>
        <w:ind w:left="113" w:right="113"/>
      </w:pPr>
      <w:r>
        <w:rPr>
          <w:rFonts w:ascii="Courier New" w:cs="Courier New" w:eastAsia="Courier New" w:hAnsi="Courier New"/>
          <w:sz w:val="17"/>
          <w:szCs w:val="17"/>
        </w:rPr>
        <w:t xml:space="preserve">        seg.sort()</w:t>
      </w:r>
    </w:p>
    <w:p>
      <w:pPr>
        <w:shd w:fill="F4F3EF" w:color="auto" w:val="clear"/>
        <w:spacing w:after="0" w:before="0" w:line="220"/>
        <w:ind w:left="113" w:right="113"/>
      </w:pPr>
      <w:r>
        <w:rPr>
          <w:rFonts w:ascii="Courier New" w:cs="Courier New" w:eastAsia="Courier New" w:hAnsi="Courier New"/>
          <w:sz w:val="17"/>
          <w:szCs w:val="17"/>
        </w:rPr>
        <w:t xml:space="preserve">        out["latencia_s"] = {</w:t>
      </w:r>
    </w:p>
    <w:p>
      <w:pPr>
        <w:shd w:fill="F4F3EF" w:color="auto" w:val="clear"/>
        <w:spacing w:after="0" w:before="0" w:line="220"/>
        <w:ind w:left="113" w:right="113"/>
      </w:pPr>
      <w:r>
        <w:rPr>
          <w:rFonts w:ascii="Courier New" w:cs="Courier New" w:eastAsia="Courier New" w:hAnsi="Courier New"/>
          <w:sz w:val="17"/>
          <w:szCs w:val="17"/>
        </w:rPr>
        <w:t xml:space="preserve">            "n": len(seg), "mediana": round(statistics.median(seg), 3),</w:t>
      </w:r>
    </w:p>
    <w:p>
      <w:pPr>
        <w:shd w:fill="F4F3EF" w:color="auto" w:val="clear"/>
        <w:spacing w:after="0" w:before="0" w:line="220"/>
        <w:ind w:left="113" w:right="113"/>
      </w:pPr>
      <w:r>
        <w:rPr>
          <w:rFonts w:ascii="Courier New" w:cs="Courier New" w:eastAsia="Courier New" w:hAnsi="Courier New"/>
          <w:sz w:val="17"/>
          <w:szCs w:val="17"/>
        </w:rPr>
        <w:t xml:space="preserve">            "p95": round(seg[min(len(seg) - 1, int(0.95 * len(seg)))], 3), "max": round(seg[-1], 3),</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inf = bd.consultar("SELECT AVG(duracao_ms) AS m FROM classificacoes")</w:t>
      </w:r>
    </w:p>
    <w:p>
      <w:pPr>
        <w:shd w:fill="F4F3EF" w:color="auto" w:val="clear"/>
        <w:spacing w:after="0" w:before="0" w:line="220"/>
        <w:ind w:left="113" w:right="113"/>
      </w:pPr>
      <w:r>
        <w:rPr>
          <w:rFonts w:ascii="Courier New" w:cs="Courier New" w:eastAsia="Courier New" w:hAnsi="Courier New"/>
          <w:sz w:val="17"/>
          <w:szCs w:val="17"/>
        </w:rPr>
        <w:t xml:space="preserve">    if inf and inf[0]["m"] is not None:</w:t>
      </w:r>
    </w:p>
    <w:p>
      <w:pPr>
        <w:shd w:fill="F4F3EF" w:color="auto" w:val="clear"/>
        <w:spacing w:after="0" w:before="0" w:line="220"/>
        <w:ind w:left="113" w:right="113"/>
      </w:pPr>
      <w:r>
        <w:rPr>
          <w:rFonts w:ascii="Courier New" w:cs="Courier New" w:eastAsia="Courier New" w:hAnsi="Courier New"/>
          <w:sz w:val="17"/>
          <w:szCs w:val="17"/>
        </w:rPr>
        <w:t xml:space="preserve">        out["inferencia_ms_por_item"] = round(inf[0]["m"], 2)</w:t>
      </w:r>
    </w:p>
    <w:p>
      <w:pPr>
        <w:shd w:fill="F4F3EF" w:color="auto" w:val="clear"/>
        <w:spacing w:after="200" w:before="0" w:line="220"/>
        <w:ind w:left="113" w:right="113"/>
      </w:pPr>
      <w:r>
        <w:rPr>
          <w:rFonts w:ascii="Courier New" w:cs="Courier New" w:eastAsia="Courier New" w:hAnsi="Courier New"/>
          <w:sz w:val="17"/>
          <w:szCs w:val="17"/>
        </w:rPr>
        <w:t xml:space="preserve">    return out</w:t>
      </w:r>
    </w:p>
    <w:p>
      <w:pPr>
        <w:sectPr>
          <w:headerReference w:type="default" r:id="rId27"/>
          <w:footerReference w:type="default" r:id="rId2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B – GUIA DE ANOTAÇÃO PADRONIZADO</w:t>
      </w:r>
    </w:p>
    <w:p>
      <w:pPr>
        <w:spacing w:after="120" w:before="0" w:line="360"/>
        <w:ind w:firstLine="567"/>
        <w:jc w:val="both"/>
      </w:pPr>
      <w:r>
        <w:rPr>
          <w:rFonts w:ascii="Times New Roman" w:cs="Times New Roman" w:eastAsia="Times New Roman" w:hAnsi="Times New Roman"/>
          <w:sz w:val="24"/>
          <w:szCs w:val="24"/>
        </w:rPr>
        <w:t xml:space="preserve">Este guia orientou os três anotadores na classificação dos comentários do corpus angolano. Todos o receberam antes de começar e comprometeram-se a segui-lo de forma independente, sem comunicar entre si durante a anotação.</w:t>
      </w:r>
    </w:p>
    <w:p>
      <w:pPr>
        <w:pStyle w:val="Heading2"/>
        <w:keepNext/>
        <w:keepLines/>
        <w:spacing w:after="160" w:before="360" w:line="300"/>
      </w:pPr>
      <w:r>
        <w:rPr>
          <w:rFonts w:ascii="Times New Roman" w:cs="Times New Roman" w:eastAsia="Times New Roman" w:hAnsi="Times New Roman"/>
          <w:b/>
          <w:bCs/>
          <w:sz w:val="26"/>
          <w:szCs w:val="26"/>
        </w:rPr>
        <w:t xml:space="preserve">B.1 Identificação do projecto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20"/>
      </w:tblGrid>
      <w:tr>
        <w:trPr>
          <w:cantSplit/>
          <w:tblHeader/>
        </w:trPr>
        <w:tc>
          <w:tcPr>
            <w:tcW w:type="dxa" w:w="2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Campo</w:t>
            </w:r>
          </w:p>
        </w:tc>
        <w:tc>
          <w:tcPr>
            <w:tcW w:type="dxa" w:w="5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Informação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Título da investigação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Monitoramento inteligente de ameaças em redes sociais em Angola para o apoio à defesa e segurança nacional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Investigador principal</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Manuel Gonga Muinga</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Instituição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Universidade Agostinho Neto, Faculdade de Engenharia</w:t>
            </w:r>
          </w:p>
        </w:tc>
      </w:tr>
      <w:tr>
        <w:trPr>
          <w:cantSplit/>
          <w:tblHeader w:val="false"/>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Período de anotação</w:t>
            </w:r>
          </w:p>
        </w:tc>
        <w:tc>
          <w:tcPr>
            <w:tcW w:type="dxa" w:w="5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Junho a Outubro de 2026</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B.2 Objectivo da anotação</w:t>
      </w:r>
    </w:p>
    <w:p>
      <w:pPr>
        <w:spacing w:after="120" w:before="0" w:line="360"/>
        <w:ind w:firstLine="567"/>
        <w:jc w:val="both"/>
      </w:pPr>
      <w:r>
        <w:rPr>
          <w:rFonts w:ascii="Times New Roman" w:cs="Times New Roman" w:eastAsia="Times New Roman" w:hAnsi="Times New Roman"/>
          <w:sz w:val="24"/>
          <w:szCs w:val="24"/>
        </w:rPr>
        <w:t xml:space="preserve">Atribuir a cada comentário uma, e só uma, das quatro categorias definidas abaixo. As anotações constituem a referência para treinar e avaliar os modelos, pelo que a sua consistência determina a validade dos resultados.</w:t>
      </w:r>
    </w:p>
    <w:p>
      <w:pPr>
        <w:pStyle w:val="Heading2"/>
        <w:keepNext/>
        <w:keepLines/>
        <w:spacing w:after="160" w:before="360" w:line="300"/>
      </w:pPr>
      <w:r>
        <w:rPr>
          <w:rFonts w:ascii="Times New Roman" w:cs="Times New Roman" w:eastAsia="Times New Roman" w:hAnsi="Times New Roman"/>
          <w:b/>
          <w:bCs/>
          <w:sz w:val="26"/>
          <w:szCs w:val="26"/>
        </w:rPr>
        <w:t xml:space="preserve">B.3 Categorias</w:t>
      </w:r>
    </w:p>
    <w:p>
      <w:pPr>
        <w:pStyle w:val="Heading3"/>
        <w:keepNext/>
        <w:spacing w:after="120" w:before="240"/>
      </w:pPr>
      <w:r>
        <w:rPr>
          <w:rFonts w:ascii="Times New Roman" w:cs="Times New Roman" w:eastAsia="Times New Roman" w:hAnsi="Times New Roman"/>
          <w:b/>
          <w:bCs/>
          <w:sz w:val="24"/>
          <w:szCs w:val="24"/>
        </w:rPr>
        <w:t xml:space="preserve">B.3.1 Normal (rótulo Normal)</w:t>
      </w:r>
    </w:p>
    <w:p>
      <w:pPr>
        <w:spacing w:after="120" w:before="0" w:line="360"/>
        <w:ind w:firstLine="567"/>
        <w:jc w:val="both"/>
      </w:pPr>
      <w:r>
        <w:rPr>
          <w:rFonts w:ascii="Times New Roman" w:cs="Times New Roman" w:eastAsia="Times New Roman" w:hAnsi="Times New Roman"/>
          <w:sz w:val="24"/>
          <w:szCs w:val="24"/>
        </w:rPr>
        <w:t xml:space="preserve">Comentários que não representam ameaça à segurança, à ordem pública ou aos direitos fundamentais. Inclui notícias factuais, entretenimento, crítica política legítima, humor e conversa quotidiana. Exemplos: «O Governo anunciou hoje a inauguração da nova estrada em Benguela»; «As políticas económicas precisam de ser revistas urgentemente» (crítica sem incitação).</w:t>
      </w:r>
    </w:p>
    <w:p>
      <w:pPr>
        <w:pStyle w:val="Heading3"/>
        <w:keepNext/>
        <w:spacing w:after="120" w:before="240"/>
      </w:pPr>
      <w:r>
        <w:rPr>
          <w:rFonts w:ascii="Times New Roman" w:cs="Times New Roman" w:eastAsia="Times New Roman" w:hAnsi="Times New Roman"/>
          <w:b/>
          <w:bCs/>
          <w:sz w:val="24"/>
          <w:szCs w:val="24"/>
        </w:rPr>
        <w:t xml:space="preserve">B.3.2 Desinformação (rótulo Desinformacao)</w:t>
      </w:r>
    </w:p>
    <w:p>
      <w:pPr>
        <w:spacing w:after="120" w:before="0" w:line="360"/>
        <w:ind w:firstLine="567"/>
        <w:jc w:val="both"/>
      </w:pPr>
      <w:r>
        <w:rPr>
          <w:rFonts w:ascii="Times New Roman" w:cs="Times New Roman" w:eastAsia="Times New Roman" w:hAnsi="Times New Roman"/>
          <w:sz w:val="24"/>
          <w:szCs w:val="24"/>
        </w:rPr>
        <w:t xml:space="preserve">Informação falsa, enganosa ou deliberadamente distorcida, com potencial para causar dano público, manipular a opinião ou criar pânico. Inclui notícias fabricadas, vídeos fora de contexto ou manipulados e declarações falsamente atribuídas a figuras públicas. Exemplos: «URGENTE: vídeo mostra um governante a confessar desvio de fundos. PARTILHA!» (vídeo manipulado); «Surto de doença mortal em Luanda, as autoridades estão a esconder a verdade» (sem fonte). Se a publicação apresentar factos reais com contexto distorcido para enganar, classifique como Desinformação.</w:t>
      </w:r>
    </w:p>
    <w:p>
      <w:pPr>
        <w:pStyle w:val="Heading3"/>
        <w:keepNext/>
        <w:spacing w:after="120" w:before="240"/>
      </w:pPr>
      <w:r>
        <w:rPr>
          <w:rFonts w:ascii="Times New Roman" w:cs="Times New Roman" w:eastAsia="Times New Roman" w:hAnsi="Times New Roman"/>
          <w:b/>
          <w:bCs/>
          <w:sz w:val="24"/>
          <w:szCs w:val="24"/>
        </w:rPr>
        <w:t xml:space="preserve">B.3.3 Discurso de ódio (rótulo Odio)</w:t>
      </w:r>
    </w:p>
    <w:p>
      <w:pPr>
        <w:spacing w:after="120" w:before="0" w:line="360"/>
        <w:ind w:firstLine="567"/>
        <w:jc w:val="both"/>
      </w:pPr>
      <w:r>
        <w:rPr>
          <w:rFonts w:ascii="Times New Roman" w:cs="Times New Roman" w:eastAsia="Times New Roman" w:hAnsi="Times New Roman"/>
          <w:sz w:val="24"/>
          <w:szCs w:val="24"/>
        </w:rPr>
        <w:t xml:space="preserve">Conteúdo que promove, incita ou justifica discriminação, hostilidade ou violência com base em etnia, religião, origem regional, género ou orientação sexual, de forma explícita ou implícita (estereótipos, desumanização, linguagem codificada). O calão com conteúdo discriminatório entra nesta categoria. A crítica a governos, partidos ou figuras públicas não é discurso de ódio; o critério é a desumanização ou a discriminação por identidade.</w:t>
      </w:r>
    </w:p>
    <w:p>
      <w:pPr>
        <w:pStyle w:val="Heading3"/>
        <w:keepNext/>
        <w:spacing w:after="120" w:before="240"/>
      </w:pPr>
      <w:r>
        <w:rPr>
          <w:rFonts w:ascii="Times New Roman" w:cs="Times New Roman" w:eastAsia="Times New Roman" w:hAnsi="Times New Roman"/>
          <w:b/>
          <w:bCs/>
          <w:sz w:val="24"/>
          <w:szCs w:val="24"/>
        </w:rPr>
        <w:t xml:space="preserve">B.3.4 Mobilização hostil (rótulo Mobilizacao)</w:t>
      </w:r>
    </w:p>
    <w:p>
      <w:pPr>
        <w:spacing w:after="120" w:before="0" w:line="360"/>
        <w:ind w:firstLine="567"/>
        <w:jc w:val="both"/>
      </w:pPr>
      <w:r>
        <w:rPr>
          <w:rFonts w:ascii="Times New Roman" w:cs="Times New Roman" w:eastAsia="Times New Roman" w:hAnsi="Times New Roman"/>
          <w:sz w:val="24"/>
          <w:szCs w:val="24"/>
        </w:rPr>
        <w:t xml:space="preserve">Comentários que organizam, coordenam ou incitam à participação em acções ilegais ou violentas, ou que ameacem a ordem pública. Exemplos: «Amanhã Luanda pára. Quem não aparecer é traidor. Tragam o que foi combinado.» Uma convocatória para manifestação pacífica e legal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é Mobilização Hostil e deve ser classificada como Normal.</w:t>
      </w:r>
    </w:p>
    <w:p>
      <w:pPr>
        <w:pStyle w:val="Heading2"/>
        <w:keepNext/>
        <w:keepLines/>
        <w:spacing w:after="160" w:before="360" w:line="300"/>
      </w:pPr>
      <w:r>
        <w:rPr>
          <w:rFonts w:ascii="Times New Roman" w:cs="Times New Roman" w:eastAsia="Times New Roman" w:hAnsi="Times New Roman"/>
          <w:b/>
          <w:bCs/>
          <w:sz w:val="26"/>
          <w:szCs w:val="26"/>
        </w:rPr>
        <w:t xml:space="preserve">B.4 Casos limítrofes</w:t>
      </w:r>
    </w:p>
    <w:p>
      <w:pPr>
        <w:spacing w:after="120" w:before="0" w:line="360"/>
        <w:ind w:firstLine="567"/>
        <w:jc w:val="both"/>
      </w:pPr>
      <w:r>
        <w:rPr>
          <w:rFonts w:ascii="Times New Roman" w:cs="Times New Roman" w:eastAsia="Times New Roman" w:hAnsi="Times New Roman"/>
          <w:b/>
          <w:bCs/>
          <w:sz w:val="24"/>
          <w:szCs w:val="24"/>
        </w:rPr>
        <w:t xml:space="preserve">Crítica política ou desinformação.</w:t>
      </w:r>
      <w:r>
        <w:rPr>
          <w:rFonts w:ascii="Times New Roman" w:cs="Times New Roman" w:eastAsia="Times New Roman" w:hAnsi="Times New Roman"/>
          <w:sz w:val="24"/>
          <w:szCs w:val="24"/>
        </w:rPr>
        <w:t xml:space="preserve"> Dados incorrectos numa crítica são Normal se o erro parecer involuntário e verificável; são Desinformação se forem apresentados como verdade sem fonte, com marcadores de manipulação (por exemplo, «partilha antes que apaguem»).</w:t>
      </w:r>
    </w:p>
    <w:p>
      <w:pPr>
        <w:spacing w:after="120" w:before="0" w:line="360"/>
        <w:ind w:firstLine="567"/>
        <w:jc w:val="both"/>
      </w:pPr>
      <w:r>
        <w:rPr>
          <w:rFonts w:ascii="Times New Roman" w:cs="Times New Roman" w:eastAsia="Times New Roman" w:hAnsi="Times New Roman"/>
          <w:b/>
          <w:bCs/>
          <w:sz w:val="24"/>
          <w:szCs w:val="24"/>
        </w:rPr>
        <w:t xml:space="preserve">Convocatória pacífica ou mobilização hostil.</w:t>
      </w:r>
      <w:r>
        <w:rPr>
          <w:rFonts w:ascii="Times New Roman" w:cs="Times New Roman" w:eastAsia="Times New Roman" w:hAnsi="Times New Roman"/>
          <w:sz w:val="24"/>
          <w:szCs w:val="24"/>
        </w:rPr>
        <w:t xml:space="preserve"> É Normal quando explicita o carácter pacífico e legal da acção; é Mobilização Hostil quando combina coordenação, linguagem coerciva ou de violência e ausência de referência ao carácter legal.</w:t>
      </w:r>
    </w:p>
    <w:p>
      <w:pPr>
        <w:spacing w:after="120" w:before="0" w:line="360"/>
        <w:ind w:firstLine="567"/>
        <w:jc w:val="both"/>
      </w:pPr>
      <w:r>
        <w:rPr>
          <w:rFonts w:ascii="Times New Roman" w:cs="Times New Roman" w:eastAsia="Times New Roman" w:hAnsi="Times New Roman"/>
          <w:b/>
          <w:bCs/>
          <w:sz w:val="24"/>
          <w:szCs w:val="24"/>
        </w:rPr>
        <w:t xml:space="preserve">Ódio implícito ou observação.</w:t>
      </w:r>
      <w:r>
        <w:rPr>
          <w:rFonts w:ascii="Times New Roman" w:cs="Times New Roman" w:eastAsia="Times New Roman" w:hAnsi="Times New Roman"/>
          <w:sz w:val="24"/>
          <w:szCs w:val="24"/>
        </w:rPr>
        <w:t xml:space="preserve"> É Discurso de Ódio quando atribui características negativas a um grupo pela sua identidade e usa linguagem de exclusão, mesmo que formulada como «facto».</w:t>
      </w:r>
    </w:p>
    <w:p>
      <w:pPr>
        <w:pStyle w:val="Heading2"/>
        <w:keepNext/>
        <w:keepLines/>
        <w:spacing w:after="160" w:before="360" w:line="300"/>
      </w:pPr>
      <w:r>
        <w:rPr>
          <w:rFonts w:ascii="Times New Roman" w:cs="Times New Roman" w:eastAsia="Times New Roman" w:hAnsi="Times New Roman"/>
          <w:b/>
          <w:bCs/>
          <w:sz w:val="26"/>
          <w:szCs w:val="26"/>
        </w:rPr>
        <w:t xml:space="preserve">B.5 Regras de desempate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 a publicação tiver elementos de mais de uma categoria, escolha a mais grave: Mobilização Hostil &gt; Discurso de Ódio &gt; Desinformação &gt; Normal.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comentários com calão ou expressões de línguas nacionais, aplique os mesmos critérios; em caso de dúvida sobre o significado, registe-a na coluna de observações.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Ironia e sátira sem intenção de dano são Normal; ironia que mascara conteúdo nocivo segue a categoria correspondente.</w:t>
      </w:r>
    </w:p>
    <w:p>
      <w:pPr>
        <w:pStyle w:val="Heading2"/>
        <w:keepNext/>
        <w:keepLines/>
        <w:spacing w:after="160" w:before="360" w:line="300"/>
      </w:pPr>
      <w:r>
        <w:rPr>
          <w:rFonts w:ascii="Times New Roman" w:cs="Times New Roman" w:eastAsia="Times New Roman" w:hAnsi="Times New Roman"/>
          <w:b/>
          <w:bCs/>
          <w:sz w:val="26"/>
          <w:szCs w:val="26"/>
        </w:rPr>
        <w:t xml:space="preserve">B.6 Instruções de preenchimento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Ler cada comentário na íntegra antes de classificar.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Registar a categoria e, nos casos difíceis, uma observação.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consultar os outros anotadores durante a fase individual.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caso de dúvida persistente, registar e continuar, sem bloquear o processo.</w:t>
      </w:r>
    </w:p>
    <w:p>
      <w:pPr>
        <w:sectPr>
          <w:headerReference w:type="default" r:id="rId29"/>
          <w:footerReference w:type="default" r:id="rId3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C – ACORDO ENTRE ANOTADORES</w:t>
      </w:r>
    </w:p>
    <w:p>
      <w:pPr>
        <w:spacing w:after="120" w:before="0" w:line="360"/>
        <w:ind w:firstLine="567"/>
        <w:jc w:val="both"/>
      </w:pPr>
      <w:r>
        <w:rPr>
          <w:rFonts w:ascii="Times New Roman" w:cs="Times New Roman" w:eastAsia="Times New Roman" w:hAnsi="Times New Roman"/>
          <w:sz w:val="24"/>
          <w:szCs w:val="24"/>
        </w:rPr>
        <w:t xml:space="preserve">Este apêndice documenta o cálculo do acordo entre os três anotadores do corpus angolano.</w:t>
      </w:r>
    </w:p>
    <w:p>
      <w:pPr>
        <w:pStyle w:val="Heading2"/>
        <w:keepNext/>
        <w:keepLines/>
        <w:spacing w:after="160" w:before="360" w:line="300"/>
      </w:pPr>
      <w:r>
        <w:rPr>
          <w:rFonts w:ascii="Times New Roman" w:cs="Times New Roman" w:eastAsia="Times New Roman" w:hAnsi="Times New Roman"/>
          <w:b/>
          <w:bCs/>
          <w:sz w:val="26"/>
          <w:szCs w:val="26"/>
        </w:rPr>
        <w:t xml:space="preserve">C.1 Escala de interpretação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C.1 – Escala de interpretação do Kappa (Landis &amp; Koch, 1977)</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Valor de κ</w:t>
            </w:r>
          </w:p>
        </w:tc>
        <w:tc>
          <w:tcPr>
            <w:tcW w:type="dxa" w:w="5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Grau de acordo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&lt; 0,00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Pobre</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0,00–0,20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Ligeiro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0,21–0,40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Razoável</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0,41–0,60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Moderado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0,61–0,80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Substancial</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0,81–1,00</w:t>
            </w:r>
          </w:p>
        </w:tc>
        <w:tc>
          <w:tcPr>
            <w:tcW w:type="dxa" w:w="5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Quase perfeito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C.2 Fórmulas</w:t>
      </w:r>
    </w:p>
    <w:p>
      <w:pPr>
        <w:spacing w:after="120" w:before="0" w:line="360"/>
        <w:ind w:firstLine="567"/>
        <w:jc w:val="both"/>
      </w:pPr>
      <w:r>
        <w:rPr>
          <w:rFonts w:ascii="Times New Roman" w:cs="Times New Roman" w:eastAsia="Times New Roman" w:hAnsi="Times New Roman"/>
          <w:sz w:val="24"/>
          <w:szCs w:val="24"/>
        </w:rPr>
        <w:t xml:space="preserve">O Kappa de Cohen, para um par de anotadores, é κ = (Po − Pe) / (1 − Pe), onde Po é a proporção de acordo observado e Pe a proporção de acordo esperada ao acaso, calculada a partir das distribuições marginais de cada anotador (Cohen, 1960). O Kappa de Fleiss generaliza esta medida para três ou mais anotadores, calculando Po como a média, por item, da proporção de pares de anotadores em acordo e Pe a partir da distribuição global das categorias (Fleiss, 1971).</w:t>
      </w:r>
    </w:p>
    <w:p>
      <w:pPr>
        <w:pStyle w:val="Heading2"/>
        <w:keepNext/>
        <w:keepLines/>
        <w:spacing w:after="160" w:before="360" w:line="300"/>
      </w:pPr>
      <w:r>
        <w:rPr>
          <w:rFonts w:ascii="Times New Roman" w:cs="Times New Roman" w:eastAsia="Times New Roman" w:hAnsi="Times New Roman"/>
          <w:b/>
          <w:bCs/>
          <w:sz w:val="26"/>
          <w:szCs w:val="26"/>
        </w:rPr>
        <w:t xml:space="preserve">C.3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C.2 – Acordo entre os três anotadores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020"/>
      </w:tblGrid>
      <w:tr>
        <w:trPr>
          <w:cantSplit/>
          <w:tblHeader/>
        </w:trPr>
        <w:tc>
          <w:tcPr>
            <w:tcW w:type="dxa" w:w="3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2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 [0,695; 0,741]</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 médio (3 pares)</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Concordância observada</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81,3%</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temático de vídeos (284 itens)</w:t>
            </w:r>
          </w:p>
        </w:tc>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0,818 [0,763; 0,869]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do lote temático não é comparável com o das amostras aleatórias, por resultar de uma selecção não aleatória com distribuição de categorias diferente.</w:t>
      </w:r>
    </w:p>
    <w:p>
      <w:pPr>
        <w:spacing w:after="120" w:before="0" w:line="360"/>
        <w:ind w:firstLine="567"/>
        <w:jc w:val="both"/>
      </w:pPr>
      <w:r>
        <w:rPr>
          <w:rFonts w:ascii="Times New Roman" w:cs="Times New Roman" w:eastAsia="Times New Roman" w:hAnsi="Times New Roman"/>
          <w:sz w:val="24"/>
          <w:szCs w:val="24"/>
        </w:rPr>
        <w:t xml:space="preserve">A Tabela C.3 detalha o acordo nas amostras aleatórias do piloto (2.443 itens com etiqueta dos três anotadores), por par de anotadores e por categoria. Os anotadores são identificados por letras. O par menos concordante fica em 0,684 e o mais concordante em 0,772, todos no intervalo substancial. Por categoria, a Desinformação é a que reúne menos acordo (0,625), o que é coerente com a dificuldade de a distinguir da crítica política sem verificar os factos alegados.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C.3 – Acordo por par de anotadores e por categoria (amostras aleatórias, n = 2.443)</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3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Desagregação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A–B</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0,700</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0,684</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B–C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Média dos pares [IC 95%]</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 [0,696; 0,741]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0,738</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0,625</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0,753</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Itens até à versão 11 (n = 2.352)</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0,717</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enriquecido por léxico (n = 91)</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0,697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de Fleiss por categoria trata cada categoria contra as restantes. Valores calculados pelo script compute_pilot_kappa.py (ficheiro kappa_piloto.json).</w:t>
      </w:r>
    </w:p>
    <w:p>
      <w:pPr>
        <w:pStyle w:val="Heading2"/>
        <w:keepNext/>
        <w:keepLines/>
        <w:spacing w:after="160" w:before="360" w:line="300"/>
      </w:pPr>
      <w:r>
        <w:rPr>
          <w:rFonts w:ascii="Times New Roman" w:cs="Times New Roman" w:eastAsia="Times New Roman" w:hAnsi="Times New Roman"/>
          <w:b/>
          <w:bCs/>
          <w:sz w:val="26"/>
          <w:szCs w:val="26"/>
        </w:rPr>
        <w:t xml:space="preserve">C.4 Distribuição das etiquetas finais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C.4 – Distribuição das etiquetas finais do corpus angolano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Comentários</w:t>
            </w:r>
          </w:p>
        </w:tc>
        <w:tc>
          <w:tcPr>
            <w:tcW w:type="dxa" w:w="2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Percentagem</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63,1%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13,8%</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326</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12,4%</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10,7%</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2.637</w:t>
            </w:r>
          </w:p>
        </w:tc>
        <w:tc>
          <w:tcPr>
            <w:tcW w:type="dxa" w:w="2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100%</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Inclui as amostras aleatórias e os dois lotes enriquecidos, antes da deduplicação feita na harmonização do corpus.</w:t>
      </w:r>
    </w:p>
    <w:p>
      <w:pPr>
        <w:sectPr>
          <w:headerReference w:type="default" r:id="rId31"/>
          <w:footerReference w:type="default" r:id="rId3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D – DECLARAÇÃO DE CONSENTIMENTO E CONFIDENCIALIDADE DOS ANOTADORES</w:t>
      </w:r>
    </w:p>
    <w:p>
      <w:pPr>
        <w:spacing w:after="120" w:before="0" w:line="360"/>
        <w:ind w:firstLine="567"/>
        <w:jc w:val="both"/>
      </w:pPr>
      <w:r>
        <w:rPr>
          <w:rFonts w:ascii="Times New Roman" w:cs="Times New Roman" w:eastAsia="Times New Roman" w:hAnsi="Times New Roman"/>
          <w:sz w:val="24"/>
          <w:szCs w:val="24"/>
        </w:rPr>
        <w:t xml:space="preserve">Esta declaração foi assinada por cada anotador antes do início da anotação.</w:t>
      </w:r>
    </w:p>
    <w:p>
      <w:pPr>
        <w:spacing w:after="120" w:before="0" w:line="360"/>
        <w:jc w:val="both"/>
      </w:pPr>
      <w:r>
        <w:rPr>
          <w:rFonts w:ascii="Times New Roman" w:cs="Times New Roman" w:eastAsia="Times New Roman" w:hAnsi="Times New Roman"/>
          <w:sz w:val="24"/>
          <w:szCs w:val="24"/>
        </w:rPr>
        <w:t xml:space="preserve">Eu, abaixo assinado(a), declaro que: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sobre os objectivos, a metodologia e a finalidade da investigação «Monitoramento inteligente de ameaças em redes sociais em Angola para o apoio à defesa e segurança nacional», conduzida por Manuel Gonga Muinga na Universidade Agostinho Neto.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Participo voluntariamente como anotador(a), sem remuneração, e posso retirar o meu consentimento a qualquer momento sem penalização.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minha função consiste em classificar comentários de redes sociais em quatro categorias, seguindo o Guia de Anotação (Apêndice B), de forma independente.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Comprometo-me a manter a confidencialidade do conteúdo analisado e a não o usar para outro fim.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tenho conflitos de interesses com o investigador nem com os temas analisados.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Autorizo o uso das minhas anotações para fins exclusivamente académicos e científicos, sem identificação nominal nos resultados publicados.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de que os meus dados pessoais (nome e assinatura) serão tratados de forma confidencial, nos termos da Lei n.º 22/11, de 17 de Junho.</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Luanda, ____ de ________________ de 2026</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Nome do(a) anotador(a): ____________________________________________</w:t>
      </w:r>
    </w:p>
    <w:p>
      <w:pPr>
        <w:spacing w:after="120" w:before="0" w:line="360"/>
        <w:jc w:val="both"/>
      </w:pPr>
      <w:r>
        <w:rPr>
          <w:rFonts w:ascii="Times New Roman" w:cs="Times New Roman" w:eastAsia="Times New Roman" w:hAnsi="Times New Roman"/>
          <w:sz w:val="24"/>
          <w:szCs w:val="24"/>
        </w:rPr>
        <w:t xml:space="preserve">Assinatura: ______________________________________________________</w:t>
      </w:r>
    </w:p>
    <w:p>
      <w:pPr>
        <w:spacing w:after="120" w:before="0" w:line="360"/>
        <w:jc w:val="both"/>
      </w:pPr>
      <w:r>
        <w:rPr>
          <w:rFonts w:ascii="Times New Roman" w:cs="Times New Roman" w:eastAsia="Times New Roman" w:hAnsi="Times New Roman"/>
          <w:sz w:val="24"/>
          <w:szCs w:val="24"/>
        </w:rPr>
        <w:t xml:space="preserve">Investigador principal: Manuel Gonga Muinga  ________________________</w:t>
      </w:r>
    </w:p>
    <w:p>
      <w:pPr>
        <w:sectPr>
          <w:headerReference w:type="default" r:id="rId33"/>
          <w:footerReference w:type="default" r:id="rId3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E – AMOSTRA ANOTADA DO CORPUS</w:t>
      </w:r>
    </w:p>
    <w:p>
      <w:pPr>
        <w:spacing w:after="120" w:before="0" w:line="360"/>
        <w:ind w:firstLine="567"/>
        <w:jc w:val="both"/>
      </w:pPr>
      <w:r>
        <w:rPr>
          <w:rFonts w:ascii="Times New Roman" w:cs="Times New Roman" w:eastAsia="Times New Roman" w:hAnsi="Times New Roman"/>
          <w:sz w:val="24"/>
          <w:szCs w:val="24"/>
        </w:rPr>
        <w:t xml:space="preserve">Este apêndice apresenta 20 comentários reais do corpus angolano, com as anotações individuais e a etiqueta final. A amostra foi extraída do ficheiro corpus_ground_truth_com_texto_v13.csv por sorteio com semente fixa (42), cinco comentários por categoria, entre os comentários de YouTube das amostras aleatórias cuja etiqueta final coincide com a maioria dos anotadores. Ficaram de fora as publicações de imprensa e de organizações e os lotes enriquecidos. Os textos mantêm a grafia original. Os nomes de pessoas foram substituídos por descritores entre parênteses rectos, e os comentários longos foram reduzidos ao trecho relevante, assinalado com (…).</w:t>
      </w:r>
    </w:p>
    <w:p>
      <w:pPr>
        <w:pStyle w:val="LegendaTabela"/>
        <w:keepNext/>
        <w:spacing w:after="80" w:before="240" w:line="240"/>
        <w:jc w:val="center"/>
      </w:pPr>
      <w:r>
        <w:rPr>
          <w:rFonts w:ascii="Times New Roman" w:cs="Times New Roman" w:eastAsia="Times New Roman" w:hAnsi="Times New Roman"/>
          <w:b/>
          <w:bCs/>
          <w:sz w:val="20"/>
          <w:szCs w:val="20"/>
        </w:rPr>
        <w:t xml:space="preserve">Tabela E.1 – Amostra de comentários anotados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120"/>
        <w:gridCol w:w="520"/>
        <w:gridCol w:w="520"/>
        <w:gridCol w:w="520"/>
        <w:gridCol w:w="900"/>
        <w:gridCol w:w="1140"/>
      </w:tblGrid>
      <w:tr>
        <w:trPr>
          <w:cantSplit/>
          <w:tblHeader/>
        </w:trPr>
        <w:tc>
          <w:tcPr>
            <w:tcW w:type="dxa" w:w="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N.º</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Excerto (anonimizado)</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Final</w:t>
            </w:r>
          </w:p>
        </w:tc>
        <w:tc>
          <w:tcPr>
            <w:tcW w:type="dxa" w:w="114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Unânime</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Mesmo no Brasil 🇧🇷 creio que são piores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Minha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Meu Deus do céu como pode uma pessoa se aproveitar da pobreza dos outros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Máximo respeito Gangster.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Axo muito bem força mano deus esta com nosco, nao tenha medo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 [pessoa referida]? Laranjas e chocolates, e uma mansão de 6 milhões comprada em plena pandemia.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Só Deus para nós livrar das garras desses senhores que se intitulam donos de Angola e de todos os recursos que existe neste País. Verdade bem dita.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isso cá no meu país é proibido passar em órgãos públicos! Eu garanto que o Mplá é a máfia mais perigosa do mundo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[político brasileiro] deu palestra e ganhou meio milhão. Seu sobrinho faturou legal tb.</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Essa reportagem é encomendada por [líder religioso] e a Universal. A Universal está nesse momento sendo expulsa de Angola, por conta de crimes cometidos e por conta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GOVERNO DE ESQUERDA É MARAVILHOSO QUE O DIGA O DIGA O POVO VENEZUELANO E NORTE COREANO!!!!!🤣🤣🤣🤣🤣🤣🤣🤣🤣🤣🤣🤣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o povo angolano anda muito atrasado pois mesmo se apercebendo duq tem acontecido ñ faz nada contra a causa' apenas obcerva a sua própria destruição por parte dos dirigentes pa p#t@ do país.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Nada justifica o que??? É medo que você tem de apoiar o povo. Tem sim uma justificativa 💔 deixa disso homem do MPLA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Mano essa currupcao será difícil acaba cm MPLA n poder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Força vamos libertar o país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no puder. Viva povo de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Os fins justificam os meios... Estou orgulhoso de vocês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Está faltar chegarmos até aos condomínios 👌 eles moram lá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É QUE SE UNEM E VÃO NO PALÁCIO..E NÃO CULPO ESTE POVO SOFREDOR E ABANDONADO 😢</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Normal; D = Desinformação; O = Discurso de Ódio; M = Mobilização Hostil. A amostra não foi escolhida para ilustrar casos claros, e mostra também o ruído da anotação: o comentário 12, composto apenas por emojis, recebeu a etiqueta Discurso de Ódio de dois anotadores, e o 11 é sarcasmo político, de fronteira discutível com a categoria Normal. Casos como estes ajudam a explicar o κ substancial, mas não quase perfeito, do Apêndice C.</w:t>
      </w:r>
    </w:p>
    <w:p>
      <w:pPr>
        <w:sectPr>
          <w:headerReference w:type="default" r:id="rId35"/>
          <w:footerReference w:type="default" r:id="rId3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F – MANUAL DE INSTALAÇÃO E UTILIZAÇÃO DO SISTEMA</w:t>
      </w:r>
    </w:p>
    <w:p>
      <w:pPr>
        <w:spacing w:after="120" w:before="0" w:line="360"/>
        <w:ind w:firstLine="567"/>
        <w:jc w:val="both"/>
      </w:pPr>
      <w:r>
        <w:rPr>
          <w:rFonts w:ascii="Times New Roman" w:cs="Times New Roman" w:eastAsia="Times New Roman" w:hAnsi="Times New Roman"/>
          <w:sz w:val="24"/>
          <w:szCs w:val="24"/>
        </w:rPr>
        <w:t xml:space="preserve">O sistema está na pasta sistema_uan do repositório do projecto. Os comandos seguintes destinam-se à linha de comandos do Windows (cmd), executados nessa pasta.</w:t>
      </w:r>
    </w:p>
    <w:p>
      <w:pPr>
        <w:pStyle w:val="Heading2"/>
        <w:keepNext/>
        <w:keepLines/>
        <w:spacing w:after="160" w:before="360" w:line="300"/>
      </w:pPr>
      <w:r>
        <w:rPr>
          <w:rFonts w:ascii="Times New Roman" w:cs="Times New Roman" w:eastAsia="Times New Roman" w:hAnsi="Times New Roman"/>
          <w:b/>
          <w:bCs/>
          <w:sz w:val="26"/>
          <w:szCs w:val="26"/>
        </w:rPr>
        <w:t xml:space="preserve">F.1 Instalação</w:t>
      </w:r>
    </w:p>
    <w:p>
      <w:pPr>
        <w:shd w:fill="F4F3EF" w:color="auto" w:val="clear"/>
        <w:spacing w:after="0" w:before="120" w:line="220"/>
        <w:ind w:left="113" w:right="113"/>
      </w:pPr>
      <w:r>
        <w:rPr>
          <w:rFonts w:ascii="Courier New" w:cs="Courier New" w:eastAsia="Courier New" w:hAnsi="Courier New"/>
          <w:sz w:val="17"/>
          <w:szCs w:val="17"/>
        </w:rPr>
        <w:t xml:space="preserve">python -m pip install -r requirements.txt</w:t>
      </w:r>
    </w:p>
    <w:p>
      <w:pPr>
        <w:shd w:fill="F4F3EF" w:color="auto" w:val="clear"/>
        <w:spacing w:after="200" w:before="0" w:line="220"/>
        <w:ind w:left="113" w:right="113"/>
      </w:pPr>
      <w:r>
        <w:rPr>
          <w:rFonts w:ascii="Courier New" w:cs="Courier New" w:eastAsia="Courier New" w:hAnsi="Courier New"/>
          <w:sz w:val="17"/>
          <w:szCs w:val="17"/>
        </w:rPr>
        <w:t xml:space="preserve">python -m pytest -q</w:t>
      </w:r>
    </w:p>
    <w:p>
      <w:pPr>
        <w:pStyle w:val="Heading2"/>
        <w:keepNext/>
        <w:keepLines/>
        <w:spacing w:after="160" w:before="360" w:line="300"/>
      </w:pPr>
      <w:r>
        <w:rPr>
          <w:rFonts w:ascii="Times New Roman" w:cs="Times New Roman" w:eastAsia="Times New Roman" w:hAnsi="Times New Roman"/>
          <w:b/>
          <w:bCs/>
          <w:sz w:val="26"/>
          <w:szCs w:val="26"/>
        </w:rPr>
        <w:t xml:space="preserve">F.2 Configuração</w:t>
      </w:r>
    </w:p>
    <w:p>
      <w:pPr>
        <w:spacing w:after="120" w:before="0" w:line="360"/>
        <w:ind w:firstLine="567"/>
        <w:jc w:val="both"/>
      </w:pPr>
      <w:r>
        <w:rPr>
          <w:rFonts w:ascii="Times New Roman" w:cs="Times New Roman" w:eastAsia="Times New Roman" w:hAnsi="Times New Roman"/>
          <w:sz w:val="24"/>
          <w:szCs w:val="24"/>
        </w:rPr>
        <w:t xml:space="preserve">O sistema lê a configuração do ficheiro uan.env, na pasta do sistema, que se cria a partir de uan.env.exemplo e nunca é guardado no repositório. As duas variáveis essenciais são a pasta do modelo e o segredo dos pseudónimos:</w:t>
      </w:r>
    </w:p>
    <w:p>
      <w:pPr>
        <w:shd w:fill="F4F3EF" w:color="auto" w:val="clear"/>
        <w:spacing w:after="0" w:before="120" w:line="220"/>
        <w:ind w:left="113" w:right="113"/>
      </w:pPr>
      <w:r>
        <w:rPr>
          <w:rFonts w:ascii="Courier New" w:cs="Courier New" w:eastAsia="Courier New" w:hAnsi="Courier New"/>
          <w:sz w:val="17"/>
          <w:szCs w:val="17"/>
        </w:rPr>
        <w:t xml:space="preserve">UAN_MODELO=C:\modelos\bertimbau_uan_v13_s42</w:t>
      </w:r>
    </w:p>
    <w:p>
      <w:pPr>
        <w:shd w:fill="F4F3EF" w:color="auto" w:val="clear"/>
        <w:spacing w:after="200" w:before="0" w:line="220"/>
        <w:ind w:left="113" w:right="113"/>
      </w:pPr>
      <w:r>
        <w:rPr>
          <w:rFonts w:ascii="Courier New" w:cs="Courier New" w:eastAsia="Courier New" w:hAnsi="Courier New"/>
          <w:sz w:val="17"/>
          <w:szCs w:val="17"/>
        </w:rPr>
        <w:t xml:space="preserve">UAN_SEGREDO_HASH=frase-secreta-longa</w:t>
      </w:r>
    </w:p>
    <w:p>
      <w:pPr>
        <w:pStyle w:val="LegendaTabela"/>
        <w:keepNext/>
        <w:spacing w:after="80" w:before="240" w:line="240"/>
        <w:jc w:val="center"/>
      </w:pPr>
      <w:r>
        <w:rPr>
          <w:rFonts w:ascii="Times New Roman" w:cs="Times New Roman" w:eastAsia="Times New Roman" w:hAnsi="Times New Roman"/>
          <w:b/>
          <w:bCs/>
          <w:sz w:val="20"/>
          <w:szCs w:val="20"/>
        </w:rPr>
        <w:t xml:space="preserve">Tabela F.1 – Variáveis de configuração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920"/>
      </w:tblGrid>
      <w:tr>
        <w:trPr>
          <w:cantSplit/>
          <w:tblHeader/>
        </w:trPr>
        <w:tc>
          <w:tcPr>
            <w:tcW w:type="dxa" w:w="2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Variável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Valor por omissão</w:t>
            </w:r>
          </w:p>
        </w:tc>
        <w:tc>
          <w:tcPr>
            <w:tcW w:type="dxa" w:w="39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Significado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UAN_MODELO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Pasta do modelo; vazio activa o classificador de demonstração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UAN_SEGREDO_HASH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Segredo do pseudónimo dos autores; obrigatório para importar</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UAN_CHAVE_API</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Chave da interface de programação em /api; vazio desactiva-a</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UAN_BD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dados\sistema.db</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Ficheiro da base de dados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UAN_MAX_LENGTH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Comprimento máximo em subpalavras (igual ao do treino)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UAN_LOTE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 de inferência e sublote de gravação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UAN_DISPOSITIVO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auto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cpu, cuda ou auto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UAN_DIAS_CONSERVACAO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Prazo de conservação das publicações não revistas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UAN_HORAS_SESSAO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Duração da sessão na aplicação web</w:t>
            </w:r>
          </w:p>
        </w:tc>
      </w:tr>
      <w:tr>
        <w:trPr>
          <w:cantSplit/>
          <w:tblHeader w:val="false"/>
        </w:trPr>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UAN_COOKIE_SEGURO</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w:t>
            </w:r>
          </w:p>
        </w:tc>
        <w:tc>
          <w:tcPr>
            <w:tcW w:type="dxa" w:w="39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quando o sistema for servido por HTTPS</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F.3 Arranque e primeira utilização</w:t>
      </w:r>
    </w:p>
    <w:p>
      <w:pPr>
        <w:shd w:fill="F4F3EF" w:color="auto" w:val="clear"/>
        <w:spacing w:after="200" w:before="120" w:line="220"/>
        <w:ind w:left="113" w:right="113"/>
      </w:pPr>
      <w:r>
        <w:rPr>
          <w:rFonts w:ascii="Courier New" w:cs="Courier New" w:eastAsia="Courier New" w:hAnsi="Courier New"/>
          <w:sz w:val="17"/>
          <w:szCs w:val="17"/>
        </w:rPr>
        <w:t xml:space="preserve">python uan.py servir</w:t>
      </w:r>
    </w:p>
    <w:p>
      <w:pPr>
        <w:spacing w:after="120" w:before="0" w:line="360"/>
        <w:ind w:firstLine="567"/>
        <w:jc w:val="both"/>
      </w:pPr>
      <w:r>
        <w:rPr>
          <w:rFonts w:ascii="Times New Roman" w:cs="Times New Roman" w:eastAsia="Times New Roman" w:hAnsi="Times New Roman"/>
          <w:sz w:val="24"/>
          <w:szCs w:val="24"/>
        </w:rPr>
        <w:t xml:space="preserve">Depois de arrancar, abre-se o endereço http://127.0.0.1:8000 no navegador. Na primeira utilização, a aplicação pede a criação da conta do supervisor, que depois cria as contas dos analistas na página Utilizadores. Por omissão, o servidor só aceita ligações do próprio computador; para o abrir à rede interna usa-se a opção --anfitriao 0.0.0.0, com a porta protegida pela firewall e, fora de ensaios, atrás de HTTPS.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F.2 – Páginas da aplicação web</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120"/>
      </w:tblGrid>
      <w:tr>
        <w:trPr>
          <w:cantSplit/>
          <w:tblHeader/>
        </w:trPr>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Página</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Acesso</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Função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Panorama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Contagens por categoria, dia, plataforma e lote, sem vistas por autor</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Fila de revisão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sinalizados por prioridade; decisão com botões ou teclas 1 a 4</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Amostra de controlo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classificados como Normal, sorteados, sempre sem sugestão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 (importar: 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Importação, proveniência e classificação de pendentes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Métricas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Precisão@K, κ analista–sistema e entre analistas, sensibilidade, latência; exportações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Utilizadores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Criação, desactivação e redefinição de palavra-passe</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Registo de todas as acções relevantes</w:t>
            </w:r>
          </w:p>
        </w:tc>
      </w:tr>
      <w:tr>
        <w:trPr>
          <w:cantSplit/>
          <w:tblHeader w:val="false"/>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Definições</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Revisão cega, limpeza de conservação e cópias de segurança</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F.4 Linha de comandos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F.3 – Comandos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620"/>
      </w:tblGrid>
      <w:tr>
        <w:trPr>
          <w:cantSplit/>
          <w:tblHeader/>
        </w:trPr>
        <w:tc>
          <w:tcPr>
            <w:tcW w:type="dxa" w:w="4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Comando</w:t>
            </w:r>
          </w:p>
        </w:tc>
        <w:tc>
          <w:tcPr>
            <w:tcW w:type="dxa" w:w="3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Função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servir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Arranca a aplicação web</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criar-utilizador ana --nome "Ana" --papel analista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conta (pede a palavra-passe)</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importar ficheiro.csv --plataforma YouTube --via api_oficial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Importa e anonimiza um lote, registando a proveniência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classificar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Classifica as publicações pendentes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metricas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Calcula as métricas operacionais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exportar revisoes.csv</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Exporta as revisões para novo treino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limpar --dias 180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Aplica o prazo de conservação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copia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cópia de segurança da base de dados</w:t>
            </w:r>
          </w:p>
        </w:tc>
      </w:tr>
      <w:tr>
        <w:trPr>
          <w:cantSplit/>
          <w:tblHeader w:val="false"/>
        </w:trPr>
        <w:tc>
          <w:tcPr>
            <w:tcW w:type="dxa" w:w="4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medir-latencia ficheiro.csv</w:t>
            </w:r>
          </w:p>
        </w:tc>
        <w:tc>
          <w:tcPr>
            <w:tcW w:type="dxa" w:w="3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Mede o tempo de processamento (H2)</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F.5 Guardar o modelo depois do treino</w:t>
      </w:r>
    </w:p>
    <w:p>
      <w:pPr>
        <w:spacing w:after="120" w:before="0" w:line="360"/>
        <w:ind w:firstLine="567"/>
        <w:jc w:val="both"/>
      </w:pPr>
      <w:r>
        <w:rPr>
          <w:rFonts w:ascii="Times New Roman" w:cs="Times New Roman" w:eastAsia="Times New Roman" w:hAnsi="Times New Roman"/>
          <w:sz w:val="24"/>
          <w:szCs w:val="24"/>
        </w:rPr>
        <w:t xml:space="preserve">No fim da sessão de treino no Google Colab, o modelo deve ser gravado no formato da biblioteca Transformers (config.json, pesos e ficheiros do tokenizador) numa pasta do Google Drive, com a célula fornecida no ficheiro colab_guardar_modelo.py. Essa pasta é depois copiada para o computador e indicada em UAN_MODELO.</w:t>
      </w:r>
    </w:p>
    <w:sectPr>
      <w:headerReference w:type="default" r:id="rId37"/>
      <w:footerReference w:type="default" r:id="rId38"/>
      <w:type w:val="nextPage"/>
      <w:pgSz w:w="11906" w:h="16838" w:orient="portrait"/>
      <w:pgMar w:top="1701" w:right="1701" w:bottom="1417" w:left="1984" w:header="85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1 – Introdução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2 – Revisão da literatura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3 – Metodologia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4 – Resultados e discussão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5 – Conclusões e recomendações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Referências bibliográficas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Glossário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A – Excertos de código-fonte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B – Guia de anotação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C – Acordo entre anotadores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D – Declaração dos anotadores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E – Amostra anotada do corpus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F – Manual do protótipo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LegendaTabela">
    <w:name w:val="LegendaTabela"/>
    <w:basedOn w:val="Normal"/>
    <w:rPr>
      <w:rFonts w:ascii="Times New Roman" w:cs="Times New Roman" w:eastAsia="Times New Roman" w:hAnsi="Times New Roman"/>
      <w:b/>
      <w:bCs/>
      <w:sz w:val="20"/>
      <w:szCs w:val="20"/>
    </w:rPr>
  </w:style>
  <w:style w:type="paragraph" w:styleId="LegendaFigura">
    <w:name w:val="LegendaFigura"/>
    <w:basedOn w:val="Normal"/>
    <w:rPr>
      <w:rFonts w:ascii="Times New Roman" w:cs="Times New Roman" w:eastAsia="Times New Roman" w:hAnsi="Times New Roman"/>
      <w:b/>
      <w:bCs/>
      <w:sz w:val="20"/>
      <w:szCs w:val="20"/>
    </w:rPr>
  </w:style>
  <w:style w:type="paragraph" w:styleId="TituloSemIndice">
    <w:name w:val="TituloSemIndice"/>
    <w:basedOn w:val="Normal"/>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c816aef37e22984724a83e3e10c5dd351647ae01.png"/><Relationship Id="rId40" Type="http://schemas.openxmlformats.org/officeDocument/2006/relationships/image" Target="media/c109c6b9ce633d91afc6e89bbdb8ab4873404065.png"/><Relationship Id="rId41" Type="http://schemas.openxmlformats.org/officeDocument/2006/relationships/image" Target="media/7b3da8a640d101ebcbf5185191b9023a44d761a9.png"/><Relationship Id="rId42" Type="http://schemas.openxmlformats.org/officeDocument/2006/relationships/image" Target="media/d909cfb7a8dfa16ae9da981cd01130ea6a8093e4.png"/><Relationship Id="rId43" Type="http://schemas.openxmlformats.org/officeDocument/2006/relationships/image" Target="media/f9febe65bc37c3fbed00f81085408dfef4e9956e.png"/><Relationship Id="rId44" Type="http://schemas.openxmlformats.org/officeDocument/2006/relationships/image" Target="media/a3b4a147c344b17be406b2fa7ed198e86cb82ab7.png"/><Relationship Id="rId45" Type="http://schemas.openxmlformats.org/officeDocument/2006/relationships/image" Target="media/fea565917ab8932ec201722a6ade4747fb10b45a.png"/><Relationship Id="rId46" Type="http://schemas.openxmlformats.org/officeDocument/2006/relationships/image" Target="media/a2abfc007b44d0587a36b3ee6a15698d00c884be.png"/><Relationship Id="rId47" Type="http://schemas.openxmlformats.org/officeDocument/2006/relationships/image" Target="media/e382be62152cbc8d01880ff565458c0c88df54af.png"/><Relationship Id="rId48" Type="http://schemas.openxmlformats.org/officeDocument/2006/relationships/image" Target="media/4e203cddf53d766e3dadc2f0a024461a0bd23e2d.png"/><Relationship Id="rId49" Type="http://schemas.openxmlformats.org/officeDocument/2006/relationships/image" Target="media/9899b6ef77246dab3de3b254c038704e0451eb0c.png"/><Relationship Id="rId50" Type="http://schemas.openxmlformats.org/officeDocument/2006/relationships/image" Target="media/a1d453361e3b0492e7907e53d8572d6cbe05504f.png"/><Relationship Id="rId51" Type="http://schemas.openxmlformats.org/officeDocument/2006/relationships/image" Target="media/581de495162971f36c07386b4f748060b73380f7.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inteligente de ameaças em redes sociais em Angola</dc:title>
  <dc:creator>Manuel Gonga Muinga</dc:creator>
  <dc:description>Dissertação de Mestrado em Engenharia e Ciência de Dados, UAN, 2026</dc:description>
  <cp:lastModifiedBy>Un-named</cp:lastModifiedBy>
  <cp:revision>1</cp:revision>
  <dcterms:created xsi:type="dcterms:W3CDTF">2026-10-12T19:13:07.002Z</dcterms:created>
  <dcterms:modified xsi:type="dcterms:W3CDTF">2026-10-12T19:13:07.003Z</dcterms:modified>
</cp:coreProperties>
</file>

<file path=docProps/custom.xml><?xml version="1.0" encoding="utf-8"?>
<Properties xmlns="http://schemas.openxmlformats.org/officeDocument/2006/custom-properties" xmlns:vt="http://schemas.openxmlformats.org/officeDocument/2006/docPropsVTypes"/>
</file>