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xv, 80 p. + 17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passaram a ser também um lugar onde a desinformação, o discurso de ódio e os apelos à mobilização hostil circulam ao lado da conversa de todos os dias. Com cerca de 5,5 milhões de identidades activas no final de 2025, há mais publicações do que uma equipa de analistas consegue ler. Esta dissertação desenvolve e avalia um sistema que ajuda a fazer a triagem dessas publicações, pensado para ordenar o trabalho do analista e não para o substituir. Construiu-se um corpus de 2.637 publicações públicas angolanas, na sua maioria comentários do YouTube, anotadas por três anotadores em quatro categorias (Normal, Desinformação, Discurso de Ódio e Mobilização Hostil), com κ de Fleiss de 0,718. Este corpus foi juntado a três corpora públicos do português do Brasil (HateBR, ToLD-BR e Fake.br), num total de 26.859 registos, e serviu para comparar quatro classificadores: SVM, Floresta Aleatória, Bi-LSTM e BERTimbau. No conjunto de teste (n = 3.987), o BERTimbau obteve F1-macro de 0,807 (IC 95% de 0,774 a 0,838), entre 14,6 e 17,4 pontos percentuais acima dos outros modelos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enquanto o Bi-LSTM não se distinguiu da Floresta Aleatória. Nas publicações angolanas, porém, o F1-macro do BERTimbau caiu para 0,533, contra 0,919 no corpus público, uma diferença de 38,6 pontos percentuais. A queda foi maior na Desinformação, sinal de que o modelo aprendeu sobretudo o estilo das notícias do Fake.br. Com base nestes resultados, desenvolveu-se uma aplicação web com contas individuais, anonimização à entrada conforme a Lei n.º 22/11, registo de proveniência, auditoria e uma fila de revisão ordenada por prioridade, sem decisões automáticas. As ameaças confirmadas pelos analistas geram alertas na aplicação e por e-mail, e um mapa por província mostra a sua concentração e evolução; a ficha do modelo, na própria aplicação, mostra ao analista o desempenho em conteúdo angolano. Num computador sem GPU, o sistema processou cada publicação em cerca de 0,63 segundos e, gravando as classificações por sublotes, pôs as primeiras publicações na fila em 36 segundos, o que confirma com condições a hipótese sobre o tempo de processamento. A antecedência de detecção não foi testada. Os principais contributos são o corpus angolano anotado, a medida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also become a place where disinformation, hate speech and calls for hostile mobilisation circulate alongside everyday conversation. With about 5.5 million active identities at the end of 2025, there are more posts than a team of analysts can read. This dissertation develops and evaluates a system that helps triage these posts, designed to order the analyst's work rather than replace it. A corpus of 2,637 public Angolan posts, mostly YouTube comments, was built and annotated by three annotators into four categories (Normal, Disinformation, Hate Speech and Hostile Mobilisation), with a Fleiss' kappa of 0.718. It was combined with three public Brazilian Portuguese corpora (HateBR, ToLD-BR and Fake.br), for a total of 26,859 records, and used to compare four classifiers: SVM, Random Forest, Bi-LSTM and BERTimbau. On the test set (n = 3,987), BERTimbau reached a macro-F1 of 0.807 (95% CI 0.774 to 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while the Bi-LSTM did not differ from the Random Forest. On Angolan posts, however, BERTimbau's macro-F1 fell to 0.533, against 0.919 on the public corpus, a gap of 38.6 percentage points. The drop was largest for disinformation, a sign that the model learned mainly the style of the Fake.br news articles. Building on these results, a web application was developed with individual accounts, anonymisation at ingestion in line with Angolan Law No. 22/11, provenance records, auditing and a review queue ordered by priority, with no automatic decisions. Threats confirmed by analysts trigger alerts in the application and by e-mail, and a province map shows their concentration and change over time; a model card within the application shows analysts the performance on Angolan content. On a computer without a GPU, the system processed each post in about 0.63 seconds and, by writing classifications in sub-batches, placed the first posts in the queue within 36 seconds, which conditionally supports the processing-time hypothesis. Early warning was not tested. The main contributions are the annotated Angolan corpus, the measurement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2.4.3 Funcionamento do ajuste fino e alternativas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sistemas de apoio à decisão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Segurança da informação em sistemas de monitorização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2.11 Síntese e lacuna de investigação</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4.7.3 O que fica no fundo da fila</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62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66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67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68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68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69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71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72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78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A.3 Prioridade e classificação das publicações pendentes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A.4 Métricas operacionais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B.6 Instruções de preenchimento</w:t>
          </w:r>
          <w:r>
            <w:rPr>
              <w:rFonts w:ascii="Times New Roman" w:hAnsi="Times New Roman" w:cs="Times New Roman"/>
              <w:sz w:val="24"/>
              <w:szCs w:val="24"/>
            </w:rPr>
            <w:tab/>
          </w:r>
          <w:r>
            <w:rPr>
              <w:rFonts w:ascii="Times New Roman" w:hAnsi="Times New Roman" w:cs="Times New Roman"/>
              <w:sz w:val="24"/>
              <w:szCs w:val="24"/>
            </w:rPr>
            <w:t>B3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Arranque e primeira utilização</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Modo de demonstração</w:t>
          </w:r>
          <w:r>
            <w:rPr>
              <w:rFonts w:ascii="Times New Roman" w:hAnsi="Times New Roman" w:cs="Times New Roman"/>
              <w:sz w:val="24"/>
              <w:szCs w:val="24"/>
            </w:rPr>
            <w:tab/>
          </w:r>
          <w:r>
            <w:rPr>
              <w:rFonts w:ascii="Times New Roman" w:hAnsi="Times New Roman" w:cs="Times New Roman"/>
              <w:sz w:val="24"/>
              <w:szCs w:val="24"/>
            </w:rPr>
            <w:t>F4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F.5 Recolha de novos dados</w:t>
          </w:r>
          <w:r>
            <w:rPr>
              <w:rFonts w:ascii="Times New Roman" w:hAnsi="Times New Roman" w:cs="Times New Roman"/>
              <w:sz w:val="24"/>
              <w:szCs w:val="24"/>
            </w:rPr>
            <w:tab/>
          </w:r>
          <w:r>
            <w:rPr>
              <w:rFonts w:ascii="Times New Roman" w:hAnsi="Times New Roman" w:cs="Times New Roman"/>
              <w:sz w:val="24"/>
              <w:szCs w:val="24"/>
            </w:rPr>
            <w:t>F4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F.6 Contas e recuperação do acesso</w:t>
          </w:r>
          <w:r>
            <w:rPr>
              <w:rFonts w:ascii="Times New Roman" w:hAnsi="Times New Roman" w:cs="Times New Roman"/>
              <w:sz w:val="24"/>
              <w:szCs w:val="24"/>
            </w:rPr>
            <w:tab/>
          </w:r>
          <w:r>
            <w:rPr>
              <w:rFonts w:ascii="Times New Roman" w:hAnsi="Times New Roman" w:cs="Times New Roman"/>
              <w:sz w:val="24"/>
              <w:szCs w:val="24"/>
            </w:rPr>
            <w:t>F4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F.7 Alertas, mapa e relatório</w:t>
          </w:r>
          <w:r>
            <w:rPr>
              <w:rFonts w:ascii="Times New Roman" w:hAnsi="Times New Roman" w:cs="Times New Roman"/>
              <w:sz w:val="24"/>
              <w:szCs w:val="24"/>
            </w:rPr>
            <w:tab/>
          </w:r>
          <w:r>
            <w:rPr>
              <w:rFonts w:ascii="Times New Roman" w:hAnsi="Times New Roman" w:cs="Times New Roman"/>
              <w:sz w:val="24"/>
              <w:szCs w:val="24"/>
            </w:rPr>
            <w:t>F5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F.8 Linha de comandos</w:t>
          </w:r>
          <w:r>
            <w:rPr>
              <w:rFonts w:ascii="Times New Roman" w:hAnsi="Times New Roman" w:cs="Times New Roman"/>
              <w:sz w:val="24"/>
              <w:szCs w:val="24"/>
            </w:rPr>
            <w:tab/>
          </w:r>
          <w:r>
            <w:rPr>
              <w:rFonts w:ascii="Times New Roman" w:hAnsi="Times New Roman" w:cs="Times New Roman"/>
              <w:sz w:val="24"/>
              <w:szCs w:val="24"/>
            </w:rPr>
            <w:t>F5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F.9 Guardar o modelo depois do treino</w:t>
          </w:r>
          <w:r>
            <w:rPr>
              <w:rFonts w:ascii="Times New Roman" w:hAnsi="Times New Roman" w:cs="Times New Roman"/>
              <w:sz w:val="24"/>
              <w:szCs w:val="24"/>
            </w:rPr>
            <w:tab/>
          </w:r>
          <w:r>
            <w:rPr>
              <w:rFonts w:ascii="Times New Roman" w:hAnsi="Times New Roman" w:cs="Times New Roman"/>
              <w:sz w:val="24"/>
              <w:szCs w:val="24"/>
            </w:rPr>
            <w:t>F6</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Exemplos de publicações com desacordo entre anotadores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Configuração dos modelos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Ambiente de desenvolvimento</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Requisitos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Comparação das arquitecturas consideradas</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Tipos de fonte e consumo estimado da quota do YouTube por volta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3.8 – Plano de implementação faseada</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diferença de F1-macro e teste de McNemar</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das probabilidades e qualidade da ordenação no conjunto de teste</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Testes automáticos do sistema por área</w:t>
          </w:r>
          <w:r>
            <w:rPr>
              <w:rFonts w:ascii="Times New Roman" w:hAnsi="Times New Roman" w:cs="Times New Roman"/>
              <w:sz w:val="24"/>
              <w:szCs w:val="24"/>
            </w:rPr>
            <w:tab/>
          </w:r>
          <w:r>
            <w:rPr>
              <w:rFonts w:ascii="Times New Roman" w:hAnsi="Times New Roman" w:cs="Times New Roman"/>
              <w:sz w:val="24"/>
              <w:szCs w:val="24"/>
            </w:rPr>
            <w:t>62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4.11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62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69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(amostras aleatórias,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Variáveis de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Páginas da aplicação web</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F.3 – Atalhos de teclado</w:t>
          </w:r>
          <w:r>
            <w:rPr>
              <w:rFonts w:ascii="Times New Roman" w:hAnsi="Times New Roman" w:cs="Times New Roman"/>
              <w:sz w:val="24"/>
              <w:szCs w:val="24"/>
            </w:rPr>
            <w:tab/>
          </w:r>
          <w:r>
            <w:rPr>
              <w:rFonts w:ascii="Times New Roman" w:hAnsi="Times New Roman" w:cs="Times New Roman"/>
              <w:sz w:val="24"/>
              <w:szCs w:val="24"/>
            </w:rPr>
            <w:t>F3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F.4 – Comandos do sistema</w:t>
          </w:r>
          <w:r>
            <w:rPr>
              <w:rFonts w:ascii="Times New Roman" w:hAnsi="Times New Roman" w:cs="Times New Roman"/>
              <w:sz w:val="24"/>
              <w:szCs w:val="24"/>
            </w:rPr>
            <w:tab/>
          </w:r>
          <w:r>
            <w:rPr>
              <w:rFonts w:ascii="Times New Roman" w:hAnsi="Times New Roman" w:cs="Times New Roman"/>
              <w:sz w:val="24"/>
              <w:szCs w:val="24"/>
            </w:rPr>
            <w:t>F5</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Ficha do modelo na aplicação web</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Definições e aspecto na aplicação web</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3.11 – Recolha automática na página das fontes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3.12 – Recuperação do acesso a uma conta</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Diagramas de fiabilidade das probabilidades no conjunto de teste</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4.5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58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assunto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Nos dois casos, a mobilização começou na Internet e só alguns dias depois chegou às ruas.</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qualquer filtro automático, por bom que seja, produz mais falsos alarmes do que acertos sempre que aquilo que procura é raro,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e às quais respondem as hipóteses da Secção 1.3:</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spacing w:after="120" w:before="0" w:line="360"/>
        <w:ind w:firstLine="567"/>
        <w:jc w:val="both"/>
      </w:pPr>
      <w:r>
        <w:rPr>
          <w:rFonts w:ascii="Times New Roman" w:cs="Times New Roman" w:eastAsia="Times New Roman" w:hAnsi="Times New Roman"/>
          <w:sz w:val="24"/>
          <w:szCs w:val="24"/>
        </w:rPr>
        <w:t xml:space="preserve">As três primeiras perguntas são empíricas e são respondidas no Capítulo 4. A quarta é de concepção e é respondida pela arquitectura do Capítulo 3 e pelo quadro de uso responsável que a acompanha.</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compara o conteúdo angolano no seu todo com o conteúdo dos corpora públicos. Uma comparação mais fina, por exemplo entre comentários com e sem calão urbano ou com e sem palavras de línguas nacionais, exigiria uma marcação que o corpus anotado não tem, e fica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spacing w:after="120" w:before="0" w:line="360"/>
        <w:ind w:firstLine="567"/>
        <w:jc w:val="both"/>
      </w:pPr>
      <w:r>
        <w:rPr>
          <w:rFonts w:ascii="Times New Roman" w:cs="Times New Roman" w:eastAsia="Times New Roman" w:hAnsi="Times New Roman"/>
          <w:sz w:val="24"/>
          <w:szCs w:val="24"/>
        </w:rPr>
        <w:t xml:space="preserve">Convém também dizer o que o sistema não é. Não identifica autores, não constrói perfis de pessoas, não acompanha contas individuais ao longo do tempo e não emite decisões. Trabalha com publicações isoladas e com agregados por categoria, por período e por província, e tudo o que propõe passa pela leitura de um analista. Esta delimitação é uma escolha de desenho, justificada no Capítulo 2 e concretizada no Capítulo 3, e não apenas uma limitação técnica.</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analisa a qualidade das probabilidades e a utilidade da ordenação da fila de revisão, verifica o funcionamento do sistema e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o papel da revisão humana nos sistemas de apoio à decisão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têm nome próprio na literatura de segurança: inteligência de fontes abertas (OSINT). Williams e Blum (2018) descrevem uma segunda geração de OSINT, em que a fonte deixou de ser sobretudo a imprensa e a radiodifusão e passou a ser o grande volume de conteúdo gerado pelos utilizadores na Internet. O problema central deixou de ser o acesso à informação e passou a ser a selecção: há mais material do que analistas, e a maior parte não tem interesse. A automação entra precisamente neste ponto, como forma de reduzir o volume que chega à leitura humana.</w:t>
      </w:r>
    </w:p>
    <w:p>
      <w:pPr>
        <w:spacing w:after="120" w:before="0" w:line="360"/>
        <w:ind w:firstLine="567"/>
        <w:jc w:val="both"/>
      </w:pPr>
      <w:r>
        <w:rPr>
          <w:rFonts w:ascii="Times New Roman" w:cs="Times New Roman" w:eastAsia="Times New Roman" w:hAnsi="Times New Roman"/>
          <w:sz w:val="24"/>
          <w:szCs w:val="24"/>
        </w:rPr>
        <w:t xml:space="preserve">Omand, Bartlett e Miller (2012) chamam inteligência de redes sociais (SOCMINT) à aplicação destas práticas às plataformas digitais e mostram que ela levanta dois tipos de problemas. O primeiro é de validade: as publicações são curtas, ambíguas, muitas vezes irónicas, e não é óbvio o que permitem concluir sobre o mundo fora da rede. O segundo é de legitimidade: o facto de uma publicação ser pública não significa que quem a escreveu aceite ser monitorizado por uma entidade do Estado. Os autores propõem, por isso, que a SOCMINT obedeça a princípios semelhantes aos de outras formas de recolha de informações: causa suficiente, integridade dos motivos, proporcionalidade, autoridade competente, perspectiva razoável de sucesso e necessidade, isto é, ausência de meios menos intrusivos para o mesmo fim.</w:t>
      </w:r>
    </w:p>
    <w:p>
      <w:pPr>
        <w:spacing w:after="120" w:before="0" w:line="360"/>
        <w:ind w:firstLine="567"/>
        <w:jc w:val="both"/>
      </w:pPr>
      <w:r>
        <w:rPr>
          <w:rFonts w:ascii="Times New Roman" w:cs="Times New Roman" w:eastAsia="Times New Roman" w:hAnsi="Times New Roman"/>
          <w:sz w:val="24"/>
          <w:szCs w:val="24"/>
        </w:rPr>
        <w:t xml:space="preserve">Estes princípios têm tradução directa no desenho de um sistema. A proporcionalidade aconselha a trabalhar com publicações e agregados, e não com pessoas; a necessidade aconselha a recolher apenas o que serve a finalidade declarada e a apagar o resto; a autoridade competente exige contas individuais, papéis e registo de quem fez o quê. O sistema proposto nesta dissertação segue estas orientações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dangerous speech</w:t>
      </w:r>
      <w:r>
        <w:rPr>
          <w:rFonts w:ascii="Times New Roman" w:cs="Times New Roman" w:eastAsia="Times New Roman" w:hAnsi="Times New Roman"/>
          <w:sz w:val="24"/>
          <w:szCs w:val="24"/>
        </w:rPr>
        <w:t xml:space="preserve">), proposta por Benesch (2012), ajuda a situar a Mobilização Hostil entre as restantes categorias. Benesch define-o como o discurso que aumenta a probabilidade de o público aceitar ou cometer violência contra outro grupo, e propõe avaliá-lo por cinco factores: o orador e a sua influência, o público e as suas queixas, a mensagem, o contexto social e histórico e o meio de difusão. A abordagem desloca a atenção do conteúdo isolado para as circunstâncias em que ele circula. Um classificador de texto só vê a mensagem, e por isso pode no máximo sinalizar candidatos; a avaliação dos outros quatro factores cabe ao analista, o que é mais uma razão para manter a revisão humana.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Há também experiências mais próximas do contexto africano e dos serviços abertos. O projecto Umati acompanhou, durante as eleições de 2013 no Quénia, o discurso perigoso publicado em linha, combinando a recolha de publicações com a classificação por equipas de monitores humanos segundo os critérios de Benesch (iHub Research, 2013). O relatório final sublinha a importância de monitores que conheçam as línguas e o calão locais e a dificuldade de automatizar a classificação sem perder o contexto, conclusões que se aplicam directamente a Angola. No extremo oposto, a Perspective API, da Jigsaw, oferece pontuações de toxicidade para várias línguas, incluindo o português, a partir de modelos multilingues treinados com milhões de comentários (Lees et al., 2022). É um serviço externo, em que cada texto analisado é enviado para servidores de terceiros, e mede toxicidade em geral, não as categorias de ameaça desta dissertação; por estas duas razões não foi considerado como componente do sistema.</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Para o português europeu existe ainda um conjunto de cerca de 5,7 mil publicações do Twitter anotadas com uma hierarquia de categorias de discurso de ódio, por alvo e por tipo (Fortuna et al., 2019). Não foi usado no treino, porque a sua taxonomia não corresponde directamente à desta dissertação, mas mostra que é possível construir recursos anotados com pormenor para variedades do português diferentes da brasileira.</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3"/>
        <w:keepNext/>
        <w:spacing w:after="120" w:before="240"/>
      </w:pPr>
      <w:r>
        <w:rPr>
          <w:rFonts w:ascii="Times New Roman" w:cs="Times New Roman" w:eastAsia="Times New Roman" w:hAnsi="Times New Roman"/>
          <w:b/>
          <w:bCs/>
          <w:sz w:val="24"/>
          <w:szCs w:val="24"/>
        </w:rPr>
        <w:t xml:space="preserve">2.4.3 Funcionamento do ajuste fino e alternativas</w:t>
      </w:r>
    </w:p>
    <w:p>
      <w:pPr>
        <w:spacing w:after="120" w:before="0" w:line="360"/>
        <w:ind w:firstLine="567"/>
        <w:jc w:val="both"/>
      </w:pPr>
      <w:r>
        <w:rPr>
          <w:rFonts w:ascii="Times New Roman" w:cs="Times New Roman" w:eastAsia="Times New Roman" w:hAnsi="Times New Roman"/>
          <w:sz w:val="24"/>
          <w:szCs w:val="24"/>
        </w:rPr>
        <w:t xml:space="preserve">Um codificador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transforma cada subpalavra de uma frase num vector que depende de todas as outras subpalavras da mesma frase, através de camadas sucessivas de atenção (Vaswani et al., 2017). No BERT, a frase é precedida por um símbolo especial, cujo vector final resume a frase inteira; para classificar, acrescenta-se uma pequena camada que transforma esse vector em probabilidades das categorias (Devlin et al., 2018). O ajuste fino treina em conjunto esta camada e todos os pesos do codificador com os exemplos anotados, durante poucas épocas e com uma taxa de aprendizagem baixa, para não destruir o que o modelo aprendeu no pré-treino.</w:t>
      </w:r>
    </w:p>
    <w:p>
      <w:pPr>
        <w:spacing w:after="120" w:before="0" w:line="360"/>
        <w:ind w:firstLine="567"/>
        <w:jc w:val="both"/>
      </w:pPr>
      <w:r>
        <w:rPr>
          <w:rFonts w:ascii="Times New Roman" w:cs="Times New Roman" w:eastAsia="Times New Roman" w:hAnsi="Times New Roman"/>
          <w:sz w:val="24"/>
          <w:szCs w:val="24"/>
        </w:rPr>
        <w:t xml:space="preserve">O vocabulário de subpalavras é construído a partir das frequências do corpus de pré-treino (Wu et al., 2016). As palavras frequentes nesse corpus ficam inteiras; as raras, incluindo grafias e termos que só ocorrem noutras variedades da língua, ficam partidas em vários fragmentos. Um modelo pré-treinado com páginas web brasileiras tende, por isso, a representar pior o vocabulário próprio do português de Angola, mesmo quando a ortografia é a mesma.</w:t>
      </w:r>
    </w:p>
    <w:p>
      <w:pPr>
        <w:spacing w:after="120" w:before="0" w:line="360"/>
        <w:ind w:firstLine="567"/>
        <w:jc w:val="both"/>
      </w:pPr>
      <w:r>
        <w:rPr>
          <w:rFonts w:ascii="Times New Roman" w:cs="Times New Roman" w:eastAsia="Times New Roman" w:hAnsi="Times New Roman"/>
          <w:sz w:val="24"/>
          <w:szCs w:val="24"/>
        </w:rPr>
        <w:t xml:space="preserve">Há duas alternativas ao BERTimbau que merecem atenção. Os modelos multilingues, como o XLM-R, são pré-treinados com texto de cerca de uma centena de línguas e permitem transferir conhecimento entre línguas, à custa de uma capacidade menor para cada uma delas (Conneau et al., 2020). Os modelos pré-treinados com português europeu, como o Albertina PT-PT, oferecem uma variedade de referência diferente da brasileira (Rodrigues et al., 2023). Como a norma escrita usada em Angola está mais próxima da europeia, é plausível que um modelo deste tipo perca menos em comentários angolanos; esta hipótese não foi testada nesta dissertação e fica registada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e não só a categoria mais provável.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Guo et al. (2017) mostram que as redes neuronais modernas tendem a ser excessivamente confiantes. A calibração mede-se com o erro de calibração esperado (ECE), que agrupa as previsões por intervalos de confiança e calcula a diferença média, pesada pelo número de previsões, entre a confiança e a fracção de acertos em cada intervalo (Naeini et al., 2015), e com o índice de Brier, a média do quadrado da diferença entre as probabilidades previstas e o resultado observado (Brier, 1950). Um modelo bem calibrado permite ao analista ler a percentagem mostrada como uma estimativa honesta da probabilidade.</w:t>
      </w:r>
    </w:p>
    <w:p>
      <w:pPr>
        <w:spacing w:after="120" w:before="0" w:line="360"/>
        <w:ind w:firstLine="567"/>
        <w:jc w:val="both"/>
      </w:pPr>
      <w:r>
        <w:rPr>
          <w:rFonts w:ascii="Times New Roman" w:cs="Times New Roman" w:eastAsia="Times New Roman" w:hAnsi="Times New Roman"/>
          <w:sz w:val="24"/>
          <w:szCs w:val="24"/>
        </w:rPr>
        <w:t xml:space="preserve">A ordenação avalia-se com métricas da recuperação de informação (Manning et al., 2008). A </w:t>
      </w: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é a fracção de itens relevantes entre os K primeiros da lista; a </w:t>
      </w:r>
      <w:r>
        <w:rPr>
          <w:rFonts w:ascii="Times New Roman" w:cs="Times New Roman" w:eastAsia="Times New Roman" w:hAnsi="Times New Roman"/>
          <w:b/>
          <w:bCs/>
          <w:sz w:val="24"/>
          <w:szCs w:val="24"/>
        </w:rPr>
        <w:t xml:space="preserve">precisão média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average precision</w:t>
      </w:r>
      <w:r>
        <w:rPr>
          <w:rFonts w:ascii="Times New Roman" w:cs="Times New Roman" w:eastAsia="Times New Roman" w:hAnsi="Times New Roman"/>
          <w:sz w:val="24"/>
          <w:szCs w:val="24"/>
        </w:rPr>
        <w:t xml:space="preserve">) resume a precisão ao longo de toda a lista. Em triagem, uma forma intuitiva de mostrar o mesmo é a curva de esforço: a fracção das ameaças encontradas em função da fracção da fila revista. Estas métricas respondem à pergunta operacional relevante, que é quanto trabalho o analista poupa, e não apenas quantas categorias o modelo acerta. Para estimar uma proporção a partir de uma amostra pequena, como a fracção de ameaças entre os itens que o modelo considerou normais, o intervalo de Wilson (1927) comporta-se melhor do que a aproximação normal quando a proporção é próxima de zero.</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deste problema é o enviesamento por variedade linguística. Davidson et al. (2017) mostram que os classificadores de discurso de ódio confundem facilmente linguagem ofensiva com ódio, e Sap et al. (2019) mostram que textos escritos numa variedade do inglês associada a uma comunidade específica são marcados como ofensivos com muito mais frequência, porque os anotadores e os corpora de treino não reconhecem essa variedade. Por analogia, é de esperar que um modelo treinado com português do Brasil interprete mal expressões correntes em Angola, tanto deixando passar ameaças formuladas em calão local como sinalizando conversa inofensiva. Este risco reforça a necessidade de medir o desempenho no domínio de aplicação.</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sistemas de apoio à decisão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por si, para evitar os erros do modelo. Parasuraman e Manzey (2010) descrevem dois fenómenos bem documentados na interacção entre pessoas e sistemas automáticos: a complacência, em que o operador deixa de verificar com atenção aquilo que o sistema faz bem na maior parte das vezes, e o viés de automação, em que a sugestão do sistema substitui, em vez de complementar, o juízo do operador. Ambos se agravam quando o sistema é fiável na maior parte dos casos e quando o operador está sobrecarregado, que é precisamente a situação de quem revê uma fila longa de publicações.</w:t>
      </w:r>
    </w:p>
    <w:p>
      <w:pPr>
        <w:spacing w:after="120" w:before="0" w:line="360"/>
        <w:ind w:firstLine="567"/>
        <w:jc w:val="both"/>
      </w:pPr>
      <w:r>
        <w:rPr>
          <w:rFonts w:ascii="Times New Roman" w:cs="Times New Roman" w:eastAsia="Times New Roman" w:hAnsi="Times New Roman"/>
          <w:sz w:val="24"/>
          <w:szCs w:val="24"/>
        </w:rPr>
        <w:t xml:space="preserve">A literatura sugere três tipos de contramedidas, que foram transpostas para o desenho do sistema. A primeira é medir o acordo entre o analista e o sistema em condições em que a sugestão não está visível, para saber quanto do acordo observado se deve à própria sugestão; daí a revisão cega. A segunda é verificar periodicamente uma amostra do que o sistema considerou inofensivo, para estimar o que lhe escapa; daí a amostra de controlo. A terceira é dar ao operador informação sobre as limitações do sistema, em vez de um único número de desempenho global (Mitchell et al., 2019); daí a ficha do modelo na própria aplicação.</w:t>
      </w:r>
    </w:p>
    <w:p>
      <w:pPr>
        <w:spacing w:after="120" w:before="0" w:line="360"/>
        <w:ind w:firstLine="567"/>
        <w:jc w:val="both"/>
      </w:pPr>
      <w:r>
        <w:rPr>
          <w:rFonts w:ascii="Times New Roman" w:cs="Times New Roman" w:eastAsia="Times New Roman" w:hAnsi="Times New Roman"/>
          <w:sz w:val="24"/>
          <w:szCs w:val="24"/>
        </w:rPr>
        <w:t xml:space="preserve">A revisão humana tem ainda uma segunda função: produz etiquetas novas. Amershi et al. (2014) mostram que os sistemas em que as pessoas corrigem continuamente o modelo aprendem mais depressa e de forma mais útil, desde que a interacção seja desenhada para isso. A aprendizagem activa vai mais longe e escolhe deliberadamente para anotação os exemplos sobre os quais o modelo tem mais dúvidas (Settles, 2009). No sistema proposto, as decisões dos analistas são exportadas para novos ciclos de treino, mas apenas para o treino, porque resultam de itens escolhidos pelo próprio modelo e não de uma amostra aleatória.</w:t>
      </w:r>
    </w:p>
    <w:p>
      <w:pPr>
        <w:pStyle w:val="Heading2"/>
        <w:keepNext/>
        <w:keepLines/>
        <w:spacing w:after="160" w:before="360" w:line="300"/>
      </w:pPr>
      <w:r>
        <w:rPr>
          <w:rFonts w:ascii="Times New Roman" w:cs="Times New Roman" w:eastAsia="Times New Roman" w:hAnsi="Times New Roman"/>
          <w:b/>
          <w:bCs/>
          <w:sz w:val="26"/>
          <w:szCs w:val="26"/>
        </w:rPr>
        <w:t xml:space="preserve">2.10 Segurança da informação em sistemas de monitorização</w:t>
      </w:r>
    </w:p>
    <w:p>
      <w:pPr>
        <w:spacing w:after="120" w:before="0" w:line="360"/>
        <w:ind w:firstLine="567"/>
        <w:jc w:val="both"/>
      </w:pPr>
      <w:r>
        <w:rPr>
          <w:rFonts w:ascii="Times New Roman" w:cs="Times New Roman" w:eastAsia="Times New Roman" w:hAnsi="Times New Roman"/>
          <w:sz w:val="24"/>
          <w:szCs w:val="24"/>
        </w:rPr>
        <w:t xml:space="preserve">Um sistema que guarda publicações, classificações e decisões de analistas sobre conteúdos sensíveis é, ele próprio, um alvo. A lista OWASP Top 10, que reúne os riscos mais frequentes em aplicações web, coloca à cabeça as falhas de controlo de acesso, seguidas das falhas criptográficas e da injecção de código, e inclui as falhas de identificação e autenticação e de registo e monitorização (OWASP Foundation, 2021). Cada uma tem resposta conhecida: verificar o papel de quem pede cada página, guardar as palavras-passe apenas sob a forma de derivações lentas e com sal, escapar todo o texto que vem de fora antes de o mostrar, proteger os formulários contra pedidos forjados e registar as acções relevantes.</w:t>
      </w:r>
    </w:p>
    <w:p>
      <w:pPr>
        <w:spacing w:after="120" w:before="0" w:line="360"/>
        <w:ind w:firstLine="567"/>
        <w:jc w:val="both"/>
      </w:pPr>
      <w:r>
        <w:rPr>
          <w:rFonts w:ascii="Times New Roman" w:cs="Times New Roman" w:eastAsia="Times New Roman" w:hAnsi="Times New Roman"/>
          <w:sz w:val="24"/>
          <w:szCs w:val="24"/>
        </w:rPr>
        <w:t xml:space="preserve">As orientações do NIST para a autenticação digital (Grassi et al., 2017) acrescentam regras práticas para as palavras-passe e para a sua recuperação: privilegiar o comprimento sobre regras de composição, limitar o número de tentativas falhadas, nunca guardar segredos em claro e tratar os mecanismos de recuperação com o mesmo cuidado que a autenticação, porque são frequentemente a porta mais fraca. Um código de recuperação deve ter entropia suficiente, servir uma única vez e ser guardado apenas na forma derivada; uma palavra-passe definida por outra pessoa deve ser mudada no primeiro acesso. Estas regras orientaram a gestão de contas do sistema (Secção 3.8.7).</w:t>
      </w:r>
    </w:p>
    <w:p>
      <w:pPr>
        <w:spacing w:after="120" w:before="0" w:line="360"/>
        <w:ind w:firstLine="567"/>
        <w:jc w:val="both"/>
      </w:pPr>
      <w:r>
        <w:rPr>
          <w:rFonts w:ascii="Times New Roman" w:cs="Times New Roman" w:eastAsia="Times New Roman" w:hAnsi="Times New Roman"/>
          <w:sz w:val="24"/>
          <w:szCs w:val="24"/>
        </w:rPr>
        <w:t xml:space="preserve">Num contexto de segurança nacional, a autonomia da infra-estrutura é também uma questão de segurança da informação. Uma página que carrega bibliotecas ou tipos de letra de servidores externos revela a terceiros quando e de onde é consultada, e fica dependente da disponibilidade desses servidores. Um sistema que funcione inteiramente num servidor próprio, sem recursos externos, reduz esta exposição e pode operar numa rede isolada.</w:t>
      </w:r>
    </w:p>
    <w:p>
      <w:pPr>
        <w:pStyle w:val="Heading2"/>
        <w:keepNext/>
        <w:keepLines/>
        <w:spacing w:after="160" w:before="360" w:line="300"/>
      </w:pPr>
      <w:r>
        <w:rPr>
          <w:rFonts w:ascii="Times New Roman" w:cs="Times New Roman" w:eastAsia="Times New Roman" w:hAnsi="Times New Roman"/>
          <w:b/>
          <w:bCs/>
          <w:sz w:val="26"/>
          <w:szCs w:val="26"/>
        </w:rPr>
        <w:t xml:space="preserve">2.11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literatura sobre a revisão humana e sobre a segurança da informação acrescenta uma quarta conclusão: a forma como o sistema é integrado no trabalho do analista conta tanto como o desempenho do modelo. Um classificador razoável, inserido num fluxo que esconde as suas limitações ou que convida a aceitar as sugestões sem as ler, pode ser mais perigoso do que nenhum.</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33337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3337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a revisão foi feita depois do treino, com o script mascarar_nomes_lote_tema.py: em 24 dos 194 comentários, os nomes de comentadores de programas televisivos, de um activista e de uma outra pessoa foram substituídos por descritores (31 substituições), e mantiveram-se os de figuras políticas e históricas. O modelo foi treinado com o texto anterior a esta revisão.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foi recolhida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formam a base do piloto e são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publicação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categoria de ameaça para que ela prevaleça, todos os itens Normais são unânimes, e as categorias de ameaça concentram o desacordo: só 44% a 57% das decisões de ameaça foram unânimes, e 297 itens (11,3% do corpus) foram classificados como ameaça com o voto de um único anotador, contra o de dois que os consideraram de outra categoria. A regra serve o objectivo de triagem, porque favorece a sensibilidade, mas significa que uma parte das etiquetas de ameaça corresponde a casos em que a maioria dos anotadores viu outra coisa. Este ruído nas etiquetas contribui para a baixa precisão do modelo nas categorias de ameaça do piloto (Secção 4.6) e deve ser tido em conta quando se interpretam os falsos positivos.</w:t>
      </w:r>
    </w:p>
    <w:p>
      <w:pPr>
        <w:spacing w:after="120" w:before="0" w:line="360"/>
        <w:ind w:firstLine="567"/>
        <w:jc w:val="both"/>
      </w:pPr>
      <w:r>
        <w:rPr>
          <w:rFonts w:ascii="Times New Roman" w:cs="Times New Roman" w:eastAsia="Times New Roman" w:hAnsi="Times New Roman"/>
          <w:sz w:val="24"/>
          <w:szCs w:val="24"/>
        </w:rPr>
        <w:t xml:space="preserve">A segunda é o comprimento. As publicações de ameaça são cerca de duas vezes mais longas do que as normais (mediana de 16 a 21 palavras contra 8), o que é natural, porque uma acusação ou um apelo precisam de mais palavras do que um comentário de concordância. É, no entanto, uma regularidade que um classificador pode aprender como atalho (Secção 2.7), confundindo comentários normais longos com ameaças.</w:t>
      </w:r>
    </w:p>
    <w:p>
      <w:pPr>
        <w:spacing w:after="120" w:before="0" w:line="360"/>
        <w:ind w:firstLine="567"/>
        <w:jc w:val="both"/>
      </w:pPr>
      <w:r>
        <w:rPr>
          <w:rFonts w:ascii="Times New Roman" w:cs="Times New Roman" w:eastAsia="Times New Roman" w:hAnsi="Times New Roman"/>
          <w:sz w:val="24"/>
          <w:szCs w:val="24"/>
        </w:rPr>
        <w:t xml:space="preserve">A terceira diz respeito às marcas da variedade angolana. Numa lista ilustrativa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maka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kumbu</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candongueiro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apenas 0,3% das publicações contêm pelo menos um termo. Nos comentários escritos, o carácter angolano manifesta-se sobretudo nos temas, nas instituições, nos nomes e nas referências partilhadas, e muito menos no vocabulário. Também a menção explícita de lugares é rara: só 96 publicações (3,6%) mencionam uma província ou cidade reconhecida pelo sistema, das quais 65 referem Luanda. Estes dois números ajudam a interpretar a lacuna de domínio (Secção 4.6) e a cobertura do mapa por província (Secção 3.8.3).</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A Tabela 3.2 reproduz cinco publicações das amostras aleatórias em que os anotadores não concordaram, com as três escolhas individuais e a categoria final que resultou da regra da gravidade.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Exemplos de publicações com desacordo entre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1620"/>
      </w:tblGrid>
      <w:tr>
        <w:trPr>
          <w:cantSplit/>
          <w:tblHeader/>
        </w:trPr>
        <w:tc>
          <w:tcPr>
            <w:tcW w:type="dxa" w:w="4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Publicação (texto original)</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Escolhas dos anotadores</w:t>
            </w:r>
          </w:p>
        </w:tc>
        <w:tc>
          <w:tcPr>
            <w:tcW w:type="dxa" w:w="1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Categoria final</w:t>
            </w:r>
          </w:p>
        </w:tc>
      </w:tr>
      <w:tr>
        <w:trPr>
          <w:cantSplit/>
          <w:tblHeader w:val="false"/>
        </w:trPr>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«Podemos paralizar mais não vandalisar prk faz recuar o país»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Normal, Mobilização, Normal</w:t>
            </w:r>
          </w:p>
        </w:tc>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Mobilização Hostil</w:t>
            </w:r>
          </w:p>
        </w:tc>
      </w:tr>
      <w:tr>
        <w:trPr>
          <w:cantSplit/>
          <w:tblHeader w:val="false"/>
        </w:trPr>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«Sem fazer nada, vamos vencer o quê?»</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Mobilização, Mobilização, Normal</w:t>
            </w:r>
          </w:p>
        </w:tc>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Mobilização Hostil</w:t>
            </w:r>
          </w:p>
        </w:tc>
      </w:tr>
      <w:tr>
        <w:trPr>
          <w:cantSplit/>
          <w:tblHeader w:val="false"/>
        </w:trPr>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«MANOS ANGOLANOS VAMOS TIRAR ESSE FEITICEIRO DO PODER»</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Mobilização, Ódio, Ódio</w:t>
            </w:r>
          </w:p>
        </w:tc>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Mobilização Hostil</w:t>
            </w:r>
          </w:p>
        </w:tc>
      </w:tr>
      <w:tr>
        <w:trPr>
          <w:cantSplit/>
          <w:tblHeader w:val="false"/>
        </w:trPr>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«Pois é tem países bem piores, infelizmente temos um presidente incompetente.»</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Ódio, Ódio, Normal</w:t>
            </w:r>
          </w:p>
        </w:tc>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Discurso de Ódio</w:t>
            </w:r>
          </w:p>
        </w:tc>
      </w:tr>
      <w:tr>
        <w:trPr>
          <w:cantSplit/>
          <w:tblHeader w:val="false"/>
        </w:trPr>
        <w:tc>
          <w:tcPr>
            <w:tcW w:type="dxa" w:w="4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protestos são o resultado de décadas de governação falhada do MPLA que não beneficiou o povo.»</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Desinformação, Normal, Normal</w:t>
            </w:r>
          </w:p>
        </w:tc>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Desinformação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Textos reproduzidos com a grafia original, sem os emojis. Nenhum contém dados pessoais de particulares.</w:t>
      </w:r>
    </w:p>
    <w:p>
      <w:pPr>
        <w:spacing w:after="120" w:before="0" w:line="360"/>
        <w:ind w:firstLine="567"/>
        <w:jc w:val="both"/>
      </w:pPr>
      <w:r>
        <w:rPr>
          <w:rFonts w:ascii="Times New Roman" w:cs="Times New Roman" w:eastAsia="Times New Roman" w:hAnsi="Times New Roman"/>
          <w:sz w:val="24"/>
          <w:szCs w:val="24"/>
        </w:rPr>
        <w:t xml:space="preserve">Os exemplos mostram três fontes de desacordo. A primeira é a fronteira entre protesto e mobilização: um apelo a paralisar, acompanhado de um pedido expresso para não vandalizar, foi considerado Normal por dois anotadores e Mobilização Hostil por um, e a regra da gravidade deu-lhe a etiqueta mais grave, contra o critério do guia, que exige ausência de referência ao carácter pacífico da acção. A segunda é a sobreposição entre categorias de ameaça: um apelo a «tirar do poder» um governante designado por um insulto foi visto como ódio por dois anotadores e como mobilização por um. A terceira é a crítica política dura, que o guia classifica como Normal, mas que alguns anotadores leram como ódio ou como desinformação. Em todos os casos, a etiqueta final é defensável à luz da regra adoptada, mas não é a única leitura possível, e um modelo treinado com estas etiquetas herda esta incerteza. A revisão das regras de desempate e a formação conjunta dos anotadores em casos como estes são, por isso, melhorias simples para futuras rondas de anotação.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3.3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Para tornar o protocolo verificável, registam-se as definições usadas. Para cada categoria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 precisão é P = VP / (VP + FP), a sensibilidade é S = VP / (VP + FN) e o F1 é a média harmónica das duas, F1 = 2PS / (P + S), em que VP, FP e FN são os verdadeiros positivos, os falsos positivos e os falsos negativos dessa categoria. O F1-macro é a média simples dos quatro F1. O Kappa de Cohen é κ = (pₒ − pₑ) / (1 − pₑ), em que pₒ é a concordância observada e pₑ a concordância esperada se as duas classificações fossem independentes, calculada a partir das frequências marginais de cada uma.</w:t>
      </w:r>
    </w:p>
    <w:p>
      <w:pPr>
        <w:spacing w:after="120" w:before="0" w:line="360"/>
        <w:ind w:firstLine="567"/>
        <w:jc w:val="both"/>
      </w:pPr>
      <w:r>
        <w:rPr>
          <w:rFonts w:ascii="Times New Roman" w:cs="Times New Roman" w:eastAsia="Times New Roman" w:hAnsi="Times New Roman"/>
          <w:sz w:val="24"/>
          <w:szCs w:val="24"/>
        </w:rPr>
        <w:t xml:space="preserve">No teste de McNemar, para dois modelos A e B, contam-se os itens que só A acerta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os que só B acerta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Sob a hipótese de que os dois modelos têm a mesma taxa de erro,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devem ser semelhantes, e a estatística χ²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− 1)²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com correcção de continuidade, segue aproximadamente uma distribuição qui-quadrado com um grau de liberdade (McNemar, 1947; Dietterich, 1998). O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repete 2.000 vezes o seguinte procedimento: sorteia, com reposição, tantos itens do teste quantos os que ele tem, e calcula a métrica nessa amostra; os percentis 2,5 e 97,5 das 2.000 réplicas dão o IC 95%. No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 usa-se a mesma amostra para os dois modelos em cada réplica, o que preserva a correlação entre os seus erros.</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3.5.</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3.6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Uma arquitectura que processasse milhões de publicações por hora produziria alertas que ninguém conseguiria rever, com uma precisão que não justificaria a confiança. Com a arquitectura leve, o esforço vai para a qualidade da fila de revisão, para a protecção dos dados e para a facilidade de trocar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5581650" cy="4381500"/>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43815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de duas origens. A primeira é o YouTube, pela interface oficial (YouTube Data API v3): para um vídeo ou para os vídeos mais recentes de um canal, obtém os comentários e as respostas. A segunda são sítios da internet de acesso livre, que não exigem conta nem estão protegidos por barreiras de acesso, como os portais dos órgãos de comunicação angolanos: o sistema lê feeds RSS, artigos isolados ou a página inicial de uma secção, a partir da qual segue as ligações para artigos do mesmo sítio. Das redes que exigem conta, como o Facebook, o conteúdo público entra por importação de ficheiros, tal como os conjuntos de dados doados ou de terceiros.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Antes de cada pedido a um sítio, o módulo de recolha consulta o ficheiro robots.txt e respeita as exclusões; identifica-se como ferramenta de investigação, espera alguns segundos entre pedidos ao mesmo sítio e não guarda </w:t>
      </w:r>
      <w:r>
        <w:rPr>
          <w:rFonts w:ascii="Times New Roman" w:cs="Times New Roman" w:eastAsia="Times New Roman" w:hAnsi="Times New Roman"/>
          <w:i/>
          <w:iCs/>
          <w:sz w:val="24"/>
          <w:szCs w:val="24"/>
        </w:rPr>
        <w:t xml:space="preserve">cookies</w:t>
      </w:r>
      <w:r>
        <w:rPr>
          <w:rFonts w:ascii="Times New Roman" w:cs="Times New Roman" w:eastAsia="Times New Roman" w:hAnsi="Times New Roman"/>
          <w:sz w:val="24"/>
          <w:szCs w:val="24"/>
        </w:rPr>
        <w:t xml:space="preserve">. Páginas com formulário de palavra-passe ou respostas de acesso negado são ignoradas.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o suficiente para a classificação, sem copiar o artigo inteiro. Cada recolha cria um lote e entrega os registos à camada de ingestão.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com a função de cópia em linha do SQLite, sem parar o serviço. Para vários servidores ou volumes maiores, o mesmo esquema pode passar para PostgreSQL.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reúne, para o período escolhido, os indicadores, o mapa, as categorias, os alertas e as ameaças confirmadas, e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466725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46672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5038725" cy="4305300"/>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5581650" cy="398145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9814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As palavras-passe são guardadas com PBKDF2-SHA-256, a conta é bloqueada temporariamente após cinco tentativas falhadas, as sessões são mantidas no servidor e todos os formulários estão protegidos contra pedidos forjados (CSRF).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uma barra com as probabilidades das quatro categorias e quatro botões de decisão, que também respondem às teclas 1 a 4. No texto, os lugares reconhecidos e os dados anonimizados (telefones, endereços, menções) aparecem realçados, para que o analista veja de imediato a província atribuída e o que foi mascarado. A decisão é gravada sem recarregar a página, com a posição que o item ocupava na fila, e pode ser desfeita durante cinco segundos; o e-mail de um alerta só sai depois desse prazo, para que uma decisão desfeita anule o alerta antes de ele sair do sistema. O detalhe de uma publicação abre num painel lateral, sem perder o lugar na fila. Cada analista tem a sua própria fila: um item revisto por um analista continua na fila dos outros, o que permite medir o acordo entre analistas de forma independente. Duas funções servem directamente a avaliação da Secção 3.9. A revisão cega, activada pelo supervisor, esconde a sugestão do modelo, para que a concordância entre analista e sistema não seja inflacionada pela própria sugestão. A amostra de controlo sorteia, com semente registada, publicações classificadas como Normal, que os analistas revêem sem sugestão; a fracção que considerem ameaça estima o que a fila deixa passar. O ecrã de entrada lembra que as classificações servem apenas para ordenar a revisão, e a fila lembra que a convocatória pacífica é exercício de direitos.</w:t>
      </w:r>
    </w:p>
    <w:p>
      <w:pPr>
        <w:keepNext/>
        <w:spacing w:after="40" w:before="160"/>
        <w:jc w:val="center"/>
      </w:pPr>
      <w:r>
        <w:drawing>
          <wp:inline distT="0" distB="0" distL="0" distR="0">
            <wp:extent cx="5219700" cy="2781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219700" cy="2781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ao analista sem que tenha de recarregar a página. O navegador consulta o servidor a cada 20 segundos, apenas enquanto a página está visível; quando surge um alerta novo, o contador do menu e o sino no topo da página são actualizados e aparece uma notificação com ligação para a publicação. O sino mostra os cinco alertas mais recentes, sem o texto das publicações. Uma paleta de comandos, aberta com Ctrl+K, permite chegar a qualquer página ou acção escrevendo parte do nome, por exemplo «rel 7» para o relatório dos últimos sete dias.</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Cada linha da tabela e os indicadores nacionais têm uma pequena linha de tendência, desenhada no servidor em SVG. As tabelas do mapa e do relatório ordenam-se pelo cabeçalho, que fica fixo ao percorrer listas longas. O mapa pode ser descarregado em SVG ou em PNG, já com título, período, legenda e fonte dos limites, para ser usado em relatórios.</w:t>
      </w:r>
    </w:p>
    <w:p>
      <w:pPr>
        <w:keepNext/>
        <w:spacing w:after="40" w:before="160"/>
        <w:jc w:val="center"/>
      </w:pPr>
      <w:r>
        <w:drawing>
          <wp:inline distT="0" distB="0" distL="0" distR="0">
            <wp:extent cx="4143375" cy="32194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43375" cy="32194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(Figura 3.9)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keepNext/>
        <w:spacing w:after="40" w:before="160"/>
        <w:jc w:val="center"/>
      </w:pPr>
      <w:r>
        <w:drawing>
          <wp:inline distT="0" distB="0" distL="0" distR="0">
            <wp:extent cx="5219700" cy="5457825"/>
            <wp:effectExtent t="0" r="0" b="0" l="0"/>
            <wp:docPr id="1" name="fig3_9_modelo.png" descr="fig3_9_modelo.png" title="fig3_9_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219700" cy="5457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Ficha do modelo na aplicação web</w:t>
      </w:r>
    </w:p>
    <w:p>
      <w:pPr>
        <w:spacing w:after="240" w:before="0" w:line="240"/>
        <w:jc w:val="center"/>
      </w:pPr>
      <w:r>
        <w:rPr>
          <w:rFonts w:ascii="Times New Roman" w:cs="Times New Roman" w:eastAsia="Times New Roman" w:hAnsi="Times New Roman"/>
          <w:i/>
          <w:iCs/>
          <w:sz w:val="18"/>
          <w:szCs w:val="18"/>
        </w:rPr>
        <w:t xml:space="preserve">Nota: os valores são os do Capítulo 4; o aviso no topo indica que o servidor da captura usava o classificador simulado do modo de demonstração.</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de cada utilizador, uma visita guiada de até dezoito passos percorre todas as partes do sistema a que esse utilizador tem acesso: o panorama, a fila e as suas teclas, a amostra de controlo, os alertas e o sino, o mapa e a sua reprodução no tempo, o relatório, a ficha do modelo, os lotes e, para o supervisor, as fontes, as métricas, as contas e a auditoria. Cada passo realça a parte da página de que fala; a visita pode ser repetida a partir do menu. O modo de demonstração arranca o sistema com uma base de dados separada, preenchida com cerca de 1 300 publicações fictícias distribuídas por dezasseis semanas. Os textos são compostos a partir de temas (transportes, água e luz, saúde, educação, economia, desporto e cultura), de lugares das 18 províncias e de registos formais e coloquiais, e incluem respostas entre utilizadores, casos de fronteira, como convocatórias pacíficas e críticas duras, e episódios com princípio e fim, como um boato de cólera ou uma paralisação com intimidação, que dão forma ao mapa, às tendências e aos alertas. As sugestões vêm de um classificador simulado, que acerta e erra com taxas próximas das do modelo real, errando mais na Desinformação e confundindo protesto legal com mobilização. Todas as páginas mostram a faixa «Demonstração» e nenhum e-mail é enviado. O supervisor pode passar do modo de demonstração para o sistema real, e vice-versa, sem fechar o programa: o servidor reinicia com a outra base de dados e as páginas abertas recarregam-se sozinhas quando ele está pronto. As duas bases nunca se misturam e cada uma tem as suas contas.</w:t>
      </w:r>
    </w:p>
    <w:p>
      <w:pPr>
        <w:spacing w:after="120" w:before="0" w:line="360"/>
        <w:ind w:firstLine="567"/>
        <w:jc w:val="both"/>
      </w:pPr>
      <w:r>
        <w:rPr>
          <w:rFonts w:ascii="Times New Roman" w:cs="Times New Roman" w:eastAsia="Times New Roman" w:hAnsi="Times New Roman"/>
          <w:sz w:val="24"/>
          <w:szCs w:val="24"/>
        </w:rPr>
        <w:t xml:space="preserve">Cada utilizador pode ainda ajustar o aspecto da interface na página Definições e aspecto (Figura 3.10): o tema claro, escuro ou automático, a cor principal, o estilo do menu, o tamanho da letra, a densidade das listas, a paleta de cores do mapa, a forma dos cantos e as animações. As escolhas ficam guardadas por conta, aplicam-se de imediato e não afectam os outros utilizadores. O tamanho da letra e a densidade respondem a necessidades práticas de leitura prolongada, por exemplo em ecrãs pequenos ou para pessoas com visão reduzida.</w:t>
      </w:r>
    </w:p>
    <w:p>
      <w:pPr>
        <w:keepNext/>
        <w:spacing w:after="40" w:before="160"/>
        <w:jc w:val="center"/>
      </w:pPr>
      <w:r>
        <w:drawing>
          <wp:inline distT="0" distB="0" distL="0" distR="0">
            <wp:extent cx="5219700" cy="2876550"/>
            <wp:effectExtent t="0" r="0" b="0" l="0"/>
            <wp:docPr id="1" name="fig3_10_aspecto.png" descr="fig3_10_aspecto.png" title="fig3_10_asp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219700" cy="2876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Definições e aspecto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A recolha a pedido obriga alguém a lembrar-se de a lançar. Para que o sistema acompanhe as fontes sem intervenção, o servidor tem um ciclo interno que, de 30 em 30 segundos, verifica se chegou a hora da próxima volta. O supervisor escolhe a frequência na página das fontes, entre 15 minutos e um dia, ou desliga a recolha automática (Figura 3.11). Em cada volta, o sistema percorre todas as fontes activas: nos canais, listas e pesquisas do YouTube, vê os vídeos mais recentes, incluindo os publicados desde a volta anterior, e lê os comentários mais recentes de cada um; nos feeds e nos sítios, procura artigos novos. Os identificadores de cada publicação permitem que só entre o que ainda não existe na base de dados, pelo que voltar a ler um vídeo apenas acrescenta os comentários novos. As publicações novas são classificadas no fim de cada volta e entram na fila, e cada volta fica registada nos lotes e na auditoria. Se uma recolha ou uma classificação ainda estiver a decorrer, a volta seguinte espera.</w:t>
      </w:r>
    </w:p>
    <w:p>
      <w:pPr>
        <w:spacing w:after="120" w:before="0" w:line="360"/>
        <w:ind w:firstLine="567"/>
        <w:jc w:val="both"/>
      </w:pPr>
      <w:r>
        <w:rPr>
          <w:rFonts w:ascii="Times New Roman" w:cs="Times New Roman" w:eastAsia="Times New Roman" w:hAnsi="Times New Roman"/>
          <w:sz w:val="24"/>
          <w:szCs w:val="24"/>
        </w:rPr>
        <w:t xml:space="preserve">A interface oficial do YouTube impõe uma quota diária, habitualmente de 10 000 unidades por projecto, e cada tipo de pedido tem um custo diferente: uma página de comentários custa uma unidade, uma pesquisa custa cem. Uma frequência alta, combinada com várias pesquisas, pode esgotar a quota a meio do dia. Por isso, a página estima o consumo de cada volta e do dia inteiro a partir dos tipos de fonte activos (Tabela 3.7) e mostra um aviso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Tipos de fonte e consumo estimado da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5219700" cy="1847850"/>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219700" cy="18478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3.11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funciona enquanto o servidor estiver em execução. Para recolher com o servidor parado, a mesma operação pode ser agendada no sistema operativo com o comando de recolha da linha de comandos. Como a chave da interface do YouTube viaja no endereço de cada pedido, as mensagens de erro guardadas no estado das fontes e na auditoria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2.10. As palavras-passe têm pelo menos dez caracteres, sem outras regras de composição, e são guardadas apenas como derivação PBKDF2-SHA-256 com sal aleatório e 240 000 iterações. Cinco tentativas falhadas bloqueiam a conta durante cinco minutos. A sessão é guardada no servidor: o navegador recebe apenas um testemunho aleatório, cujo resumo criptográfico é o que fica na base de dados, num cookie sem validade própria, que o navegador apaga quando fecha. Cada formulário leva um código anti-falsificação ligado à sessão.</w:t>
      </w:r>
    </w:p>
    <w:p>
      <w:pPr>
        <w:spacing w:after="120" w:before="0" w:line="360"/>
        <w:ind w:firstLine="567"/>
        <w:jc w:val="both"/>
      </w:pPr>
      <w:r>
        <w:rPr>
          <w:rFonts w:ascii="Times New Roman" w:cs="Times New Roman" w:eastAsia="Times New Roman" w:hAnsi="Times New Roman"/>
          <w:sz w:val="24"/>
          <w:szCs w:val="24"/>
        </w:rPr>
        <w:t xml:space="preserve">Ao fechar o separador ou o navegador com o sistema aberto, o navegador pergunta se a pessoa quer sair. Se confirmar, o navegador avisa o servidor e, se nenhuma página do sistema voltar a abrir nos 20 segundos seguintes, a sessão termina e fica registada na auditoria. Mudar de página ou gravar um formulário não fazem a pergunta, e recarregar a página não termina a sessão. Com outro separador do sistema aberto, a sessão continua. Desta forma, um posto de trabalho abandonado com o navegador fechado não deixa uma sessão válida para quem vier a seguir.</w:t>
      </w:r>
    </w:p>
    <w:p>
      <w:pPr>
        <w:spacing w:after="120" w:before="0" w:line="360"/>
        <w:ind w:firstLine="567"/>
        <w:jc w:val="both"/>
      </w:pPr>
      <w:r>
        <w:rPr>
          <w:rFonts w:ascii="Times New Roman" w:cs="Times New Roman" w:eastAsia="Times New Roman" w:hAnsi="Times New Roman"/>
          <w:sz w:val="24"/>
          <w:szCs w:val="24"/>
        </w:rPr>
        <w:t xml:space="preserve">A recuperação do acesso foi desenhada para funcionar sem correio electrónico nem serviços externos, coerente com o requisito de autonomia (Figura 3.12). Cada utilizador pode gerar, na página da sua conta, um código de recuperação pessoal de dezasseis caracteres, com cerca de 80 bits de entropia, que é mostrado uma única vez, guardado apenas como derivação e válido para uma única utilização; as tentativas erradas contam para o mesmo bloqueio da entrada. Quem não tem código pode pedir ajuda ao supervisor a partir da página de entrada; a resposta é sempre a mesma, exista ou não a conta, para não revelar nomes de utilizador. O supervisor vê os pedidos pendentes na página das contas, com um contador no menu, confirma a identidade da pessoa e gera uma palavra-passe temporária, mostrada uma só vez. Quem entra com uma palavra-passe temporária, ou definida por outra pessoa, só pode aceder à página da sua conta até escolher uma palavra-passe sua. Para o caso em que o único supervisor perde o acesso, há um comando local que repõe a palavra-passe e desbloqueia a conta, executado no próprio servidor. Todos estes passos ficam na auditoria.</w:t>
      </w:r>
    </w:p>
    <w:p>
      <w:pPr>
        <w:keepNext/>
        <w:spacing w:after="40" w:before="160"/>
        <w:jc w:val="center"/>
      </w:pPr>
      <w:r>
        <w:drawing>
          <wp:inline distT="0" distB="0" distL="0" distR="0">
            <wp:extent cx="5400675" cy="40100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00675" cy="40100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3.12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spacing w:after="120" w:before="0" w:line="360"/>
        <w:ind w:firstLine="567"/>
        <w:jc w:val="both"/>
      </w:pPr>
      <w:r>
        <w:rPr>
          <w:rFonts w:ascii="Times New Roman" w:cs="Times New Roman" w:eastAsia="Times New Roman" w:hAnsi="Times New Roman"/>
          <w:sz w:val="24"/>
          <w:szCs w:val="24"/>
        </w:rPr>
        <w:t xml:space="preserve">Por fim, um comando de verificação da configuração mostra que ficheiro de configuração o sistema está a ler e quais as variáveis definidas, indicando apenas o seu comprimento e nunca o valor. Este comando nasceu de uma dificuldade real de instalação, em que o ficheiro editado não era o que o sistema lia, e evita que a resolução de problemas obrigue a mostrar segredos a terceiros.</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organizados por área, cujos resultados se apresentam na Secção 4.8.4. Cobrem a anonimização (máscaras e pseudónimos), a importação (deduplicação e rejeição de vias não previstas), a recolha (com um sítio de notícias simulado localmente, verifica-se que o robots.txt é respeitado, que as páginas com início de sessão e as de outros sítios ficam de fora, que os feeds RSS são lidos e que os comentários do YouTube, obtidos de um cliente simulado, chegam anonimizados à base de dados), a detecção automática do tipo de fonte, a recolha automática e o seu intervalo, os alertas (o número mínimo de confirmações, a ausência de alertas repetidos, o alerta de tendência e a sua normalização pelo volume recolhido, o conteúdo dos e-mails, sem texto nem autor, e o registo de falhas de envio sem perda da decisão), a detecção de províncias e os seus casos ambíguos, o mapa e o relatório, o fluxo completo de importação, classificação, revisão, métricas e exportação, a gravação por sublotes, o prazo de conservação e as cópias de segurança, o carregamento de um modelo BERT guardado em disco e a interface de programação. Do lado da aplicação web, testam o controlo de acesso por papel, o bloqueio após tentativas falhadas, a protecção CSRF, o escape de texto malicioso, a revisão independente por dois analistas, a revisão cega, a amostra de controlo reprodutível, a migração automática do esquema da base de dados, a decisão sem recarregar e o seu desfazer, o realce de lugares e máscaras, a série semanal do mapa e a sua exportação, a ficha do modelo, os alertas em tempo real, a visita guiada, o aspecto por utilizador, a troca entre modos e o modo de demonstração, que não toca na base de dados real nem envia e-mails. Na gestão de contas, testam a recuperação com código de uso único, o pedido ao supervisor, a palavra-passe temporária e a mudança obrigatória, a reposição pela linha de comandos, o fim da sessão quando a janela é fechada e a ausência de segredos nas mensagens de erro e na verificação da configuração.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3.8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3.8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400675" cy="50482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00675" cy="50482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400675" cy="516255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400675" cy="5162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600325"/>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857750" cy="26003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Por isso,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virá sobretudo dos temas, das referências e da forma de argumentar.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usa as probabilidades do modelo de duas formas: mostra-as ao analista ao lado de cada publicação e ordena a fila pela prioridade 1 − P(Normal) (Secção 3.8.3). A qualidade destas duas utilizações não fica descrita pelo F1-macro, que só considera a categoria mais provável. Esta secção analisa, no conjunto de teste, se as probabilidades merecem a confiança que exprimem (calibração) e quanto trabalho a ordenação poupa ao analista. Consideram-se o BERTimbau, o Bi-LSTM e a Floresta Aleatória; o SVM linear produz margens de decisão e não probabilidades, pelo que fica de fora. Como 91% do teste provém de corpora brasileiros, os valores descrevem sobretudo esse conteúdo e devem ser lidos como um limite superior do que o sistema fará em conteúdo angolano.</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com 15 intervalos de confiança) e o índice de Brier. A Figura 4.4 mostra os diagramas de fiabilidade correspondentes: em cada intervalo de confiança, a barra indica a fracção de previsões certas, e a diagonal indica a calibração perfeita.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das probabilidades e qualidade da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pela prioridade 1 − P(Normal), como no sistema. ECE com 15 intervalos de igual amplitude sobre a confiança da categoria prevista.</w:t>
      </w:r>
    </w:p>
    <w:p>
      <w:pPr>
        <w:keepNext/>
        <w:spacing w:after="40" w:before="160"/>
        <w:jc w:val="center"/>
      </w:pPr>
      <w:r>
        <w:drawing>
          <wp:inline distT="0" distB="0" distL="0" distR="0">
            <wp:extent cx="5581650" cy="2085975"/>
            <wp:effectExtent t="0" r="0" b="0" l="0"/>
            <wp:docPr id="1" name="fig4_4_calibracao.png" descr="fig4_4_calibracao.png" title="fig4_4_calib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81650" cy="20859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Diagramas de fiabilidade das probabilidades no conjunto de teste</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de mais: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a consequência é prática. Uma percentagem muito alta mostrada pelo BERTimbau na fila é, no conteúdo do teste, uma estimativa razoável; uma percentagem intermédia sobrestima a probabilidade de acerto. Em conteúdo angolano, onde o mesmo modelo acerta muito menos (Secção 4.6), a sobrestimação será maior, porque o modelo não sabe que está fora do seu domínio. A correcção habitual, o escalamento por temperatura, ajusta um único parâmetro num conjunto de validação (Guo et al., 2017); para ser útil em Angola, esse conjunto teria de ser angolano, o que reforça a recomendação de ampliar o corpus anotado.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4.5 mostra a curva de esforço de cada modelo: a fracção das 1.144 ameaças do teste que um analista encontraria ao rever a fila por ordem de prioridade.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5219700" cy="3038475"/>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219700" cy="30384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4.5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Desinformacao, e a mediana da posição dos 47 itens de Mobilizacao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sistema já oferece uma forma de contornar este efeito: o filtro por categoria da fila, que mostra apenas os itens previstos numa categoria. Uma alternativa mais directa seria ordenar cada fila de categoria pela probabilidade dessa categoria. No teste, os 47 itens com maior probabilidade de Mobilizacao contêm 25 dos 47 casos reais (precisão e sensibilidade de 0,53), e os primeiros 100 contêm 32 (sensibilidade de 0,68). Filas separadas por categoria, ou uma prioridade que pondere a gravidade de cada categoria, são por isso uma melhoria natural do sistema, registada no Capítulo 5.</w:t>
      </w:r>
    </w:p>
    <w:p>
      <w:pPr>
        <w:pStyle w:val="Heading3"/>
        <w:keepNext/>
        <w:spacing w:after="120" w:before="240"/>
      </w:pPr>
      <w:r>
        <w:rPr>
          <w:rFonts w:ascii="Times New Roman" w:cs="Times New Roman" w:eastAsia="Times New Roman" w:hAnsi="Times New Roman"/>
          <w:b/>
          <w:bCs/>
          <w:sz w:val="24"/>
          <w:szCs w:val="24"/>
        </w:rPr>
        <w:t xml:space="preserve">4.7.3 O que fica no fundo da fila</w:t>
      </w:r>
    </w:p>
    <w:p>
      <w:pPr>
        <w:spacing w:after="120" w:before="0" w:line="360"/>
        <w:ind w:firstLine="567"/>
        <w:jc w:val="both"/>
      </w:pPr>
      <w:r>
        <w:rPr>
          <w:rFonts w:ascii="Times New Roman" w:cs="Times New Roman" w:eastAsia="Times New Roman" w:hAnsi="Times New Roman"/>
          <w:sz w:val="24"/>
          <w:szCs w:val="24"/>
        </w:rPr>
        <w:t xml:space="preserve">A fila mostra, por omissão, apenas os itens que o modelo não classifica como Normais. No teste, o BERTimbau classificou como Normais 2.840 itens, entre os quais estão 135 ameaças, ou seja, 11,8% de todas as ameaças: 104 de Odio, 19 de Desinformacao e 12 de Mobilizacao. A maior parte destes casos tem probabilidade de Normal alta: entre os 2.583 itens com P(Normal) de pelo menos 0,9, há 69 ameaças (2,7%; IC 95% de Wilson de 2,1% a 3,4%), e entre os 1.885 com P(Normal) de pelo menos 0,99, há 10 (0,5%; IC 95% de 0,3% a 1,0%).</w:t>
      </w:r>
    </w:p>
    <w:p>
      <w:pPr>
        <w:spacing w:after="120" w:before="0" w:line="360"/>
        <w:ind w:firstLine="567"/>
        <w:jc w:val="both"/>
      </w:pPr>
      <w:r>
        <w:rPr>
          <w:rFonts w:ascii="Times New Roman" w:cs="Times New Roman" w:eastAsia="Times New Roman" w:hAnsi="Times New Roman"/>
          <w:sz w:val="24"/>
          <w:szCs w:val="24"/>
        </w:rPr>
        <w:t xml:space="preserve">Estes números justificam a amostra de controlo prevista no sistema (Secção 3.8.5). Uma fracção de ameaças de alguns por cento entre os itens Normais é pequena em proporção, mas, num volume grande de publicações, corresponde a muitos casos, e são casos que nenhum analista verá se só rever a fila. A amostra de controlo permite estimar esta fracção em conteúdo angolano, onde será previsivelmente maior, já que a sensibilidade do modelo neste domínio é mais baixa. É também a amostra mais útil para novos ciclos de treino, porque contém precisamente os erros que o modelo não sabe que comete.</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spacing w:after="120" w:before="0" w:line="360"/>
        <w:ind w:firstLine="567"/>
        <w:jc w:val="both"/>
      </w:pPr>
      <w:r>
        <w:rPr>
          <w:rFonts w:ascii="Times New Roman" w:cs="Times New Roman" w:eastAsia="Times New Roman" w:hAnsi="Times New Roman"/>
          <w:sz w:val="24"/>
          <w:szCs w:val="24"/>
        </w:rPr>
        <w:t xml:space="preserve">Depois desta medição, o sistema passou a gravar as classificações por sublotes de 32 publicações (Secção 3.8.3), e a medição foi repetida com esta configuração, no mesmo computador e com o mesmo lote de 198 publicações (três repetições). Com a gravação por sublotes, as primeiras 32 publicações ficaram disponíveis na fila ao fim de 36,1 segundos (mediana), contra cerca de 125 segundos com a gravação no fim do lote, e este tempo não depende da dimensão do lote. O lote completo demorou 139,7 segundos (0,71 s por publicação). O custo por publicação foi um pouco mais alto do que na primeira medição porque a aplicação web, com o modelo carregado, estava a correr em simultâneo no mesmo computador.</w:t>
      </w:r>
    </w:p>
    <w:p>
      <w:pPr>
        <w:spacing w:after="120" w:before="0" w:line="360"/>
        <w:ind w:firstLine="567"/>
        <w:jc w:val="both"/>
      </w:pPr>
      <w:r>
        <w:rPr>
          <w:rFonts w:ascii="Times New Roman" w:cs="Times New Roman" w:eastAsia="Times New Roman" w:hAnsi="Times New Roman"/>
          <w:sz w:val="24"/>
          <w:szCs w:val="24"/>
        </w:rPr>
        <w:t xml:space="preserve">A gravação por sublotes muda, portanto, a natureza da condição. As primeiras publicações de qualquer lote chegam à fila em menos de 60 segundos; as seguintes chegam de sublote em sublote, a cada 23 segundos aproximadamente. Por estimativa a partir destes tempos, todas as publicações de um lote ficam disponíveis em menos de 60 segundos quando cada recolha traz até cerca de 64 publicações (dois sublotes). Com recolhas frequentes e pequenas, o critério da H2 é cumprido para todas as publicações neste equipamento.</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Além da medição do tempo de processamento, o funcionamento do sistema foi verificado pelos testes automáticos descritos na Secção 3.9. A Tabela 4.10 agrupa-os por área. Todos os 121 testes passaram na versão final do protótipo, numa execução de cerca de 40 segundos no ambiente de desenvolvimento. Os testes que envolvem rede (YouTube e sítios de notícias) usam clientes e sítios simulados localmente, de modo que verificam o comportamento do sistema, incluindo o respeito pelo robots.txt e a anonimização, sem depender de serviços externos.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Testes automáticos do sistema por área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370"/>
        <w:gridCol w:w="800"/>
        <w:gridCol w:w="105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Área</w:t>
            </w:r>
          </w:p>
        </w:tc>
        <w:tc>
          <w:tcPr>
            <w:tcW w:type="dxa" w:w="43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se verifica</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Testes</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Resultado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Núcleo de dados e modelo</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importação, classificação, métricas, conservação, cópias de segurança, carregamento do BERTimbau, interface de programação</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YouTube e sítios simulados, robots.txt, páginas com início de sessão, feeds; recolha automática e o seu intervalo; chave nunca mostrada nos erros</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Alertas, mapa e relatório</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Confirmação, tendência normalizada, e-mails sem texto nem autor, províncias, série semanal, exportação SVG e PNG</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21</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e controlo de acesso</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Papéis, bloqueio, CSRF, escape de texto, revisão independente e cega, amostra de controlo, migração do esquema</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 do analista</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sem recarregar e desfazer, realces, ficha do modelo, alertas em tempo real, visita guiada, aspecto, várias fontes de uma vez, troca de modo, demonstração</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36</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Gestão de contas</w:t>
            </w:r>
          </w:p>
        </w:tc>
        <w:tc>
          <w:tcPr>
            <w:tcW w:type="dxa" w:w="43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Código de recuperação, pedido ao supervisor, palavra-passe temporária, reposição local, fim da sessão ao fechar a janela, verificação da configuração</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Passaram</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Total</w:t>
            </w:r>
          </w:p>
        </w:tc>
        <w:tc>
          <w:tcPr>
            <w:tcW w:type="dxa" w:w="437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121</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121 de 121</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Execução com </w:t>
      </w:r>
      <w:r>
        <w:rPr>
          <w:rFonts w:ascii="Courier New" w:cs="Courier New" w:eastAsia="Courier New" w:hAnsi="Courier New"/>
          <w:sz w:val="15"/>
          <w:szCs w:val="15"/>
        </w:rPr>
        <w:t xml:space="preserve">python -m pytest -q</w:t>
      </w:r>
      <w:r>
        <w:rPr>
          <w:rFonts w:ascii="Times New Roman" w:cs="Times New Roman" w:eastAsia="Times New Roman" w:hAnsi="Times New Roman"/>
          <w:sz w:val="18"/>
          <w:szCs w:val="18"/>
        </w:rPr>
        <w:t xml:space="preserve"> na versão final do protótipo. Os testes não substituem a avaliação com analistas: verificam que o sistema faz o que foi especificado, não que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4.11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4.11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 a gravação de todo o lote no fim, o limiar só era respeitado para lotes até cerca de 94 publicações. Com a gravação por sublotes, as primeiras publicações chegam à fila em 36 segundos independentemente do lote, e todas chegam em menos de 60 segundos quando cada recolha traz até cerca de 64 publicações.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estão alinhados com o que a literatura faz esperar, o que reforça a sua credibilidade. A vantagem de um modelo pré-treinado sobre os métodos clássicos e sobre redes recorrentes treinadas de raiz é o padrão habitual desde a introdução do BERT (Devlin et al., 2018; Souza et al., 2020). A perda de desempenho fora do domínio de treino tem a ordem de grandeza das quedas descritas por Fortuna, Soler-Company e Wanner (2021) quando um classificador de linguagem ofensiva é avaliado num conjunto de dados diferente daquele em que foi treinado. A falha na Desinformação reproduz o mecanismo de aprendizagem de atalhos descrito por Geirhos et al. (2020). E a dificuldade em separar a mobilização hostil do protesto legítimo corresponde à observação, feita no projecto Umati, de que a avaliação do discurso perigoso depende de contexto que o texto isolado não contém (iHub Research, 2013). O que esta dissertação acrescenta é a medida destes efeitos para o português de Angola e a sua tradução em decisões concretas de desenho do sistema.</w:t>
      </w:r>
    </w:p>
    <w:p>
      <w:pPr>
        <w:spacing w:after="120" w:before="0" w:line="360"/>
        <w:ind w:firstLine="567"/>
        <w:jc w:val="both"/>
      </w:pPr>
      <w:r>
        <w:rPr>
          <w:rFonts w:ascii="Times New Roman" w:cs="Times New Roman" w:eastAsia="Times New Roman" w:hAnsi="Times New Roman"/>
          <w:sz w:val="24"/>
          <w:szCs w:val="24"/>
        </w:rPr>
        <w:t xml:space="preserve">A Secção 4.7 acrescenta uma nuance a esta leitura. Medido pela ordenação, e não apenas pela categoria prevista, o BERTimbau é muito útil no conteúdo do teste: concentra no primeiro quarto da fila quatro quintos das ameaças. A mesma análise mostra, porém, que a ordenação reflecte a confiança do modelo e não a gravidade das categorias, e que uma parte das ameaças fica sistematicamente no fundo. As duas funções do sistema concebidas para a avaliação, a revisão cega e a amostra de controlo, são por isso também as que permitem detectar, em operação, os problemas que os números do teste antecipam.</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Mobilizacao, que é a categoria com mais interesse para a segurança, é também aquela em que a evidência é mais frágil, tanto pelo pequeno número de exemplos de teste como pela fronteira pouco nítida com o direito de manifestação. As prioridades de trabalho futuro do Capítulo 5 partem daqui: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mostram que consegue ajudar a ordenar o trabalho do analista, mas não o substitui, nem deve substituir.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e por e-mail, em tempo real,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falsos positivos à custa de alguma cobertura.</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traduzem-se em quatro implicações práticas. A primeira é que a automação reduz o volume de leitura, mas não a dispensa. No conteúdo do teste, rever um quarto da fila ordenada pelo BERTimbau bastou para encontrar quatro em cada cinco ameaças, o que significa, num dia com mil publicações recolhidas, ler cerca de 250 em vez de mil. O tempo que cada revisão leva não foi medido; a título indicativo, a meio minuto por publicação, 250 revisões correspondem a cerca de duas horas de trabalho de um analista. Em conteúdo angolano, onde o modelo acerta menos, a fracção a rever para o mesmo resultado será maior, e só a avaliação com analistas permitirá dimensionar as equipas.</w:t>
      </w:r>
    </w:p>
    <w:p>
      <w:pPr>
        <w:spacing w:after="120" w:before="0" w:line="360"/>
        <w:ind w:firstLine="567"/>
        <w:jc w:val="both"/>
      </w:pPr>
      <w:r>
        <w:rPr>
          <w:rFonts w:ascii="Times New Roman" w:cs="Times New Roman" w:eastAsia="Times New Roman" w:hAnsi="Times New Roman"/>
          <w:sz w:val="24"/>
          <w:szCs w:val="24"/>
        </w:rPr>
        <w:t xml:space="preserve">A segunda é que o sistema é um instrumento de alerta precoce sobre temas e lugares, não sobre pessoas. Os alertas de tendência por província e o relatório periódico dão uma visão agregada da evolução das ameaças, útil para orientar a atenção e os recursos, sem criar listas de cidadãos. Esta orientação é também a que melhor protege a instituição de usos indevidos e da perda de confiança pública.</w:t>
      </w:r>
    </w:p>
    <w:p>
      <w:pPr>
        <w:spacing w:after="120" w:before="0" w:line="360"/>
        <w:ind w:firstLine="567"/>
        <w:jc w:val="both"/>
      </w:pPr>
      <w:r>
        <w:rPr>
          <w:rFonts w:ascii="Times New Roman" w:cs="Times New Roman" w:eastAsia="Times New Roman" w:hAnsi="Times New Roman"/>
          <w:sz w:val="24"/>
          <w:szCs w:val="24"/>
        </w:rPr>
        <w:t xml:space="preserve">A terceira é que a capacidade técnica pode ser desenvolvida internamente. O protótipo usa apenas software livre, funciona num único servidor sem acesso à Internet e foi construído e avaliado com recursos modestos. A dependência de fornecedores estrangeiros, apontada na Secção 2.3 como um obstáculo, não é, portanto, inevitável; o que é indispensável é investir em dados angolanos anotados e em pessoas capazes de os produzir e de manter o sistema.</w:t>
      </w:r>
    </w:p>
    <w:p>
      <w:pPr>
        <w:spacing w:after="120" w:before="0" w:line="360"/>
        <w:ind w:firstLine="567"/>
        <w:jc w:val="both"/>
      </w:pPr>
      <w:r>
        <w:rPr>
          <w:rFonts w:ascii="Times New Roman" w:cs="Times New Roman" w:eastAsia="Times New Roman" w:hAnsi="Times New Roman"/>
          <w:sz w:val="24"/>
          <w:szCs w:val="24"/>
        </w:rPr>
        <w:t xml:space="preserve">A quarta é que a introdução do sistema deve ser acompanhada de regras institucionais claras, sem as quais as salvaguardas técnicas perdem efeito. Essas regras são o objecto da secção seguinte.</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Uma última observação diz respeito ao próprio processo de desenvolvimento. Várias funções do sistema, como a recuperação do acesso sem serviços externos, a verificação da configuração sem mostrar segredos ou o fim da sessão quando a janela é fechada, resultaram de dificuldades encontradas ao instalar e usar o protótipo, e não do desenho inicial. Esta experiência confirma que um sistema destinado a uma instituição só fica completo quando é usado por quem o vai operar, e que a fase de piloto institucional proposta na Secção 3.10 é tanto um teste ao modelo como ao sistema que o rodeia.</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é talvez a mais útil, porque indica onde vale a pena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24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Rocha da Silva, J., Soler-Company, J., Wanner, L., &amp; Nunes, S. (2019). A hierarchically-labeled Portuguese hate speech dataset. In </w:t>
      </w:r>
      <w:r>
        <w:rPr>
          <w:rFonts w:ascii="Times New Roman" w:cs="Times New Roman" w:eastAsia="Times New Roman" w:hAnsi="Times New Roman"/>
          <w:i/>
          <w:iCs/>
          <w:sz w:val="24"/>
          <w:szCs w:val="24"/>
        </w:rPr>
        <w:t xml:space="preserve">Proceedings of the Third Workshop on Abusive Language Online</w:t>
      </w:r>
      <w:r>
        <w:rPr>
          <w:rFonts w:ascii="Times New Roman" w:cs="Times New Roman" w:eastAsia="Times New Roman" w:hAnsi="Times New Roman"/>
          <w:sz w:val="24"/>
          <w:szCs w:val="24"/>
        </w:rPr>
        <w:t xml:space="preserve"> (pp. 94–104). Association for Computational Linguistics. https://doi.org/10.18653/v1/W19-3510</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24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iHub Research. (2013). </w:t>
      </w:r>
      <w:r>
        <w:rPr>
          <w:rFonts w:ascii="Times New Roman" w:cs="Times New Roman" w:eastAsia="Times New Roman" w:hAnsi="Times New Roman"/>
          <w:i/>
          <w:iCs/>
          <w:sz w:val="24"/>
          <w:szCs w:val="24"/>
        </w:rPr>
        <w:t xml:space="preserve">Umati: Monitoring online dangerous speech. Final report</w:t>
      </w:r>
      <w:r>
        <w:rPr>
          <w:rFonts w:ascii="Times New Roman" w:cs="Times New Roman" w:eastAsia="Times New Roman" w:hAnsi="Times New Roman"/>
          <w:sz w:val="24"/>
          <w:szCs w:val="24"/>
        </w:rPr>
        <w:t xml:space="preserve">. iHub Research.</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Lees, A., Tran, V. Q., Tay, Y., Sorensen, J., Gupta, J., Metzler, D., &amp; Vasserman, L. (2022). A new generation of Perspective API: Efficient multilingual character-level transformers. In </w:t>
      </w:r>
      <w:r>
        <w:rPr>
          <w:rFonts w:ascii="Times New Roman" w:cs="Times New Roman" w:eastAsia="Times New Roman" w:hAnsi="Times New Roman"/>
          <w:i/>
          <w:iCs/>
          <w:sz w:val="24"/>
          <w:szCs w:val="24"/>
        </w:rPr>
        <w:t xml:space="preserve">Proceedings of the 28th ACM SIGKDD Conference on Knowledge Discovery and Data Mining</w:t>
      </w:r>
      <w:r>
        <w:rPr>
          <w:rFonts w:ascii="Times New Roman" w:cs="Times New Roman" w:eastAsia="Times New Roman" w:hAnsi="Times New Roman"/>
          <w:sz w:val="24"/>
          <w:szCs w:val="24"/>
        </w:rPr>
        <w:t xml:space="preserve"> (pp. 3197–3207). ACM. https://doi.org/10.1145/3534678.3539147</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24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24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24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w:t>
      </w:r>
      <w:r>
        <w:rPr>
          <w:rFonts w:ascii="Times New Roman" w:cs="Times New Roman" w:eastAsia="Times New Roman" w:hAnsi="Times New Roman"/>
          <w:i/>
          <w:iCs/>
          <w:sz w:val="24"/>
          <w:szCs w:val="24"/>
        </w:rPr>
        <w:t xml:space="preserve">. In </w:t>
      </w:r>
      <w:r>
        <w:rPr>
          <w:rFonts w:ascii="Times New Roman" w:cs="Times New Roman" w:eastAsia="Times New Roman" w:hAnsi="Times New Roman"/>
          <w:sz w:val="24"/>
          <w:szCs w:val="24"/>
        </w:rPr>
        <w:t xml:space="preserve">Progress in Artificial Intelligence: EPIA 2023* (pp. 441–453). Springer. https://doi.org/10.1007/978-3-031-49008-8_35</w:t>
      </w:r>
    </w:p>
    <w:p>
      <w:pPr>
        <w:spacing w:after="24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24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pacing w:after="240" w:line="240"/>
        <w:ind w:left="567" w:hanging="567"/>
        <w:jc w:val="left"/>
      </w:pPr>
      <w:r>
        <w:rPr>
          <w:rFonts w:ascii="Times New Roman" w:cs="Times New Roman" w:eastAsia="Times New Roman" w:hAnsi="Times New Roman"/>
          <w:sz w:val="24"/>
          <w:szCs w:val="24"/>
        </w:rPr>
        <w:t xml:space="preserve">Wu, Y., Schuster, M., Chen, Z., Le, Q. V., Norouzi, M., Macherey, W., Krikun, M., Cao, Y., Gao, Q., Macherey, K., Klingner, J., Shah, A., Johnson, M., Liu, X., Kaiser, Ł., Gouws, S., Kato, Y., Kudo, T., Kazawa, H., … Dean, J. (2016). </w:t>
      </w:r>
      <w:r>
        <w:rPr>
          <w:rFonts w:ascii="Times New Roman" w:cs="Times New Roman" w:eastAsia="Times New Roman" w:hAnsi="Times New Roman"/>
          <w:i/>
          <w:iCs/>
          <w:sz w:val="24"/>
          <w:szCs w:val="24"/>
        </w:rPr>
        <w:t xml:space="preserve">Google's neural machine translation system: Bridging the gap between human and machine translation</w:t>
      </w:r>
      <w:r>
        <w:rPr>
          <w:rFonts w:ascii="Times New Roman" w:cs="Times New Roman" w:eastAsia="Times New Roman" w:hAnsi="Times New Roman"/>
          <w:sz w:val="24"/>
          <w:szCs w:val="24"/>
        </w:rPr>
        <w:t xml:space="preserve"> (arXiv:1609.08144). arXiv. https://arxiv.org/abs/1609.08144</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Amostra de controlo.</w:t>
      </w:r>
      <w:r>
        <w:rPr>
          <w:rFonts w:ascii="Times New Roman" w:cs="Times New Roman" w:eastAsia="Times New Roman" w:hAnsi="Times New Roman"/>
          <w:sz w:val="24"/>
          <w:szCs w:val="24"/>
        </w:rPr>
        <w:t xml:space="preserve"> Conjunto de publicações classificadas como Normais, sorteado com semente registada, que os analistas revêem sem sugestão do modelo para estimar as ameaças que a fila deixa passar.</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Código de recuperação.</w:t>
      </w:r>
      <w:r>
        <w:rPr>
          <w:rFonts w:ascii="Times New Roman" w:cs="Times New Roman" w:eastAsia="Times New Roman" w:hAnsi="Times New Roman"/>
          <w:sz w:val="24"/>
          <w:szCs w:val="24"/>
        </w:rPr>
        <w:t xml:space="preserve"> Sequência aleatória de uso único, gerada pelo próprio utilizador e guardada apenas na forma derivada, que permite mudar a palavra-passe esquecida sem intervenção de terceiros.</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Curva de esforço.</w:t>
      </w:r>
      <w:r>
        <w:rPr>
          <w:rFonts w:ascii="Times New Roman" w:cs="Times New Roman" w:eastAsia="Times New Roman" w:hAnsi="Times New Roman"/>
          <w:sz w:val="24"/>
          <w:szCs w:val="24"/>
        </w:rPr>
        <w:t xml:space="preserve"> Representação da fracção das ameaças encontradas em função da fracção da fila revista por ordem de prioridade.</w:t>
      </w:r>
    </w:p>
    <w:p>
      <w:pPr>
        <w:spacing w:after="140" w:line="300"/>
        <w:jc w:val="both"/>
      </w:pPr>
      <w:r>
        <w:rPr>
          <w:rFonts w:ascii="Times New Roman" w:cs="Times New Roman" w:eastAsia="Times New Roman" w:hAnsi="Times New Roman"/>
          <w:b/>
          <w:bCs/>
          <w:sz w:val="24"/>
          <w:szCs w:val="24"/>
        </w:rPr>
        <w:t xml:space="preserve">Erro de calibração esperado (ECE).</w:t>
      </w:r>
      <w:r>
        <w:rPr>
          <w:rFonts w:ascii="Times New Roman" w:cs="Times New Roman" w:eastAsia="Times New Roman" w:hAnsi="Times New Roman"/>
          <w:sz w:val="24"/>
          <w:szCs w:val="24"/>
        </w:rPr>
        <w:t xml:space="preserve"> Diferença média, pesada pelo número de previsões, entre a confiança e a fracção de acertos em intervalos de confiança.</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Índice de Brier.</w:t>
      </w:r>
      <w:r>
        <w:rPr>
          <w:rFonts w:ascii="Times New Roman" w:cs="Times New Roman" w:eastAsia="Times New Roman" w:hAnsi="Times New Roman"/>
          <w:sz w:val="24"/>
          <w:szCs w:val="24"/>
        </w:rPr>
        <w:t xml:space="preserve"> Média do quadrado da diferença entre as probabilidades previstas e o resultado observado; zero corresponde a previsões perfeitas.</w:t>
      </w:r>
    </w:p>
    <w:p>
      <w:pPr>
        <w:spacing w:after="140" w:line="300"/>
        <w:jc w:val="both"/>
      </w:pPr>
      <w:r>
        <w:rPr>
          <w:rFonts w:ascii="Times New Roman" w:cs="Times New Roman" w:eastAsia="Times New Roman" w:hAnsi="Times New Roman"/>
          <w:b/>
          <w:bCs/>
          <w:sz w:val="24"/>
          <w:szCs w:val="24"/>
        </w:rPr>
        <w:t xml:space="preserve">Inteligência de fontes abertas (OSINT).</w:t>
      </w:r>
      <w:r>
        <w:rPr>
          <w:rFonts w:ascii="Times New Roman" w:cs="Times New Roman" w:eastAsia="Times New Roman" w:hAnsi="Times New Roman"/>
          <w:sz w:val="24"/>
          <w:szCs w:val="24"/>
        </w:rPr>
        <w:t xml:space="preserve"> Produção de informação útil a partir de fontes publicamente acessíveis, sem meios clandestinos.</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Palavra-passe temporária.</w:t>
      </w:r>
      <w:r>
        <w:rPr>
          <w:rFonts w:ascii="Times New Roman" w:cs="Times New Roman" w:eastAsia="Times New Roman" w:hAnsi="Times New Roman"/>
          <w:sz w:val="24"/>
          <w:szCs w:val="24"/>
        </w:rPr>
        <w:t xml:space="preserve"> Palavra-passe gerada pelo supervisor a pedido de quem perdeu o acesso, que tem de ser substituída no primeiro acesso.</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Recolha automática.</w:t>
      </w:r>
      <w:r>
        <w:rPr>
          <w:rFonts w:ascii="Times New Roman" w:cs="Times New Roman" w:eastAsia="Times New Roman" w:hAnsi="Times New Roman"/>
          <w:sz w:val="24"/>
          <w:szCs w:val="24"/>
        </w:rPr>
        <w:t xml:space="preserve"> Função do servidor que percorre periodicamente as fontes activas e recolhe apenas as publicações novas.</w:t>
      </w:r>
    </w:p>
    <w:p>
      <w:pPr>
        <w:spacing w:after="140" w:line="300"/>
        <w:jc w:val="both"/>
      </w:pPr>
      <w:r>
        <w:rPr>
          <w:rFonts w:ascii="Times New Roman" w:cs="Times New Roman" w:eastAsia="Times New Roman" w:hAnsi="Times New Roman"/>
          <w:b/>
          <w:bCs/>
          <w:sz w:val="24"/>
          <w:szCs w:val="24"/>
        </w:rPr>
        <w:t xml:space="preserve">Revisão cega.</w:t>
      </w:r>
      <w:r>
        <w:rPr>
          <w:rFonts w:ascii="Times New Roman" w:cs="Times New Roman" w:eastAsia="Times New Roman" w:hAnsi="Times New Roman"/>
          <w:sz w:val="24"/>
          <w:szCs w:val="24"/>
        </w:rPr>
        <w:t xml:space="preserve"> Modo de revisão em que a sugestão do modelo fica escondida, para medir o acordo entre analista e sistema sem a influência da própria sugestão.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SOCMINT.</w:t>
      </w:r>
      <w:r>
        <w:rPr>
          <w:rFonts w:ascii="Times New Roman" w:cs="Times New Roman" w:eastAsia="Times New Roman" w:hAnsi="Times New Roman"/>
          <w:sz w:val="24"/>
          <w:szCs w:val="24"/>
        </w:rPr>
        <w:t xml:space="preserve"> Inteligência de redes sociais: aplicação das práticas de inteligência de fontes abertas ao conteúdo das plataformas digitais.</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pacing w:after="140" w:line="300"/>
        <w:jc w:val="both"/>
      </w:pPr>
      <w:r>
        <w:rPr>
          <w:rFonts w:ascii="Times New Roman" w:cs="Times New Roman" w:eastAsia="Times New Roman" w:hAnsi="Times New Roman"/>
          <w:b/>
          <w:bCs/>
          <w:sz w:val="24"/>
          <w:szCs w:val="24"/>
        </w:rPr>
        <w:t xml:space="preserve">Viés de automação.</w:t>
      </w:r>
      <w:r>
        <w:rPr>
          <w:rFonts w:ascii="Times New Roman" w:cs="Times New Roman" w:eastAsia="Times New Roman" w:hAnsi="Times New Roman"/>
          <w:sz w:val="24"/>
          <w:szCs w:val="24"/>
        </w:rPr>
        <w:t xml:space="preserve"> Tendência para aceitar a sugestão de um sistema automático em vez de a verificar, substituindo o juízo próprio pela sugestão.</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lê a configuração do ficheiro uan.env, na pasta do sistema, que se cria a partir de uan.env.exemplo e nunca é guardado no repositório. As duas variáveis essenciais são a pasta do modelo e o segredo dos pseudónimos:</w:t>
      </w:r>
    </w:p>
    <w:p>
      <w:pPr>
        <w:shd w:fill="F4F3EF" w:color="auto" w:val="clear"/>
        <w:spacing w:after="0" w:before="120" w:line="220"/>
        <w:ind w:left="113" w:right="113"/>
      </w:pPr>
      <w:r>
        <w:rPr>
          <w:rFonts w:ascii="Courier New" w:cs="Courier New" w:eastAsia="Courier New" w:hAnsi="Courier New"/>
          <w:sz w:val="17"/>
          <w:szCs w:val="17"/>
        </w:rPr>
        <w:t xml:space="preserve">UAN_MODELO=C:\modelos\bertimbau_uan_v13_s42</w:t>
      </w:r>
    </w:p>
    <w:p>
      <w:pPr>
        <w:shd w:fill="F4F3EF" w:color="auto" w:val="clear"/>
        <w:spacing w:after="200" w:before="0" w:line="220"/>
        <w:ind w:left="113" w:right="113"/>
      </w:pPr>
      <w:r>
        <w:rPr>
          <w:rFonts w:ascii="Courier New" w:cs="Courier New" w:eastAsia="Courier New" w:hAnsi="Courier New"/>
          <w:sz w:val="17"/>
          <w:szCs w:val="17"/>
        </w:rPr>
        <w:t xml:space="preserve">UAN_SEGREDO_HASH=frase-secreta-longa</w:t>
      </w:r>
    </w:p>
    <w:p>
      <w:pPr>
        <w:spacing w:after="120" w:before="0" w:line="360"/>
        <w:ind w:firstLine="567"/>
        <w:jc w:val="both"/>
      </w:pPr>
      <w:r>
        <w:rPr>
          <w:rFonts w:ascii="Times New Roman" w:cs="Times New Roman" w:eastAsia="Times New Roman" w:hAnsi="Times New Roman"/>
          <w:sz w:val="24"/>
          <w:szCs w:val="24"/>
        </w:rPr>
        <w:t xml:space="preserve">O segredo dos pseudónimos deve ser gerado ao acaso, por exemplo com o comando abaixo, e não pode ser mudado depois da primeira importação ou recolha, porque os mesmos autores passariam a ter pseudónimos diferentes. O ficheiro uan.env é lido em cada arranque do servidor, incluindo quando se muda de modo. Para confirmar que ficheiro o sistema lê e que variáveis estão definidas, sem mostrar os seus valores, usa-se o comando verificar-config.</w:t>
      </w:r>
    </w:p>
    <w:p>
      <w:pPr>
        <w:shd w:fill="F4F3EF" w:color="auto" w:val="clear"/>
        <w:spacing w:after="0" w:before="120" w:line="220"/>
        <w:ind w:left="113" w:right="113"/>
      </w:pPr>
      <w:r>
        <w:rPr>
          <w:rFonts w:ascii="Courier New" w:cs="Courier New" w:eastAsia="Courier New" w:hAnsi="Courier New"/>
          <w:sz w:val="17"/>
          <w:szCs w:val="17"/>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7"/>
          <w:szCs w:val="17"/>
        </w:rPr>
        <w:t xml:space="preserve">python uan.py verificar-config</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UAN_CHAVE_API</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interface de programação em /api; vazio desactiva-a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 de inferência e sublote de gravação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UAN_HORAS_SESSAO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Duração da sessão na aplicação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UAN_COOKIE_SEGURO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quando o sistema for servido por HTTPS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UAN_YOUTUBE_CHAVE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YouTube Data API v3; vazio limita a recolha às fontes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UAN_RECOLHA_INTERVALO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Segundos entre pedidos ao mesmo sítio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UAN_RECOLHA_MAX_PAGINAS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de páginas visitadas por fonte em cada recolha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UAN_SMTP_SERVIDOR</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de e-mail dos alertas; vazio deixa os alertas só na aplicação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UAN_SMTP_PORTA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587</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587 com STARTTLS ou 465 com SSL</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UAN_SMTP_UTILIZADOR, UAN_SMTP_SENHA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 de envio, quando o servidor exige autenticação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UAN_SMTP_REMETENTE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Endereço que aparece como remetente</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UAN_URL_BASE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http://127.0.0.1:8000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Endereço do sistema, usado nas ligações dos e-mails</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UAN_DEMONSTRACAO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activa o modo de demonstração (normalmente activado pela opção --demonstracao)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Arranque e primeira utilização</w:t>
      </w:r>
    </w:p>
    <w:p>
      <w:pPr>
        <w:shd w:fill="F4F3EF" w:color="auto" w:val="clear"/>
        <w:spacing w:after="200" w:before="120" w:line="220"/>
        <w:ind w:left="113" w:right="113"/>
      </w:pPr>
      <w:r>
        <w:rPr>
          <w:rFonts w:ascii="Courier New" w:cs="Courier New" w:eastAsia="Courier New" w:hAnsi="Courier New"/>
          <w:sz w:val="17"/>
          <w:szCs w:val="17"/>
        </w:rPr>
        <w:t xml:space="preserve">python uan.py servir</w:t>
      </w:r>
    </w:p>
    <w:p>
      <w:pPr>
        <w:spacing w:after="120" w:before="0" w:line="360"/>
        <w:ind w:firstLine="567"/>
        <w:jc w:val="both"/>
      </w:pPr>
      <w:r>
        <w:rPr>
          <w:rFonts w:ascii="Times New Roman" w:cs="Times New Roman" w:eastAsia="Times New Roman" w:hAnsi="Times New Roman"/>
          <w:sz w:val="24"/>
          <w:szCs w:val="24"/>
        </w:rPr>
        <w:t xml:space="preserve">Depois de arrancar, abre-se o endereço http://127.0.0.1:8000 no navegador. Na primeira utilização, a aplicação pede a criação da conta do supervisor, que depois cria as contas dos analistas na página Utilizadores. Por omissão, o servidor só aceita ligações do próprio computador; para o abrir à rede interna usa-se a opção --anfitriao 0.0.0.0, com a porta protegida pela firewall e, fora de ensaios, atrás de HTTPS.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Páginas da aplicação web</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41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Página</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Acesso</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Função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Panorama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Contagens por categoria, dia, plataforma e lote, sem vistas por autor</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Fila de revisão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sinalizados por prioridade; decisão com botões ou teclas 1 a 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Amostra de controlo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classificados como Normal, sorteados, sempre sem sugestão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Fontes e recolha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várias fontes públicas de uma vez, com detecção do tipo; recolha a pedido e recolha automática periódica com estimativa da quota do YouTube</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Alertas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Ameaças confirmadas e tendências; contador no menu e sino no topo, actualizados em tempo real</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Mapa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Taxa de ameaças por província e variação face ao período anterior; cartão por província, reprodução semana a semana, linhas de tendência, descarga em SVG ou PNG</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Relatório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(enviar: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Relatório de alertas de ameaças: imprimir, PDF, CSV e e-mail</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Sobre o modelo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desempenho por categoria e em conteúdo angolano, limitações e acordo observado com os analistas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(importar: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Importação, proveniência e classificação de pendentes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Métricas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Precisão@K, κ analista–sistema e entre analistas, sensibilidade, latência; exportações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Utilizadores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Criação e desactivação de contas; pedidos de recuperação; palavra-passe temporária</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 minha conta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Mudança da palavra-passe e código de recuperação pessoal</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todas as acções relevantes</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Definições e aspecto</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(opções do sistema: supervisor)</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Aspecto por utilizador (tema, cores, menu, letra, densidade, mapa); modo do sistema; revisão cega, alertas, conservação e cópias de segurança</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No topo de cada página estão a caixa Procurar (Ctrl+K), que abre a paleta de comandos, o sino dos alertas e o botão do tema (automático, escuro ou claro). Na primeira entrada, a visita guiada percorre todas as partes do sistema a que o utilizador tem acesso; pode ser repetida no fundo do menu. Ao fechar o separador ou o navegador, o navegador pede confirmação e, se a janela fechar, a sessão termina. A Tabela F.3 resume os atalhos de teclado; a tecla ? mostra-os na própria aplicação.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F.3 – Atalhos de teclado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Tecla</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1, 2, 3, 4</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Decidir o item seleccionado: Normal, Desinformação, Discurso de Ódio, Mobilização Hostil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J, K (ou setas)</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Item seguinte ou anterior na fila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Desfazer a última decisão (durante 5 segundos)</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Abrir o detalhe do item no painel lateral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Escrever uma nota no item</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 seguido de F, A, M, R, P ou 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Ir para Fila, Alertas, Mapa, Relatório, Panorama ou Sobre o modelo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Ctrl+K</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Procurar páginas e acções</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Mostrar a ajuda dos atalhos</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Esc</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Fechar painéis, a paleta e a visita guiada</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Modo de demonstração</w:t>
      </w:r>
    </w:p>
    <w:p>
      <w:pPr>
        <w:spacing w:after="120" w:before="0" w:line="360"/>
        <w:ind w:firstLine="567"/>
        <w:jc w:val="both"/>
      </w:pPr>
      <w:r>
        <w:rPr>
          <w:rFonts w:ascii="Times New Roman" w:cs="Times New Roman" w:eastAsia="Times New Roman" w:hAnsi="Times New Roman"/>
          <w:sz w:val="24"/>
          <w:szCs w:val="24"/>
        </w:rPr>
        <w:t xml:space="preserve">Para apresentar o sistema sem usar dados reais, arranca-se com a opção --demonstracao. Na primeira vez, o sistema cria a base de dados dados\demonstracao.db com cerca de 1 300 publicações fictícias de 16 semanas, decisões de analistas e alertas, e usa um classificador simulado. A base de dados real não é aberta, todas as páginas mostram a faixa «Demonstração» e nenhum e-mail é enviado. As contas são demo.supervisor, demo.analista e demo.revisor, com a palavra-passe demonstracao. A opção --repor apaga e recria os dados fictícios. Com o sistema aberto, o supervisor pode passar para o sistema real, e vice-versa, no botão da faixa «Demonstração» ou em Definições e aspecto; o servidor reinicia na mesma janela e as páginas recarregam-se quando ele está pronto.</w:t>
      </w:r>
    </w:p>
    <w:p>
      <w:pPr>
        <w:shd w:fill="F4F3EF" w:color="auto" w:val="clear"/>
        <w:spacing w:after="200" w:before="120" w:line="220"/>
        <w:ind w:left="113" w:right="113"/>
      </w:pPr>
      <w:r>
        <w:rPr>
          <w:rFonts w:ascii="Courier New" w:cs="Courier New" w:eastAsia="Courier New" w:hAnsi="Courier New"/>
          <w:sz w:val="17"/>
          <w:szCs w:val="17"/>
        </w:rPr>
        <w:t xml:space="preserve">python uan.py servir --demonstracao</w:t>
      </w:r>
    </w:p>
    <w:p>
      <w:pPr>
        <w:pStyle w:val="Heading2"/>
        <w:keepNext/>
        <w:keepLines/>
        <w:spacing w:after="160" w:before="360" w:line="300"/>
      </w:pPr>
      <w:r>
        <w:rPr>
          <w:rFonts w:ascii="Times New Roman" w:cs="Times New Roman" w:eastAsia="Times New Roman" w:hAnsi="Times New Roman"/>
          <w:b/>
          <w:bCs/>
          <w:sz w:val="26"/>
          <w:szCs w:val="26"/>
        </w:rPr>
        <w:t xml:space="preserve">F.5 Recolha de novos dados</w:t>
      </w:r>
    </w:p>
    <w:p>
      <w:pPr>
        <w:spacing w:after="120" w:before="0" w:line="360"/>
        <w:ind w:firstLine="567"/>
        <w:jc w:val="both"/>
      </w:pPr>
      <w:r>
        <w:rPr>
          <w:rFonts w:ascii="Times New Roman" w:cs="Times New Roman" w:eastAsia="Times New Roman" w:hAnsi="Times New Roman"/>
          <w:sz w:val="24"/>
          <w:szCs w:val="24"/>
        </w:rPr>
        <w:t xml:space="preserve">Na página Fontes e recolha, o supervisor cola um ou vários endereços, um por linha: a ligação de um vídeo, de um canal ou de uma lista do YouTube (por exemplo, https://www.youtube.com/@canal), termos de pesquisa no YouTube, o endereço de um feed RSS, a ligação de um artigo ou a página inicial de uma secção de um sítio de notícias. O tipo de cada linha é detectado e mostrado antes de gravar. O botão Recolher percorre as fontes activas, cria um lote por fonte e envia-o para classificação. A recolha do YouTube exige a chave UAN_YOUTUBE_CHAVE, obtida na Google Cloud Console e restrita à YouTube Data API v3. Para recolha periódica, escolhe-se a frequência em Recolha automática, na mesma página; com o servidor fechado, pode agendar-se o comando python uan.py recolher no Agendador de Tarefas do Windows. Só se recolhe conteúdo público: o sistema respeita o robots.txt, ignora páginas que pedem palavra-passe e não contorna protecções; o conteúdo de redes que exigem conta entra por importação de ficheiros.</w:t>
      </w:r>
    </w:p>
    <w:p>
      <w:pPr>
        <w:pStyle w:val="Heading2"/>
        <w:keepNext/>
        <w:keepLines/>
        <w:spacing w:after="160" w:before="360" w:line="300"/>
      </w:pPr>
      <w:r>
        <w:rPr>
          <w:rFonts w:ascii="Times New Roman" w:cs="Times New Roman" w:eastAsia="Times New Roman" w:hAnsi="Times New Roman"/>
          <w:b/>
          <w:bCs/>
          <w:sz w:val="26"/>
          <w:szCs w:val="26"/>
        </w:rPr>
        <w:t xml:space="preserve">F.6 Contas e recuperação do acesso</w:t>
      </w:r>
    </w:p>
    <w:p>
      <w:pPr>
        <w:spacing w:after="120" w:before="0" w:line="360"/>
        <w:ind w:firstLine="567"/>
        <w:jc w:val="both"/>
      </w:pPr>
      <w:r>
        <w:rPr>
          <w:rFonts w:ascii="Times New Roman" w:cs="Times New Roman" w:eastAsia="Times New Roman" w:hAnsi="Times New Roman"/>
          <w:sz w:val="24"/>
          <w:szCs w:val="24"/>
        </w:rPr>
        <w:t xml:space="preserve">Cada utilizador deve gerar o seu código de recuperação em A minha conta e guardá-lo fora do computador. Quem se esquecer da palavra-passe usa a ligação «Esqueceu-se da palavra-passe?» na página de entrada: com o código, muda-a sozinho; sem ele, envia um pedido ao supervisor, que gera uma palavra-passe temporária em Utilizadores. Se o único supervisor perder o acesso, repõe-se a palavra-passe no próprio servidor:</w:t>
      </w:r>
    </w:p>
    <w:p>
      <w:pPr>
        <w:shd w:fill="F4F3EF" w:color="auto" w:val="clear"/>
        <w:spacing w:after="0" w:before="120" w:line="220"/>
        <w:ind w:left="113" w:right="113"/>
      </w:pPr>
      <w:r>
        <w:rPr>
          <w:rFonts w:ascii="Courier New" w:cs="Courier New" w:eastAsia="Courier New" w:hAnsi="Courier New"/>
          <w:sz w:val="17"/>
          <w:szCs w:val="17"/>
        </w:rPr>
        <w:t xml:space="preserve">python uan.py repor-senha supervisor</w:t>
      </w:r>
    </w:p>
    <w:p>
      <w:pPr>
        <w:shd w:fill="F4F3EF" w:color="auto" w:val="clear"/>
        <w:spacing w:after="0" w:before="0" w:line="220"/>
        <w:ind w:left="113" w:right="113"/>
      </w:pPr>
      <w:r>
        <w:rPr>
          <w:rFonts w:ascii="Courier New" w:cs="Courier New" w:eastAsia="Courier New" w:hAnsi="Courier New"/>
          <w:sz w:val="17"/>
          <w:szCs w:val="17"/>
        </w:rPr>
        <w:t xml:space="preserve">python uan.py repor-senha supervisor --temporaria</w:t>
      </w:r>
    </w:p>
    <w:p>
      <w:pPr>
        <w:shd w:fill="F4F3EF" w:color="auto" w:val="clear"/>
        <w:spacing w:after="200" w:before="0" w:line="220"/>
        <w:ind w:left="113" w:right="113"/>
      </w:pPr>
      <w:r>
        <w:rPr>
          <w:rFonts w:ascii="Courier New" w:cs="Courier New" w:eastAsia="Courier New" w:hAnsi="Courier New"/>
          <w:sz w:val="17"/>
          <w:szCs w:val="17"/>
        </w:rPr>
        <w:t xml:space="preserve">python uan.py repor-senha demo.supervisor --demonstracao</w:t>
      </w:r>
    </w:p>
    <w:p>
      <w:pPr>
        <w:pStyle w:val="Heading2"/>
        <w:keepNext/>
        <w:keepLines/>
        <w:spacing w:after="160" w:before="360" w:line="300"/>
      </w:pPr>
      <w:r>
        <w:rPr>
          <w:rFonts w:ascii="Times New Roman" w:cs="Times New Roman" w:eastAsia="Times New Roman" w:hAnsi="Times New Roman"/>
          <w:b/>
          <w:bCs/>
          <w:sz w:val="26"/>
          <w:szCs w:val="26"/>
        </w:rPr>
        <w:t xml:space="preserve">F.7 Alertas, mapa e relatório</w:t>
      </w:r>
    </w:p>
    <w:p>
      <w:pPr>
        <w:spacing w:after="120" w:before="0" w:line="360"/>
        <w:ind w:firstLine="567"/>
        <w:jc w:val="both"/>
      </w:pPr>
      <w:r>
        <w:rPr>
          <w:rFonts w:ascii="Times New Roman" w:cs="Times New Roman" w:eastAsia="Times New Roman" w:hAnsi="Times New Roman"/>
          <w:sz w:val="24"/>
          <w:szCs w:val="24"/>
        </w:rPr>
        <w:t xml:space="preserve">Para os alertas por e-mail, definem-se no uan.env o servidor de envio (UAN_SMTP_SERVIDOR) e o remetente (UAN_SMTP_REMETENTE) e, na página Definições, os destinatários. Na mesma página o supervisor ajusta o número de analistas que confirmam uma ameaça, a janela e o mínimo de casos da tendência e o crescimento mínimo, e pode enviar um e-mail de teste. Sem servidor configurado, os alertas ficam apenas na aplicação. A página Mapa e a página Relatório aceitam um período escolhido pelo utilizador (datas ou 7, 30 e 90 dias). O relatório pode ser impresso ou guardado em PDF a partir do navegador, descarregado em CSV ou, pelo supervisor, enviado por e-mail. Para um relatório periódico, agenda-se python uan.py relatorio --dias 7 --email no Agendador de Tarefas do Windows.</w:t>
      </w:r>
    </w:p>
    <w:p>
      <w:pPr>
        <w:pStyle w:val="Heading2"/>
        <w:keepNext/>
        <w:keepLines/>
        <w:spacing w:after="160" w:before="360" w:line="300"/>
      </w:pPr>
      <w:r>
        <w:rPr>
          <w:rFonts w:ascii="Times New Roman" w:cs="Times New Roman" w:eastAsia="Times New Roman" w:hAnsi="Times New Roman"/>
          <w:b/>
          <w:bCs/>
          <w:sz w:val="26"/>
          <w:szCs w:val="26"/>
        </w:rPr>
        <w:t xml:space="preserve">F.8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F.4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com dados fictícios, numa base de dados separada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 (pede a palavra-passe)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https://exemplo.ao/feed "greve Luanda"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uma ou mais fontes públicas; o tipo é detectado (vídeo, canal, lista ou pesquisa do YouTube, feed, página, sítio)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Lista as fontes e o estado da última recolha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cria um lote por fonte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envia os alertas por e-mail e lista os mais recentes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30 --csv relatorio.csv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Gera o relatório de alertas do período; grava em CSV e envia o resumo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cópia de segurança da base de dados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de uma conta e desbloqueia-a (--temporaria gera uma temporária)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verificar-config</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que ficheiro de configuração é lido e que variáveis estão definidas, sem os valores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F.9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 Junto do modelo deve ficar o ficheiro ficha_modelo.json, copiado de sistema\ficha_modelo.json e actualizado com os resultados do novo treino; é esse ficheiro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07fb60bd22141ba5613a8c6efd6ec2dfd1eeae87.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adda0df201e46f3548e94ba028abf16c7812e1f1.png"/><Relationship Id="rId51" Type="http://schemas.openxmlformats.org/officeDocument/2006/relationships/image" Target="media/0ca230cdc9b7a71d1b3ca05453567c8765fe671f.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d5ec9b5c33a7348951fecf1b893fcba834e0ce4e.png"/><Relationship Id="rId58" Type="http://schemas.openxmlformats.org/officeDocument/2006/relationships/image" Target="media/979d50e9063cd061f0b415030881973c82428734.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2026-10-21T12:56:52.414Z</dcterms:created>
  <dcterms:modified xsi:type="dcterms:W3CDTF">2026-10-21T12:56:52.414Z</dcterms:modified>
</cp:coreProperties>
</file>

<file path=docProps/custom.xml><?xml version="1.0" encoding="utf-8"?>
<Properties xmlns="http://schemas.openxmlformats.org/officeDocument/2006/custom-properties" xmlns:vt="http://schemas.openxmlformats.org/officeDocument/2006/docPropsVTypes"/>
</file>