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aplicação web com contas individuais e fila de revisão ordenada por prioridade, sem qualquer decisão automática. Com o modelo do sistema, o protótipo processou cada publicação em cerca de 0,63 segundos num computador sem GPU e, com gravação por sublotes, colocou as primeiras publicações na fila em 36 segundos, o que confirma com condições a hipótese de tempo de processamento; a antecedência de detecção não foi testada.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web application with individual accounts and a review queue ordered by priority, with no automatic decisions. With the system's model, the prototype processed each post in about 0.63 seconds on a computer without a GPU and, with sub-batch writing, placed the first posts in the queue within 36 seconds, which conditionally supports the processing-time hypothesis; early warning was not tested.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a revisão foi feita depois do treino, com o script mascarar_nomes_lote_tema.py: em 24 dos 194 comentários, os nomes de comentadores de programas televisivos, de um activista e de uma outra pessoa foram substituídos por descritores (31 substituições), e mantiveram-se os de figuras políticas e históricas. O modelo foi treinado com o texto anterior a esta revisão. Como o lote só entra no treino, as métricas de teste não são afectadas.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Uvicorn, SQLite (aplicação web sem dependências de compilação)</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(uma por analista e publicação), a amostra de controlo, os utilizadores e as sessões, as definições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lotes e, para o supervisor, as métricas, as contas e a auditoria. As métricas podem ser exportadas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514725"/>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5147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revê a sua fila e a amostra de controlo e consulta o panorama. O supervisor, que também pode rever, importa lotes, sorteia a amostra de controlo, gere as contas, consulta métricas e auditoria, activa a revisão cega e aplica o prazo de conservação. O serviço de inferência classifica em segundo plano cada lote importado. O investigador exporta as revisões e treina novas versões do modelo.</w:t>
      </w:r>
    </w:p>
    <w:p>
      <w:pPr>
        <w:keepNext/>
        <w:spacing w:after="40" w:before="160"/>
        <w:jc w:val="center"/>
      </w:pPr>
      <w:r>
        <w:drawing>
          <wp:inline distT="0" distB="0" distL="0" distR="0">
            <wp:extent cx="5038725" cy="343852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438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As palavras-passe são guardadas com PBKDF2-SHA-256, a conta é bloqueada temporariamente após cinco tentativas falhadas, as sessões são mantidas no servidor e todos os formulários estão protegidos contra pedidos forjados (CSRF).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Na fila, cada publicação aparece com a categoria prevista, as probabilidades das quatro categorias e quatro botões de decisão, que também respondem às teclas 1 a 4. A decisão fica gravada com a posição que o item ocupava na fila. Cada analista tem a sua própria fila: um item revisto por um analista continua na fila dos outros, o que permite medir o acordo entre analistas de forma independente. Duas funções servem directamente a avaliação da Secção 3.9. A revisão cega, activada pelo supervisor, esconde a sugestão do modelo, para que a concordância entre analista e sistema não seja inflacionada pela própria sugestão. A amostra de controlo sorteia, com semente registada, publicações classificadas como Normal, que os analistas revêem sem sugestão; a fracção que considerem ameaça estima o que a fila deixa passar. O ecrã de entrada lembra que as classificações servem apenas para ordenar a revisão, e a fila lembra que a convocatória pacífica é exercício de direitos. A Figura 3.7 mostra a fila.</w:t>
      </w:r>
    </w:p>
    <w:p>
      <w:pPr>
        <w:keepNext/>
        <w:spacing w:after="40" w:before="160"/>
        <w:jc w:val="center"/>
      </w:pPr>
      <w:r>
        <w:drawing>
          <wp:inline distT="0" distB="0" distL="0" distR="0">
            <wp:extent cx="5581650" cy="348615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assinalado no topo da página,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importação, a limpeza e as cópias de segurança.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31 testes automáticos. Cobrem a anonimização (máscaras e pseudónimos), a importação (deduplicação e rejeição de vias não previstas), o fluxo completo de importação, classificação, revisão, métricas e exportação, a gravação por sublotes, o prazo de conservação e as cópias de segurança, o carregamento de um modelo BERT guardado em disco e a interface de programação. Do lado da aplicação web, testam o controlo de acesso por papel, o bloqueio após tentativas falhadas, a protecção CSRF, o escape de texto malicioso, a revisão independente por dois analistas, a revisão cega, a amostra de controlo reprodutível e a actualização automática de bases de dados da versão anterior.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spacing w:after="120" w:before="0" w:line="360"/>
        <w:ind w:firstLine="567"/>
        <w:jc w:val="both"/>
      </w:pPr>
      <w:r>
        <w:rPr>
          <w:rFonts w:ascii="Times New Roman" w:cs="Times New Roman" w:eastAsia="Times New Roman" w:hAnsi="Times New Roman"/>
          <w:sz w:val="24"/>
          <w:szCs w:val="24"/>
        </w:rPr>
        <w:t xml:space="preserve">Depois desta medição, o sistema passou a gravar as classificações por sublotes de 32 publicações (Secção 3.8.3), e a medição foi repetida com a versão actual, no mesmo computador e com o mesmo lote de 198 publicações (três repetições). Com a gravação por sublotes, as primeiras 32 publicações ficaram disponíveis na fila ao fim de 36,1 segundos (mediana), contra cerca de 125 segundos na versão anterior, e este tempo não depende da dimensão do lote. O lote completo demorou 139,7 segundos (0,71 s por publicação). O custo por publicação foi um pouco mais alto do que na primeira medição porque a aplicação web, com o modelo carregado, estava a correr em simultâneo no mesmo computador.</w:t>
      </w:r>
    </w:p>
    <w:p>
      <w:pPr>
        <w:spacing w:after="120" w:before="0" w:line="360"/>
        <w:ind w:firstLine="567"/>
        <w:jc w:val="both"/>
      </w:pPr>
      <w:r>
        <w:rPr>
          <w:rFonts w:ascii="Times New Roman" w:cs="Times New Roman" w:eastAsia="Times New Roman" w:hAnsi="Times New Roman"/>
          <w:sz w:val="24"/>
          <w:szCs w:val="24"/>
        </w:rPr>
        <w:t xml:space="preserve">A gravação por sublotes muda, portanto, a natureza da condição. As primeiras publicações de qualquer lote chegam à fila em menos de 60 segundos; as seguintes chegam de sublote em sublote, a cada 23 segundos aproximadamente. Por estimativa a partir destes tempos, todas as publicações de um lote ficam disponíveis em menos de 60 segundos quando cada recolha traz até cerca de 64 publicações (dois sublotes). Com recolhas frequentes e pequenas, o critério da H2 é cumprido para todas as publicações neste equipamento.</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Na versão medida inicialmente, que gravava o lote inteiro de uma vez, o limiar só era respeitado para lotes até cerca de 94 publicações. Com a gravação por sublotes, as primeiras publicações chegam à fila em 36 segundos independentemente do lote, e todas chegam em menos de 60 segundos quando cada recolha traz até cerca de 64 publicações.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31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recolhas frequentes e pequenas cumprem, assim, o critério.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Itens até à versão 11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lê a configuração do ficheiro uan.env, na pasta do sistema, que se cria a partir de uan.env.exemplo e nunca é guardado no repositório. As duas variáveis essenciais são a pasta do modelo e o segredo dos pseudónimos:</w:t>
      </w:r>
    </w:p>
    <w:p>
      <w:pPr>
        <w:shd w:fill="F4F3EF" w:color="auto" w:val="clear"/>
        <w:spacing w:after="0" w:before="120" w:line="220"/>
        <w:ind w:left="113" w:right="113"/>
      </w:pPr>
      <w:r>
        <w:rPr>
          <w:rFonts w:ascii="Courier New" w:cs="Courier New" w:eastAsia="Courier New" w:hAnsi="Courier New"/>
          <w:sz w:val="17"/>
          <w:szCs w:val="17"/>
        </w:rPr>
        <w:t xml:space="preserve">UAN_MODELO=C:\modelos\bertimbau_uan_v13_s42</w:t>
      </w:r>
    </w:p>
    <w:p>
      <w:pPr>
        <w:shd w:fill="F4F3EF" w:color="auto" w:val="clear"/>
        <w:spacing w:after="200" w:before="0" w:line="220"/>
        <w:ind w:left="113" w:right="113"/>
      </w:pPr>
      <w:r>
        <w:rPr>
          <w:rFonts w:ascii="Courier New" w:cs="Courier New" w:eastAsia="Courier New" w:hAnsi="Courier New"/>
          <w:sz w:val="17"/>
          <w:szCs w:val="17"/>
        </w:rPr>
        <w:t xml:space="preserve">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UAN_CHAVE_API</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interface de programação em /api; vazio desactiva-a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 de inferência e sublote de gravação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UAN_HORAS_SESSAO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Duração da sessão na aplicação web</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UAN_COOKIE_SEGURO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quando o sistema for servido por HTTPS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Arranque e primeira utilização</w:t>
      </w:r>
    </w:p>
    <w:p>
      <w:pPr>
        <w:shd w:fill="F4F3EF" w:color="auto" w:val="clear"/>
        <w:spacing w:after="200" w:before="120" w:line="220"/>
        <w:ind w:left="113" w:right="113"/>
      </w:pPr>
      <w:r>
        <w:rPr>
          <w:rFonts w:ascii="Courier New" w:cs="Courier New" w:eastAsia="Courier New" w:hAnsi="Courier New"/>
          <w:sz w:val="17"/>
          <w:szCs w:val="17"/>
        </w:rPr>
        <w:t xml:space="preserve">python uan.py servir</w:t>
      </w:r>
    </w:p>
    <w:p>
      <w:pPr>
        <w:spacing w:after="120" w:before="0" w:line="360"/>
        <w:ind w:firstLine="567"/>
        <w:jc w:val="both"/>
      </w:pPr>
      <w:r>
        <w:rPr>
          <w:rFonts w:ascii="Times New Roman" w:cs="Times New Roman" w:eastAsia="Times New Roman" w:hAnsi="Times New Roman"/>
          <w:sz w:val="24"/>
          <w:szCs w:val="24"/>
        </w:rPr>
        <w:t xml:space="preserve">Depois de arrancar, abre-se o endereço http://127.0.0.1:8000 no navegador. Na primeira utilização, a aplicação pede a criação da conta do supervisor, que depois cria as contas dos analistas na página Utilizadores. Por omissão, o servidor só aceita ligações do próprio computador; para o abrir à rede interna usa-se a opção --anfitriao 0.0.0.0, com a porta protegida pela firewall e, fora de ensaios, atrás de HTTPS.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Páginas da aplicação web</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41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Página</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Acesso</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Função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Panorama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Contagens por categoria, dia, plataforma e lote, sem vistas por autor</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Fila de revisão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sinalizados por prioridade; decisão com botões ou teclas 1 a 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Amostra de controlo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classificados como Normal, sorteados, sempre sem sugestão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(importar: 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Importação, proveniência e classificação de pendentes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Métricas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Precisão@K, κ analista–sistema e entre analistas, sensibilidade, latência; exportações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Utilizadores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Criação, desactivação e redefinição de palavra-passe</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todas as acções relevantes</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Definições</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Revisão cega, limpeza de conservação e cópias de segurança</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F.3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 (pede a palavra-passe)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cópia de segurança da base de dados</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F.5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fea565917ab8932ec201722a6ade4747fb10b45a.png"/><Relationship Id="rId46" Type="http://schemas.openxmlformats.org/officeDocument/2006/relationships/image" Target="media/a2abfc007b44d0587a36b3ee6a15698d00c884be.png"/><Relationship Id="rId47" Type="http://schemas.openxmlformats.org/officeDocument/2006/relationships/image" Target="media/e382be62152cbc8d01880ff565458c0c88df54af.png"/><Relationship Id="rId48" Type="http://schemas.openxmlformats.org/officeDocument/2006/relationships/image" Target="media/4e203cddf53d766e3dadc2f0a024461a0bd23e2d.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2026-10-12T20:41:33.457Z</dcterms:created>
  <dcterms:modified xsi:type="dcterms:W3CDTF">2026-10-12T20:41:33.457Z</dcterms:modified>
</cp:coreProperties>
</file>

<file path=docProps/custom.xml><?xml version="1.0" encoding="utf-8"?>
<Properties xmlns="http://schemas.openxmlformats.org/officeDocument/2006/custom-properties" xmlns:vt="http://schemas.openxmlformats.org/officeDocument/2006/docPropsVTypes"/>
</file>