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65 p. + 10 p. de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Em Angola, as redes sociais tornaram-se um espaço onde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Combinado com três corpora brasileiros (HateBR, ToLD-BR e Fake.br), num total de 26.859 registos, serviu para comparar SVM, Floresta Aleatória, Bi-LSTM e BERTimbau. No teste (n = 3.987), o BERTimbau obteve F1-macro de 0,807 (0,797 na média de três sementes), entre 14,6 e 17,4 pontos percentuais acima dos restantes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Em conteúdo angolano, porém, o F1-macro desceu para 0,533, contra 0,919 no corpus público, com a maior queda na Desinformação. Desenvolveu-se depois uma aplicação web com anonimização à entrada, segundo os princípios da Lei n.º 22/11, auditoria, fila de revisão ordenada por prioridade e alertas, sem decisões automáticas. Sem GPU, o sistema processou cada publicação em 0,6 a 0,7 segundos e colocou as primeiras na fila em 36 segundos. A antecedência de detecção não foi testada. Os contributos são o corpus angolano anotado, a medida da lacuna de domínio e uma arquitectura de triagem de baixo custo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in a volume no team of analysts can read. This dissertation develops and evaluates a system that orders these posts for analysts without replacing them. A corpus of 2,637 public Angolan posts, mostly YouTube comments, was annotated by three annotators into four categories, with a Fleiss' kappa of 0.718. Combined with three Brazilian corpora (HateBR, ToLD-BR and Fake.br), for a total of 26,859 records, it served to compare SVM, Random Forest, Bi-LSTM and BERTimbau. On the test set (n = 3,987), BERTimbau reached a macro-F1 of 0.807 (0.797 averaged over three seeds), between 14.6 and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Angolan content, however, macro-F1 fell to 0.533, against 0.919 on the public corpus, with the largest drop for disinformation. A web application was then developed with anonymisation at ingestion, following the principles of Angolan Law No. 22/11, auditing, a priority-ordered review queue and alerts, with no automatic decisions. Without a GPU, the system processed each post in 0.6 to 0.7 seconds and placed the first posts in the queue within 36 seconds. Detection lead time (early warning) was not tested. The contributions are the annotated Angolan corpus, the measurement of the domain gap and a low-cost triage architecture with human review.</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Recomendações e trabalho futuro</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5.8 Considerações finais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65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objectivo de antecipação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as limitações e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e a influência das redes no comportamento eleitoral dos jovens em 2022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20" w:before="240"/>
      </w:pPr>
      <w:r>
        <w:rPr>
          <w:rFonts w:ascii="Times New Roman" w:cs="Times New Roman" w:eastAsia="Times New Roman" w:hAnsi="Times New Roman"/>
          <w:b/>
          <w:bCs/>
          <w:sz w:val="24"/>
          <w:szCs w:val="24"/>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um fornecedor e de uma infra-estrutura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esta substituição só se fez depois do treino: o modelo foi treinado com esses nomes, o que constitui um desvio à regra a corrigir num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fiquem abaixo das dimensões originais (cerca de 21 mil no ToLD-BR e 7 mil no HateBR). No Fake.br, as notícias falsas passaram a Desinformação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20" w:before="240"/>
      </w:pPr>
      <w:r>
        <w:rPr>
          <w:rFonts w:ascii="Times New Roman" w:cs="Times New Roman" w:eastAsia="Times New Roman" w:hAnsi="Times New Roman"/>
          <w:b/>
          <w:bCs/>
          <w:sz w:val="24"/>
          <w:szCs w:val="24"/>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20" w:before="240"/>
      </w:pPr>
      <w:r>
        <w:rPr>
          <w:rFonts w:ascii="Times New Roman" w:cs="Times New Roman" w:eastAsia="Times New Roman" w:hAnsi="Times New Roman"/>
          <w:b/>
          <w:bCs/>
          <w:sz w:val="24"/>
          <w:szCs w:val="24"/>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Recalcularam-se todos os valores a partir das previsões guardadas de cada modelo no conjunto de teste e reproduzem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495800" cy="42100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95800" cy="4210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495800" cy="43053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95800" cy="4305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O terceiro padrão, no BERTimbau, é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4143375" cy="22098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22098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considerou-se no piloto apenas a média do F1 das três categorias comuns, que é de aproximadamente 0,53. A diferença mantém-se na mesma ordem de grandeza (cerca de 39 p.p.), pelo que a degradação não se explica pela composição das classes. Esta média é calculada sobre as previsões do problema de quatro classes e não tem intervalo de confiança; uma comparação refeita sem a Mobilização Hostil fica por fazer. Note-se ainda que o κ do modelo no piloto (0,436) fica bem abaixo do acordo entre anotadores (0,718), que funciona como tecto prático.</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Discurso de Ódio (0,802 contra 0,518), cujos exemplos públicos provêm de comentários do Instagram e do Twitter brasileiros.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virá sobretudo dos temas, das referências e da forma de argumentar.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os valores são um limite superior do que o sistema fará em conteúdo angolano. A análise não foi repetida no subconjunto angolano (n = 355), verificação que se recomenda no Capítulo 5.</w:t>
      </w:r>
    </w:p>
    <w:p>
      <w:pPr>
        <w:pStyle w:val="Heading3"/>
        <w:keepNext/>
        <w:spacing w:after="120" w:before="240"/>
      </w:pPr>
      <w:r>
        <w:rPr>
          <w:rFonts w:ascii="Times New Roman" w:cs="Times New Roman" w:eastAsia="Times New Roman" w:hAnsi="Times New Roman"/>
          <w:b/>
          <w:bCs/>
          <w:sz w:val="24"/>
          <w:szCs w:val="24"/>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pela prioridade 1 − P(Normal), como no sistema.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será maior. O escalamento por temperatura corrige-a com um único parâmetro ajustado num conjunto de validação (Guo et al., 2017), que, para ser útil, teria de ser angolano.</w:t>
      </w:r>
    </w:p>
    <w:p>
      <w:pPr>
        <w:pStyle w:val="Heading3"/>
        <w:keepNext/>
        <w:spacing w:after="120" w:before="240"/>
      </w:pPr>
      <w:r>
        <w:rPr>
          <w:rFonts w:ascii="Times New Roman" w:cs="Times New Roman" w:eastAsia="Times New Roman" w:hAnsi="Times New Roman"/>
          <w:b/>
          <w:bCs/>
          <w:sz w:val="24"/>
          <w:szCs w:val="24"/>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a fila por ordem de prioridade.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4324350" cy="251460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24350" cy="2514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5).</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Em grande volume, são muitos os casos que nenhum analista verá se se limitar a rever a fila, e em conteúdo angolano a fracção será previsivelmente maior. É isto que justifica a amostra de controlo (Secção 3.8.5), cujos itens são também os mais úteis para novos ciclos de treino.</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20" w:before="240"/>
      </w:pPr>
      <w:r>
        <w:rPr>
          <w:rFonts w:ascii="Times New Roman" w:cs="Times New Roman" w:eastAsia="Times New Roman" w:hAnsi="Times New Roman"/>
          <w:b/>
          <w:bCs/>
          <w:sz w:val="24"/>
          <w:szCs w:val="24"/>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20" w:before="240"/>
      </w:pPr>
      <w:r>
        <w:rPr>
          <w:rFonts w:ascii="Times New Roman" w:cs="Times New Roman" w:eastAsia="Times New Roman" w:hAnsi="Times New Roman"/>
          <w:b/>
          <w:bCs/>
          <w:sz w:val="24"/>
          <w:szCs w:val="24"/>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A explicação mais plausível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que se mantém quando se exclui a Mobilização Hostil da média e é consistente no Kappa. As reservas referem-se à dimensão do subconjunto do piloto, à impossibilidade de separar os efeitos de língua, plataforma e registo, à diferença de construto entre as etiquetas do piloto e as dos corpora públicos (Secção 3.4) e ao indício de aprendizagem de atalhos de estilo na Desinformação, que os dados não permitem separar daquela diferença.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A falha na Desinformação é compatível com a aprendizagem de atalhos (Geirhos et al., 2020) e a dificuldade em separar mobilização de protesto confirma que o discurso perigoso depende de contexto que o texto não contém (Benesch, 2012). A Secção 4.7 acrescenta que, medido pela ordenação no teste, o BERTimbau poupa trabalho ao analista, concentrando quatro quintos das ameaças no primeiro quarto da fila, mas que a ordem reflecte a confiança do modelo e não a gravidade, e que uma parte das ameaças fica no fundo. A revisão cega e a amostra de controlo são as funções que permitem detectar estes problemas em operação.</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Entre os modelos avaliados, só o BERTimbau serve como classificador principal, e a sua vantagem é estatisticamente sólida. O desempenho global, com F1-macro de cerca de 0,80, foi obtido sobretudo em conteúdo brasileiro e não deve ser apresentado como desempenho do sistema em Angola, onde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é compatível com a ideia de que, neste volume de dados, o factor decisivo é o pré-treino linguístico, embora o desenho não o isole. Os modelos de referência foram treinados com uma única semente.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aponta uma causa provável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Os modelos de referência (SVM, Floresta Aleatória e Bi-LSTM) foram treinados com uma única semente.</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A calibração e a curva de esforço foram medidas num teste dominado por conteúdo brasileiro. Em conteúdo angolano, a sobrestimação da confiança e a fracção de ameaças que ficam entre os itens Normais serão previsivelmente maiores.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no teste, rever um quarto da fila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 e calcular a calibração, a curva de esforço e o F1 por origem (comentários e títulos de notícias) no subconjunto angolano.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 Em paralelo, comparar com um modelo pré-treinado em português europeu, como o Albertina PT-PT (Rodrigues et al., 2023), cuja norma escrita está mais próxima da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própria probabilidade, ou ponderar a prioridade pela gravidade da categoria, para que a Mobilização Hostil não fique atrás das categorias em que o modelo é mais confiante; calibrar as probabilidades por escalamento de temperatura num conjunto de validação angolano; mostrar na fila também os itens previstos como Normais com prioridade acima de um limiar escolhido na validação; e usar as decisões da amostra de controlo como exemplos prioritários de novos ciclos de treino, na lógica da aprendizagem activa (Settles, 2009).</w:t>
      </w:r>
    </w:p>
    <w:p>
      <w:pPr>
        <w:spacing w:after="120" w:before="0" w:line="360"/>
        <w:ind w:firstLine="567"/>
        <w:jc w:val="both"/>
      </w:pPr>
      <w:r>
        <w:rPr>
          <w:rFonts w:ascii="Times New Roman" w:cs="Times New Roman" w:eastAsia="Times New Roman" w:hAnsi="Times New Roman"/>
          <w:b/>
          <w:bCs/>
          <w:sz w:val="24"/>
          <w:szCs w:val="24"/>
        </w:rPr>
        <w:t xml:space="preserve">7.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8.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9.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5.8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Esta segunda conclusão é talvez a mais útil, porque indica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pacing w:after="120" w:before="0" w:line="360"/>
        <w:ind w:firstLine="567"/>
        <w:jc w:val="both"/>
      </w:pPr>
      <w:r>
        <w:rPr>
          <w:rFonts w:ascii="Times New Roman" w:cs="Times New Roman" w:eastAsia="Times New Roman" w:hAnsi="Times New Roman"/>
          <w:sz w:val="24"/>
          <w:szCs w:val="24"/>
        </w:rPr>
        <w:t xml:space="preserve">Há ainda uma lição de engenharia. Várias funções do sistema, como a recuperação do acesso sem serviços externos ou o fim da sessão ao fechar a janela, nasceram de dificuldades encontradas ao instalar e usar o protótipo. Um sistema destinado a uma instituição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16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w:t>
      </w:r>
      <w:r>
        <w:rPr>
          <w:rFonts w:ascii="Times New Roman" w:cs="Times New Roman" w:eastAsia="Times New Roman" w:hAnsi="Times New Roman"/>
          <w:i/>
          <w:iCs/>
          <w:sz w:val="24"/>
          <w:szCs w:val="24"/>
        </w:rPr>
        <w:t xml:space="preserve">. In </w:t>
      </w:r>
      <w:r>
        <w:rPr>
          <w:rFonts w:ascii="Times New Roman" w:cs="Times New Roman" w:eastAsia="Times New Roman" w:hAnsi="Times New Roman"/>
          <w:sz w:val="24"/>
          <w:szCs w:val="24"/>
        </w:rPr>
        <w:t xml:space="preserve">Progress in Artificial Intelligence: EPIA 2023*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registar uma observação nos casos difíceis e não consultar os outros anotadores durante a fase individual.</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5d950866185848d2980b210f993a4b648df4ea71.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6cd90355a90d575798805a8f0cc9404567b41a6d.png"/><Relationship Id="rId49" Type="http://schemas.openxmlformats.org/officeDocument/2006/relationships/image" Target="media/54e2f39674e5da3a7f2e05f33d61775a0cea0edb.png"/><Relationship Id="rId50" Type="http://schemas.openxmlformats.org/officeDocument/2006/relationships/image" Target="media/bc6783565b89f7be4fec30e85afd5949b6d7914a.png"/><Relationship Id="rId51" Type="http://schemas.openxmlformats.org/officeDocument/2006/relationships/image" Target="media/0726c9ab28b87713202ffdf74a24b552f72c5b2e.png"/><Relationship Id="rId52" Type="http://schemas.openxmlformats.org/officeDocument/2006/relationships/image" Target="media/95b3dbf413b63a0eedf5f1ca9f4e92d6d0d189b7.png"/><Relationship Id="rId53" Type="http://schemas.openxmlformats.org/officeDocument/2006/relationships/image" Target="media/115dc5f3dd6cafdadaba5dd89c79eb1d3768a10d.png"/><Relationship Id="rId54" Type="http://schemas.openxmlformats.org/officeDocument/2006/relationships/image" Target="media/3ada2f9ff4d717b97e71d13c161f43fc88490f57.png"/><Relationship Id="rId55" Type="http://schemas.openxmlformats.org/officeDocument/2006/relationships/image" Target="media/979d50e9063cd061f0b415030881973c82428734.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2026-10-27T17:47:17.285Z</dcterms:created>
  <dcterms:modified xsi:type="dcterms:W3CDTF">2026-10-27T17:47:17.285Z</dcterms:modified>
</cp:coreProperties>
</file>

<file path=docProps/custom.xml><?xml version="1.0" encoding="utf-8"?>
<Properties xmlns="http://schemas.openxmlformats.org/officeDocument/2006/custom-properties" xmlns:vt="http://schemas.openxmlformats.org/officeDocument/2006/docPropsVTypes"/>
</file>