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line="276"/>
              <w:jc w:val="center"/>
            </w:pPr>
            <w:r>
              <w:rPr>
                <w:rFonts w:ascii="Arial" w:cs="Arial" w:eastAsia="Arial" w:hAnsi="Arial"/>
                <w:b/>
                <w:bCs/>
                <w:sz w:val="28"/>
                <w:szCs w:val="28"/>
              </w:rPr>
              <w:t xml:space="preserve">UNIVERSIDADE AGOSTINHO NETO</w:t>
            </w:r>
          </w:p>
          <w:p>
            <w:pPr>
              <w:spacing w:after="120" w:line="276"/>
              <w:jc w:val="center"/>
            </w:pPr>
            <w:r>
              <w:rPr>
                <w:rFonts w:ascii="Arial" w:cs="Arial" w:eastAsia="Arial" w:hAnsi="Arial"/>
                <w:b/>
                <w:bCs/>
                <w:sz w:val="28"/>
                <w:szCs w:val="28"/>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line="360"/>
        <w:jc w:val="center"/>
      </w:pPr>
      <w:r>
        <w:rPr>
          <w:rFonts w:ascii="Arial" w:cs="Arial" w:eastAsia="Arial" w:hAnsi="Arial"/>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line="276"/>
        <w:jc w:val="center"/>
      </w:pPr>
      <w:r>
        <w:rPr>
          <w:rFonts w:ascii="Arial" w:cs="Arial" w:eastAsia="Arial" w:hAnsi="Arial"/>
          <w:sz w:val="28"/>
          <w:szCs w:val="28"/>
        </w:rPr>
        <w:t xml:space="preserve">Manuel Gonga Muinga</w:t>
      </w:r>
    </w:p>
    <w:p>
      <w:pPr>
        <w:spacing w:after="480" w:line="276"/>
        <w:jc w:val="center"/>
      </w:pPr>
      <w:r>
        <w:rPr>
          <w:rFonts w:ascii="Arial" w:cs="Arial" w:eastAsia="Arial" w:hAnsi="Arial"/>
          <w:sz w:val="28"/>
          <w:szCs w:val="28"/>
        </w:rPr>
        <w:t xml:space="preserve">Engenheiro Electrotécnico</w:t>
      </w:r>
    </w:p>
    <w:p>
      <w:pPr>
        <w:spacing w:after="60" w:line="276"/>
        <w:jc w:val="center"/>
      </w:pPr>
      <w:r>
        <w:rPr>
          <w:rFonts w:ascii="Arial" w:cs="Arial" w:eastAsia="Arial" w:hAnsi="Arial"/>
          <w:sz w:val="28"/>
          <w:szCs w:val="28"/>
        </w:rPr>
        <w:t xml:space="preserve">Orientador científico: Professor Doutor Joaquim Fortes</w:t>
      </w:r>
    </w:p>
    <w:p>
      <w:pPr>
        <w:spacing w:after="120" w:line="276"/>
        <w:jc w:val="center"/>
      </w:pPr>
      <w:r>
        <w:rPr>
          <w:rFonts w:ascii="Arial" w:cs="Arial" w:eastAsia="Arial" w:hAnsi="Arial"/>
          <w:sz w:val="28"/>
          <w:szCs w:val="28"/>
        </w:rPr>
        <w:t xml:space="preserve">Co-orientador: Professor Doutor Judice Cumbunga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line="276"/>
        <w:jc w:val="center"/>
      </w:pPr>
      <w:r>
        <w:rPr>
          <w:rFonts w:ascii="Arial" w:cs="Arial" w:eastAsia="Arial" w:hAnsi="Arial"/>
          <w:sz w:val="28"/>
          <w:szCs w:val="28"/>
        </w:rPr>
        <w:t xml:space="preserve">Luanda</w:t>
      </w:r>
    </w:p>
    <w:p>
      <w:pPr>
        <w:spacing w:after="120" w:line="276"/>
        <w:jc w:val="center"/>
      </w:pPr>
      <w:r>
        <w:rPr>
          <w:rFonts w:ascii="Arial" w:cs="Arial" w:eastAsia="Arial" w:hAnsi="Arial"/>
          <w:sz w:val="28"/>
          <w:szCs w:val="28"/>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64 p. + 11 p. de glossário 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Permitida a reprodução total ou parcial deste documento, desde que citada a fonte e sem carácter comercial – O autor</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«Todos têm o direito de exprimir, divulgar e compartilhar livremente os seus pensamentos (…)»</w:t>
      </w:r>
    </w:p>
    <w:p>
      <w:pPr>
        <w:ind w:left="4110"/>
        <w:jc w:val="right"/>
      </w:pPr>
      <w:r>
        <w:rPr>
          <w:rFonts w:ascii="Times New Roman" w:cs="Times New Roman" w:eastAsia="Times New Roman" w:hAnsi="Times New Roman"/>
          <w:sz w:val="22"/>
          <w:szCs w:val="22"/>
        </w:rPr>
        <w:t xml:space="preserve">Constituição da República de Angola, artigo 40.º, n.º 1</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o Tenente-General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Nas redes sociais angolanas, a desinformação, o discurso de ódio e os apelos à mobilização hostil circulam ao lado da conversa quotidiana, num volume que nenhuma equipa de analistas consegue ler. Esta dissertação desenvolve e avalia um sistema que ordena essas publicações para o analista, sem o substituir. Construiu-se um corpus de 2.637 publicações públicas angolanas, sobretudo comentários do YouTube, anotadas por três anotadores em quatro categorias, com κ de Fleiss de 0,718 (n = 2.443). Juntando-lhe três corpora brasileiros (HateBR, ToLD-BR e Fake.br; 26.859 registos no total), compararam-se SVM, Floresta Aleatória, Bi-LSTM e BERTimbau. No teste (n = 3.987), o BERTimbau obteve F1-macro de 0,807 (0,797 na média de três sementes), 14,6 a 17,4 pontos percentuais acima dos restantes (McNemar com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superou a Floresta Aleatória. Em conteúdo angolano, porém, o F1-macro desceu para 0,533, contra 0,919 no corpus público, com a maior queda na Desinformação. Desenvolveu-se depois uma aplicação web com pseudonimização dos autores à entrada, segundo a Lei n.º 22/11, auditoria, fila de revisão por prioridade e alertas, sem decisões automáticas. Sem placa gráfica dedicada, processou cada publicação em 0,6 a 0,7 segundos; as primeiras chegaram à fila em 36 segundos e, em recolhas até 64 publicações, todas em menos de 60. A utilidade da fila com analistas e a antecedência de detecção não foram testadas. Os contributos são o corpus anotado, a medida da lacuna de domínio e uma arquitectura de triagem de baixo custo.</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On Angolan social media, disinformation, hate speech and calls for hostile mobilisation circulate alongside everyday conversation, in a volume no team of analysts can read. This dissertation develops and evaluates a system that ranks these posts for analysts without replacing them. A corpus of 2,637 public Angolan posts, mostly YouTube comments, was annotated by three annotators into four categories (Fleiss' kappa 0.718, n = 2,443). Combined with three Brazilian corpora (HateBR, ToLD-BR and Fake.br; 26,859 records in total), it was used to compare SVM, Random Forest, Bi-LSTM and BERTimbau. On the test set (n = 3,987), BERTimbau reached a macro-F1 of 0.807 (0.797 averaged over three seeds), 14.6 to 17.4 percentage points above the others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outperform the Random Forest. On Angolan content, however, macro-F1 fell to 0.533, compared with 0.919 on the public corpora, with the largest drop in disinformation. A web application was then developed with author pseudonymisation at ingestion, in line with Angolan Law No. 22/11, audit logging, a priority-ranked review queue and alerts, and no automated decisions. Without a GPU, it processed each post in 0.6–0.7 seconds; the first posts reached the queue within 36 seconds and, for batches of up to 64 posts, all posts within 60 seconds. Neither the usefulness of the queue for analysts nor the detection lead time was tested. The main contributions are the annotated corpus, the measurement of the domain gap and a low-cost triage architecture.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central de processamento (</w:t>
            </w:r>
            <w:r>
              <w:rPr>
                <w:rFonts w:ascii="Times New Roman" w:cs="Times New Roman" w:eastAsia="Times New Roman" w:hAnsi="Times New Roman"/>
                <w:b w:val="false"/>
                <w:bCs w:val="false"/>
                <w:i/>
                <w:iCs/>
                <w:sz w:val="20"/>
                <w:szCs w:val="20"/>
              </w:rPr>
              <w:t xml:space="preserve">Central Processing Unit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HTTPS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Protocolo seguro de transferência de hipertexto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 e às perguntas de investigação</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Considerações finais</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6 – RECOMENDAÇÕES</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G1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F.4 Verificação dos requisitos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(base do piloto e lote de léxico,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F.2 – Requisitos e testes automáticos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48</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matéria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telemóvel é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pp. 37–38). A influência das redes no comportamento eleitoral dos jovens nas eleições de 2022 foi também discutida, num estudo qualitativo de base documental (Sambaca &amp; Pessoa, 2026). Em ambos, o que começou na Internet acabou por ter efeitos fora dela.</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um filtro automático tende a produzir mais falsos alarmes do que acertos quando aquilo que procura é muito raro, salvo se for muito específico,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As hipóteses da Secção 1.3 respondem às três primeiras (H1 à P1, H4 à P2 e H2 à P3); a P4 é respondida pelo desenho do sistema e pelo quadro de uso responsável (OE4 e OE5). A H3 decorre do OE4 (avaliação operacional do protótipo) e não de uma pergunta específica.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Formularam-se as hipóteses de modo a serem refutáveis e 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00" w:before="200"/>
      </w:pPr>
      <w:r>
        <w:rPr>
          <w:rFonts w:ascii="Times New Roman" w:cs="Times New Roman" w:eastAsia="Times New Roman" w:hAnsi="Times New Roman"/>
          <w:b/>
          <w:bCs/>
          <w:sz w:val="26"/>
          <w:szCs w:val="26"/>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00" w:before="200"/>
      </w:pPr>
      <w:r>
        <w:rPr>
          <w:rFonts w:ascii="Times New Roman" w:cs="Times New Roman" w:eastAsia="Times New Roman" w:hAnsi="Times New Roman"/>
          <w:b/>
          <w:bCs/>
          <w:sz w:val="26"/>
          <w:szCs w:val="26"/>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publicações públicas angolanas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o conteúdo angolano e 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testável; H3 com protocolo esboçado, não aplicado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(PLN).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pode reduzir o tempo que o analista gasta com conteúdo irrelevante, sem lhe retirar a decisão, hipótese que esta dissertação avalia apenas em laboratório.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se recolheram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modelos para o português, avaliação e enquadramento legal. O Capítulo 3 descreve a metodologia: a construção do corpus, a anotação, os modelos, o protocolo de avaliação e a arquitectura do sistema. O Capítulo 4 apresenta e discute os resultados e testa as hipóteses. O Capítulo 5 sintetiza as conclusões e as limitações, e o Capítulo 6 apresenta as recomendações. Os apêndices reúnem excertos de código, o guia de anotação, os dados de acordo entre anotadores, a declaração dos anotadores, uma amostra anotada do corpus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00" w:before="200"/>
      </w:pPr>
      <w:r>
        <w:rPr>
          <w:rFonts w:ascii="Times New Roman" w:cs="Times New Roman" w:eastAsia="Times New Roman" w:hAnsi="Times New Roman"/>
          <w:b/>
          <w:bCs/>
          <w:sz w:val="26"/>
          <w:szCs w:val="26"/>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w:t>
      </w:r>
    </w:p>
    <w:p>
      <w:pPr>
        <w:pStyle w:val="Heading3"/>
        <w:keepNext/>
        <w:spacing w:after="100" w:before="200"/>
      </w:pPr>
      <w:r>
        <w:rPr>
          <w:rFonts w:ascii="Times New Roman" w:cs="Times New Roman" w:eastAsia="Times New Roman" w:hAnsi="Times New Roman"/>
          <w:b/>
          <w:bCs/>
          <w:sz w:val="26"/>
          <w:szCs w:val="26"/>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A concentração urbana dos utilizadores, em especial em Luanda, significa que o que se discute nas redes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A campanha «2022 Vais Gostar», que começou nas redes sociais e resultou em manifestações simultâneas em várias províncias (Hassane, 2021, pp. 37–38), e a influência das redes na participação política dos jovens em 2022, discutida num estudo qualitativo (Sambaca &amp; Pessoa, 2026), mostram o peso destes espaços na vida política angolana. Acresce que a desinformação ganhou novas ferramentas: conteúdos sintéticos criados com inteligência artificial (</w:t>
      </w:r>
      <w:r>
        <w:rPr>
          <w:rFonts w:ascii="Times New Roman" w:cs="Times New Roman" w:eastAsia="Times New Roman" w:hAnsi="Times New Roman"/>
          <w:i/>
          <w:iCs/>
          <w:sz w:val="24"/>
          <w:szCs w:val="24"/>
        </w:rPr>
        <w:t xml:space="preserve">deepfakes</w:t>
      </w:r>
      <w:r>
        <w:rPr>
          <w:rFonts w:ascii="Times New Roman" w:cs="Times New Roman" w:eastAsia="Times New Roman" w:hAnsi="Times New Roman"/>
          <w:sz w:val="24"/>
          <w:szCs w:val="24"/>
        </w:rPr>
        <w:t xml:space="preserve">), contas automatizadas e campanhas coordenadas são hoje usados para influenciar eleições e dividir sociedades (Cintra, 2025, p. 101). Marcon (2019) descreve, numa perspectiva sociológica, como os jovens angolanos se mobilizam através das redes sociais digitais, com formas de protesto cada vez mais estéticas (imagem, som, escrita e performance), o que reforça a necessidade de distinguir com cuidado o protesto legítimo da mobilização hostil.</w:t>
      </w:r>
    </w:p>
    <w:p>
      <w:pPr>
        <w:pStyle w:val="Heading3"/>
        <w:keepNext/>
        <w:spacing w:after="100" w:before="200"/>
      </w:pPr>
      <w:r>
        <w:rPr>
          <w:rFonts w:ascii="Times New Roman" w:cs="Times New Roman" w:eastAsia="Times New Roman" w:hAnsi="Times New Roman"/>
          <w:b/>
          <w:bCs/>
          <w:sz w:val="26"/>
          <w:szCs w:val="26"/>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integridade do motivo, proporcionalidade e necessidade dos métodos, autoridade competente sujeita a supervisão, perspectiva razoável de sucesso e recurso a meios encobertos só quando as fontes abertas não bastam.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Ireton &amp; Posetti, 2018).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Criar tensões entre grupos religiosos, raciais ou étnicos é um objectivo habitual de campanhas violentas em sociedades multiculturais (Elias, 2019, p. 85); num país com dezenas de grupos etnolinguísticos, como Angola, o discurso que opõe grupos entre si tem, por isso, relevância securitária própria.</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ameaçam a ordem pública; a categoria é uma construção desta dissertação, e a mobilização a partir das redes está documentada no caso angolano (Hassane, 2021). O uso das redes sociais para recrutar, incitar e mobilizar para a violência está documentado no caso do terrorismo (Sette Câmara, 2016, pp. 202–209; Elias, 2019).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e legal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planeamento de missões e de investigação sobre dados heterogéneos, desenvolvida com agências militares, de informações e policiais (Palantir Technologies, 2024). O seu custo e, sobretudo, a dependência de um fornecedor e de uma infra-estrutura externos levantam problemas de soberania sobre dados sensíveis. O EU DisinfoLab publica investigações de redes de desinformação baseadas em fontes abertas, com o método documentado (EU DisinfoLab, 2020); são transferíveis em termos de método, mas foram pensadas para o contexto europeu. A INTERPOL acompanha as ciberameaças no continente africano através de relatórios periódicos (INTERPOL, 2023), sem uma componente automática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O protótipo desta dissertação trabalha ao nível da publicação individual e não implementa esta dimensão relacional, que é uma extensão natural discutida no Capítulo 6.</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00" w:before="200"/>
      </w:pPr>
      <w:r>
        <w:rPr>
          <w:rFonts w:ascii="Times New Roman" w:cs="Times New Roman" w:eastAsia="Times New Roman" w:hAnsi="Times New Roman"/>
          <w:b/>
          <w:bCs/>
          <w:sz w:val="26"/>
          <w:szCs w:val="26"/>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00" w:before="200"/>
      </w:pPr>
      <w:r>
        <w:rPr>
          <w:rFonts w:ascii="Times New Roman" w:cs="Times New Roman" w:eastAsia="Times New Roman" w:hAnsi="Times New Roman"/>
          <w:b/>
          <w:bCs/>
          <w:sz w:val="26"/>
          <w:szCs w:val="26"/>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serve como segunda referência clássica.</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dá, assim, uma indicação sobre o peso do pré-treino, embora não o isole, porque os dois modelos diferem também na tokenização, no comprimento de entrada e na capacidade.</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que a categoria Normal. Reportam-se também o F1 ponderado, a exactidão, a área sob a curva ROC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demasiado confiantes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e que a generalização depende do modelo, das categorias usadas no treino e no teste e da proporção de vocabulário fora do domínio.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um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destina-se 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Inclui também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A mesma lei trata como sensíveis os dados que revelam, entre outros, convicções políticas, e sujeita o seu tratamento a requisitos acrescidos e ao controlo da autoridade de protecção de dados. Publicações sobre política podem revelar essas convicções mesmo depois de pseudonimizadas, o que torna indispensável um parecer jurídico antes de qualquer uso institucional; a própria investigação tratou estes dados sem esse parecer, apenas com pseudonimização e minimização.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de inteligência artificial respeitem a proporcionalidade, a transparência, a auditabilidade e a supervisão humana, e que se previnam enviesamentos e resultados discriminatórios.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do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se conduziu a investigação: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(H2) ou se esboça (H3) neste capítulo. A componente de engenharia (o protótipo) é avaliada por testes automáticos (Secção 4.8.4).</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que não são reversíveis sem um segredo guardado fora do código,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cinco nomes próprios cuja natureza pública ou privada não foi determinada mantêm-se no corpus v13 e entraram nos dois treinos, incluindo o do modelo do protótipo (Secção 4.5.1); é um desvio à regra, a corrigir antes de um novo treino. Como o lote só entra no treino, as métricas de teste não são afectadas. Em rigor jurídico, a substituição do autor por um pseudónimo é uma pseudonimização: impede a identificação directa, mas permite ligar publicações do mesmo autor. Nesta dissertação, «anonimização à entrada» designa o conjunto destas operações.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6.</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veio do YouTube, plataforma em que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Mantiveram-se os casos duvidosos, o que, quando muito, torna conservadora a estimativa da lacuna de domínio.</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Base do piloto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são os únicos dados angolanos usados na validação e no teste. Os 374 itens manuais (180 títulos de notícias e 194 publicações copiadas) não resultam de sorteio, mas de escolha do investigador, o que deve ser tido em conta na leitura dos resultados do piloto.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angolanos,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entraram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Três anotadores independentes, dois angolanos e um com formação em processamento de linguagem natural, fizeram a anotação segundo o Guia de Anotação Padronizado (Apêndice B). Cada anotador classificou cada publicação numa das quatro categorias, sem acesso às classificações dos outros nem às previsões de qualquer modelo. Nos casos de desacordo, adoptou-se como regra de agregação a etiqueta mais grave escolhida por qualquer anotador (Mobilização Hostil &gt; Discurso de Ódio &gt; Desinformação &gt; Normal), por analogia com a regra de desempate que o guia dá a cada anotador (Apêndice B.5), e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Mediu-se o acordo com o Kappa de Fleiss para os três anotadores e com o Kappa de Cohen para cada par. Nos 2.443 itens da base do piloto e do lote orientado por léxico, obteve-se κ de Fleiss de 0,718 (IC 95%: 0,695–0,741), κ de Cohen médio de 0,719 e concordância observada de 81,3%, o que corresponde a acordo substancial na escala de Landis e Koch (1977); só na base do piloto (n = 2.352), o κ de Fleiss é de 0,717. No lote temático de vídeos, o κ de Fleiss foi de 0,818 (IC 95%: 0,763–0,869), calculado sobre os 284 comentários anotados, antes da exclusão dos 90 não angolanos;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híbrido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Ao todo, 297 itens (11,3% do corpus) são ameaças pelo voto de um único anotador. A regra favorece a sensibilidade, como convém à triagem, mas introduz ruído nas etiquetas, que contribui previsivelmente para os erros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5.4).</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 A amostra do Apêndice E mostra, além disso, que os anotadores aplicaram por vezes critérios mais amplos do que os do guia, mesmo em itens unânimes: a Mobilização Hostil incluiu apelos genéricos sem linguagem violenta, o Discurso de Ódio incluiu insultos a partidos e a Desinformação incluiu alegações não verificadas. As categorias do piloto não são, por isso, inteiramente equivalentes às dos corpora públicos, e esta diferença de construto é uma explicação concorrente da lacuna medida na Secção 4.6.</w:t>
      </w:r>
    </w:p>
    <w:p>
      <w:pPr>
        <w:spacing w:after="120" w:before="0" w:line="360"/>
        <w:ind w:firstLine="567"/>
        <w:jc w:val="both"/>
      </w:pPr>
      <w:r>
        <w:rPr>
          <w:rFonts w:ascii="Times New Roman" w:cs="Times New Roman" w:eastAsia="Times New Roman" w:hAnsi="Times New Roman"/>
          <w:sz w:val="24"/>
          <w:szCs w:val="24"/>
        </w:rPr>
        <w:t xml:space="preserve">Avaliou-se nos próprios dados anotados o léxico de candidatos usado para priorizar a anotação.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serviu de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Mapearam-se as etiquetas originais de cada corpus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Discurso de Ódio, os tweets sem qualquer marcação a Normal, e os tweets tóxicos apenas por obscenidade ou insulto sem alvo identitário foram excluídos. No HateBR, os comentários marcados como linguagem ofensiva passaram a Discurso de Ódio e os restantes a Normal, porque a versão usada fornece apenas essa etiqueta binária. Dos três corpora usou-se a partição de treino disponibilizada no Hugging Face, o que, com as exclusões do ToLD-BR e a remoção de duplicados, explica que os totais da Tabela 4.1 fiquem abaixo das dimensões originais (cerca de 21 mil no ToLD-BR e 7 mil no HateBR). No Fake.br, as notícias falsas passaram a Desinformação e as verdadeiras a Normal. Depois da junção (27.097 registos),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ficaram, por construção, no treino. Usou-se o conjunto de teste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Discurso de Ódio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00" w:before="200"/>
      </w:pPr>
      <w:r>
        <w:rPr>
          <w:rFonts w:ascii="Times New Roman" w:cs="Times New Roman" w:eastAsia="Times New Roman" w:hAnsi="Times New Roman"/>
          <w:b/>
          <w:bCs/>
          <w:sz w:val="26"/>
          <w:szCs w:val="26"/>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00" w:before="200"/>
      </w:pPr>
      <w:r>
        <w:rPr>
          <w:rFonts w:ascii="Times New Roman" w:cs="Times New Roman" w:eastAsia="Times New Roman" w:hAnsi="Times New Roman"/>
          <w:b/>
          <w:bCs/>
          <w:sz w:val="26"/>
          <w:szCs w:val="26"/>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Tratou-se o desequilíbrio entre classes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Treinou-se o BERTimbau três vezes, com as sementes 42, 43 e 44, para medir a variabilidade devida à inicialização. A execução com a semente 42 ficou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 Os modelos de referência foram também treinados com as sementes 43 e 44, num caderno que reconstrói a divisão e confirma, pela impressão digital das etiquetas, que o conjunto de teste é o mesmo.</w:t>
      </w:r>
    </w:p>
    <w:p>
      <w:pPr>
        <w:pStyle w:val="Heading3"/>
        <w:keepNext/>
        <w:spacing w:after="100" w:before="200"/>
      </w:pPr>
      <w:r>
        <w:rPr>
          <w:rFonts w:ascii="Times New Roman" w:cs="Times New Roman" w:eastAsia="Times New Roman" w:hAnsi="Times New Roman"/>
          <w:b/>
          <w:bCs/>
          <w:sz w:val="26"/>
          <w:szCs w:val="26"/>
        </w:rPr>
        <w:t xml:space="preserve">3.6.3 Ambiente de desenvolvimento</w:t>
      </w:r>
    </w:p>
    <w:p>
      <w:pPr>
        <w:spacing w:after="120" w:before="0" w:line="360"/>
        <w:ind w:firstLine="567"/>
        <w:jc w:val="both"/>
      </w:pPr>
      <w:r>
        <w:rPr>
          <w:rFonts w:ascii="Times New Roman" w:cs="Times New Roman" w:eastAsia="Times New Roman" w:hAnsi="Times New Roman"/>
          <w:sz w:val="24"/>
          <w:szCs w:val="24"/>
        </w:rPr>
        <w:t xml:space="preserve">A Tabela 3.3 resume as ferramentas usadas em cada fase do trabalho.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Definiu-se a avaliação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00" w:before="200"/>
      </w:pPr>
      <w:r>
        <w:rPr>
          <w:rFonts w:ascii="Times New Roman" w:cs="Times New Roman" w:eastAsia="Times New Roman" w:hAnsi="Times New Roman"/>
          <w:b/>
          <w:bCs/>
          <w:sz w:val="26"/>
          <w:szCs w:val="26"/>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Desenhou-se a arquitectura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00" w:before="200"/>
      </w:pPr>
      <w:r>
        <w:rPr>
          <w:rFonts w:ascii="Times New Roman" w:cs="Times New Roman" w:eastAsia="Times New Roman" w:hAnsi="Times New Roman"/>
          <w:b/>
          <w:bCs/>
          <w:sz w:val="26"/>
          <w:szCs w:val="26"/>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00" w:before="200"/>
      </w:pPr>
      <w:r>
        <w:rPr>
          <w:rFonts w:ascii="Times New Roman" w:cs="Times New Roman" w:eastAsia="Times New Roman" w:hAnsi="Times New Roman"/>
          <w:b/>
          <w:bCs/>
          <w:sz w:val="26"/>
          <w:szCs w:val="26"/>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495800" cy="353377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95800"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Recolhe também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(código de autenticação de mensagens baseado em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poderia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Como a fila mostra por omissão apenas os itens cuja categoria mais provável não é Normal, esta ordenação só actua sobre esses itens; os restantes só chegam ao analista pela amostra de controlo (Secção 4.7.2).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3962400" cy="34290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962400" cy="34290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00" w:before="200"/>
      </w:pPr>
      <w:r>
        <w:rPr>
          <w:rFonts w:ascii="Times New Roman" w:cs="Times New Roman" w:eastAsia="Times New Roman" w:hAnsi="Times New Roman"/>
          <w:b/>
          <w:bCs/>
          <w:sz w:val="26"/>
          <w:szCs w:val="26"/>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3600450"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600450"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324350" cy="308610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24350"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00" w:before="200"/>
      </w:pPr>
      <w:r>
        <w:rPr>
          <w:rFonts w:ascii="Times New Roman" w:cs="Times New Roman" w:eastAsia="Times New Roman" w:hAnsi="Times New Roman"/>
          <w:b/>
          <w:bCs/>
          <w:sz w:val="26"/>
          <w:szCs w:val="26"/>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1.300 publicações fictícias de dezasseis semanas, compostas a partir de temas, lugares e registos variados, com casos de fronteira e episódios que dão forma ao mapa e aos alertas, e com sugestões de um classificador simulado que erra como o modelo real. Neste modo,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00" w:before="200"/>
      </w:pPr>
      <w:r>
        <w:rPr>
          <w:rFonts w:ascii="Times New Roman" w:cs="Times New Roman" w:eastAsia="Times New Roman" w:hAnsi="Times New Roman"/>
          <w:b/>
          <w:bCs/>
          <w:sz w:val="26"/>
          <w:szCs w:val="26"/>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00" w:before="200"/>
      </w:pPr>
      <w:r>
        <w:rPr>
          <w:rFonts w:ascii="Times New Roman" w:cs="Times New Roman" w:eastAsia="Times New Roman" w:hAnsi="Times New Roman"/>
          <w:b/>
          <w:bCs/>
          <w:sz w:val="26"/>
          <w:szCs w:val="26"/>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240.000 iterações; cinco tentativas falhadas bloqueiam a conta durante cinco minutos. A sessão fica no servidor, num cookie sem validade própria, e cada formulário leva um código anti-falsificação. Ao fechar o separador ou a janela,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Outro comando mostra a configuração que o sistema está a ler,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Cobrem também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 Um padrão conta como detectado quando o sistema emite um alerta de tendência (Secção 3.8.3) para a província ou para o país, calculado sobre decisões de analistas sem conhecimento dos eventos ou, em alternativa declarada, sobre as previsões do modelo; a antecedência é o intervalo entre esse alerta e a data do evento, e a H3 confirma-se se a mediana for de pelo menos 48 horas. Este protocolo fica esboçado, mas não foi aplicado.</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coincidem com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Nas tabelas, por economia de espaço, as categorias Discurso de Ódio e Mobilização Hostil aparecem abreviadas como Ódio e Mobilização.</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Desinformação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Ódio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Mobilização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Mobilização Hostil existe apenas no piloto angolano. O piloto inclui 2.288 itens da base do piloto (comentários do YouTube amostrados aleatoriamente e itens de recolha manual)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Desinformação 580; Discurso de Ódio 517; Mobilização Hostil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Obtiveram-se os intervalos de confiança a 95%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O BERTimbau é também o primeiro no Kappa e na AUC-ROC; entre os restantes, a ordem varia com a métrica, e as diferenças são pequenas.</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Mobilização Hostil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143375" cy="3867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3867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Discurso de Ódio, onde as AUC dos restantes modelos descem para 0,837–0,882. Na Desinformação, todos os modelos ultrapassam 0,96, um resultado cuja interpretação é revista na Secção 4.6. Na Mobilização Hostil,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Ódio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Desinformação, 0,778 no Discurso de Ódio e 0,549 na Mobilização Hostil. A vantagem sobre os modelos de referência é maior no Discurso de Ódio (0,778 contra 0,455–0,585), categoria em que a Floresta Aleatória classifica como Normal a maioria dos itens de ódio, e na Mobilização Hostil (0,549 contra 0,326–0,368). Na Desinformação,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Mobilização Hostil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143375" cy="39624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43375" cy="39624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Dois padrões de erro são comuns aos quatro modelos. O primeiro, e mais frequente, é a confusão entre Normal e Discurso de Ódio: no BERTimbau, 100 itens Normais foram classificados como Discurso de Ódio e 104 itens de Discurso de Ódio como Normais, o que corresponde a 20% dos itens de ódio. Trata-se de uma fronteira conceptualmente difícil, que envolve ódio implícito, ironia e insulto sem alvo identitário. O segundo padrão é a classificação de Mobilização Hostil como Normal (12 dos 47 itens no BERTimbau; 16 no Bi-LSTM, 24 na Floresta Aleatória e 7 no SVM), que reproduz a fronteira, assumida no Guia de Anotação, entre convocatória legítima e mobilização hostil. Um terceiro é próprio do BERTimbau: a raridade das confusões que envolvem a Desinformação,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Mobilização Hostil significa que o modelo deixa escapar aproximadamente quatro em cada dez itens desta categoria e que cerca de metade das suas previsões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00" w:before="200"/>
      </w:pPr>
      <w:r>
        <w:rPr>
          <w:rFonts w:ascii="Times New Roman" w:cs="Times New Roman" w:eastAsia="Times New Roman" w:hAnsi="Times New Roman"/>
          <w:b/>
          <w:bCs/>
          <w:sz w:val="26"/>
          <w:szCs w:val="26"/>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repetiu-se o ajuste fino com três sementes aleatórias (42, 43 e 44) e testaram-se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050"/>
        <w:gridCol w:w="1150"/>
        <w:gridCol w:w="1850"/>
        <w:gridCol w:w="950"/>
        <w:gridCol w:w="1020"/>
      </w:tblGrid>
      <w:tr>
        <w:trPr>
          <w:cantSplit/>
          <w:tblHeader/>
        </w:trPr>
        <w:tc>
          <w:tcPr>
            <w:tcW w:type="dxa" w:w="2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(validação)</w:t>
            </w:r>
          </w:p>
        </w:tc>
        <w:tc>
          <w:tcPr>
            <w:tcW w:type="dxa" w:w="1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(teste)</w:t>
            </w:r>
          </w:p>
        </w:tc>
      </w:tr>
      <w:tr>
        <w:trPr>
          <w:cantSplit/>
          <w:tblHeader w:val="false"/>
        </w:trPr>
        <w:tc>
          <w:tcPr>
            <w:tcW w:type="dxa" w:w="22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0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18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9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0,721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0,181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0,824</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0,506</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0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0,219</w:t>
            </w:r>
          </w:p>
        </w:tc>
        <w:tc>
          <w:tcPr>
            <w:tcW w:type="dxa" w:w="1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do teste de McNemar, sem correcção para comparações múltiplas; a decisão usa apenas os da validação.</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Mobilização Hostil, cujo F1 oscila entre 0,472 e 0,549. As sementes 42 e 44 diferem significativamente nos itens que acertam (p = 0,002), apesar de F1-macro e F1 de Mobilização Hostil semelhantes: modelos com desempenho agregado equivalente tomam decisões individuais diferentes, o que reforça a necessidade de revisão humana item a item.</w:t>
      </w:r>
    </w:p>
    <w:p>
      <w:pPr>
        <w:spacing w:after="120" w:before="0" w:line="360"/>
        <w:ind w:firstLine="567"/>
        <w:jc w:val="both"/>
      </w:pPr>
      <w:r>
        <w:rPr>
          <w:rFonts w:ascii="Times New Roman" w:cs="Times New Roman" w:eastAsia="Times New Roman" w:hAnsi="Times New Roman"/>
          <w:sz w:val="24"/>
          <w:szCs w:val="24"/>
        </w:rPr>
        <w:t xml:space="preserve">Os modelos de referência foram também treinados com as sementes 43 e 44; a semente 42 reproduz os valores da Tabela 4.2. Na média das três sementes, o F1-macro é de 0,652 ± 0,009 na Floresta Aleatória, 0,645 ± 0,016 no Bi-LSTM e 0,631 ± 0,001 no SVM. O BERTimbau supera cada um deles em todas as sementes, por 14,6 a 17,8 p.p. (McNemar, p &lt; 10</w:t>
      </w:r>
      <w:r>
        <w:rPr>
          <w:rFonts w:ascii="Times New Roman" w:cs="Times New Roman" w:eastAsia="Times New Roman" w:hAnsi="Times New Roman"/>
          <w:sz w:val="24"/>
          <w:szCs w:val="24"/>
          <w:vertAlign w:val="superscript"/>
        </w:rPr>
        <w:t xml:space="preserve">-48</w:t>
      </w:r>
      <w:r>
        <w:rPr>
          <w:rFonts w:ascii="Times New Roman" w:cs="Times New Roman" w:eastAsia="Times New Roman" w:hAnsi="Times New Roman"/>
          <w:sz w:val="24"/>
          <w:szCs w:val="24"/>
        </w:rPr>
        <w:t xml:space="preserve">). O Bi-LSTM, o mais instável, nunca supera a Floresta Aleatória: a diferença é de +0,2 p.p. na semente 42 e de −0,9 e −1,3 p.p. nas sementes 43 e 44, nestas duas a favor da Floresta (p &lt;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Na validação, onde o critério da Secção 3.7 manda decidir, nenhuma variante nem nenhuma semente se distingue da referência (McNemar, p ≥ 0,18), pelo que se manteve a configuração de referência. A variante com pesos suavizados obteve o melhor F1-macro de validação (0,826), sem diferença significativa nos acertos, e no teste ficou em 0,799, com F1 de Mobilização Hostil inferior (0,518). Os valores de teste apresentam-se apenas para informação: também aí nenhuma das três variantes se distingue da referência (p &gt; 0,40). A ablação do lote de vídeos temáticos reduziu o F1-macro de 0,807 para 0,799 e o F1 de Mobilização Hostil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 Este novo treino usou o mesmo corpus v13, incluindo os nomes próprios do lote temático referidos na Secção 3.2; a sua substituição fica pendente.</w:t>
      </w:r>
    </w:p>
    <w:p>
      <w:pPr>
        <w:pStyle w:val="Heading3"/>
        <w:keepNext/>
        <w:spacing w:after="100" w:before="200"/>
      </w:pPr>
      <w:r>
        <w:rPr>
          <w:rFonts w:ascii="Times New Roman" w:cs="Times New Roman" w:eastAsia="Times New Roman" w:hAnsi="Times New Roman"/>
          <w:b/>
          <w:bCs/>
          <w:sz w:val="26"/>
          <w:szCs w:val="26"/>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pontuações de cada modelo (log-probabilidades nos modelos probabilísticos; pontuações de decisão no SVM), escolhidos no conjunto de validação. Como os vieses são escolhidos nos mesmos dados em que se medem, o ganho na validação é optimista; por isso, estimou-se o ganho esperado por validação cruzada dentro do conjunto de validação e confirmou-se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Leitura</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não confirmado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marginal</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 Por protocolo (Secção 3.7), os resultados principais são reportados sem ajuste; o teste serve apenas para verificar a estimativa da validação.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e de forma marginal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Ódio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Mobilização Hostil, pelo que o seu F1-macro é calculado sobre três classes.</w:t>
      </w:r>
    </w:p>
    <w:p>
      <w:pPr>
        <w:keepNext/>
        <w:spacing w:after="40" w:before="160"/>
        <w:jc w:val="center"/>
      </w:pPr>
      <w:r>
        <w:drawing>
          <wp:inline distT="0" distB="0" distL="0" distR="0">
            <wp:extent cx="3781425" cy="20193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781425" cy="2019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Mobilização Hostil, a categoria mais difícil, existe apenas no piloto, e o F1-macro do corpus público é calculado sobre três classes. Para reduzir este efeito, excluíram-se do piloto os itens de Mobilização Hostil (n = 308) e calculou-se o F1-macro nas três categorias comuns, contando como erro qualquer previsão de Mobilização: 0,545 (IC 95% 0,474–0,613), contra 0,919 no corpus público. A diferença, de 37,3 p.p.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de 30,6 a 44,7), mantém-se na mesma ordem de grandeza, pelo que a degradação não se explica pela composição das classes. Note-se ainda que o κ do modelo no piloto (0,436) fica bem abaixo do acordo entre anotadores (0,718), que dá uma ordem de grandeza da dificuldade da tarefa.</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Desinformação: F1 de 0,992 no corpus público e de 0,235 no piloto. Nos corpora públicos, toda a Desinformação provém do Fake.br, constituído por notícias completas, enquanto o piloto contém sobretudo comentários curtos. A combinação de um desempenho quase perfeito no domínio de origem com um desempenho muito baixo no domínio angolano é compatível com a hipótese de que o modelo aprendeu sobretudo marcas de estilo e de formato do Fake.br (registo jornalístico, extensão, estrutura) e não propriedades da desinformação enquanto tal. O Discurso de Ódio também desce (0,802 contra 0,518). Por isso, o F1 global de 0,807 e, em particular, o F1 de 0,947 na Desinformação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Há, contudo, explicações concorrentes que este desenho não separa: (i) as etiquetas do piloto aplicam por vezes critérios mais amplos do que os do guia, alargados pela regra da categoria mais grave (Secção 3.4); (ii) no Discurso de Ódio, os exemplos públicos do HateBR são linguagem ofensiva, noção mais ampla do que a do guia; e (iii) 297 etiquetas do piloto resultam de um só voto. Uma parte da lacuna pode, por isso, ser de medida e não de modelo. Os itens escolhidos pelo investigador, com acordo baixo entre anotadores (κ de 0,42 e 0,28), não a explicam: nos 289 comentários do YouTube sorteados, o F1-macro é de 0,535 (IC 95% 0,457–0,603; κ de 0,443), praticamente o do subconjunto completo.</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poderá vir sobretudo dos temas, das referências e da forma de argumentar, hipótese que não foi testada. A H4 confirma, por isso, uma lacuna de domínio substancial, sem a atribuir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e 28,7% dos itens são ameaças, proporção muito superior à de um fluxo real, a precisão nos primeiros K e a precisão média são um limite superior do que o sistema fará em conteúdo angolano; a fracção da fila a rever depende da prevalência e não é comparável. No fim da secção, a análise repete-se no subconjunto angolano (n = 355).</w:t>
      </w:r>
    </w:p>
    <w:p>
      <w:pPr>
        <w:pStyle w:val="Heading3"/>
        <w:keepNext/>
        <w:spacing w:after="100" w:before="200"/>
      </w:pPr>
      <w:r>
        <w:rPr>
          <w:rFonts w:ascii="Times New Roman" w:cs="Times New Roman" w:eastAsia="Times New Roman" w:hAnsi="Times New Roman"/>
          <w:b/>
          <w:bCs/>
          <w:sz w:val="26"/>
          <w:szCs w:val="26"/>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calculado com 15 intervalos)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de todos os itens do teste pela prioridade 1 − P(Normal). A fila do sistema mostra por omissão apenas os 1.147 itens não classificados como Normais (28,8%), que contêm 88,2% das ameaças; acima desse valor, as restantes só se encontram pela amostra de controlo.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em excesso: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é maior, como se mostra no fim desta secção. O escalamento por temperatura corrige-a com um único parâmetro ajustado num conjunto de validação (Guo et al., 2017), que, para ser útil, teria de ser angolano.</w:t>
      </w:r>
    </w:p>
    <w:p>
      <w:pPr>
        <w:pStyle w:val="Heading3"/>
        <w:keepNext/>
        <w:spacing w:after="100" w:before="200"/>
      </w:pPr>
      <w:r>
        <w:rPr>
          <w:rFonts w:ascii="Times New Roman" w:cs="Times New Roman" w:eastAsia="Times New Roman" w:hAnsi="Times New Roman"/>
          <w:b/>
          <w:bCs/>
          <w:sz w:val="26"/>
          <w:szCs w:val="26"/>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por ordem de prioridade, uma ordenação de todo o conjunto de teste, e não apenas a fila por omissão.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3962400" cy="230505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962400" cy="2305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Desinformação, e a mediana da posição dos 47 itens de Mobilização Hostil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Mobilização Hostil contêm 25 dos 47 casos reais, e os primeiros 100 contêm 32. Filas por categoria, ou uma prioridade ponderada pela gravidade, são uma melhoria natural do sistema (Capítulo 6).</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Discurso de Ódio, 19 de Desinformação e 12 de Mobilização Hostil); mesmo entre os 1.885 com P(Normal) de pelo menos 0,99 há 10 ameaças (0,5%; IC 95% de Wilson de 0,3% a 1,0%). É isto que justifica a amostra de controlo (Secção 3.8.5), cujos itens são também os mais úteis para novos ciclos de treino.</w:t>
      </w:r>
    </w:p>
    <w:p>
      <w:pPr>
        <w:spacing w:after="120" w:before="0" w:line="360"/>
        <w:ind w:firstLine="567"/>
        <w:jc w:val="both"/>
      </w:pPr>
      <w:r>
        <w:rPr>
          <w:rFonts w:ascii="Times New Roman" w:cs="Times New Roman" w:eastAsia="Times New Roman" w:hAnsi="Times New Roman"/>
          <w:sz w:val="24"/>
          <w:szCs w:val="24"/>
        </w:rPr>
        <w:t xml:space="preserve">No subconjunto angolano (n = 355, com 34,4% de ameaças), o quadro é pior. A confiança média (0,85) excede a exactidão (0,69) em 15 pontos percentuais e o ECE sobe para 0,160. Para encontrar 80% das ameaças é preciso rever 49% da ordenação (o ideal seria 27,5%), e 95% exigem 77%. Das 122 ameaças, 35 (28,7%) foram classificadas como Normais e não chegariam à fila por omissão, contra 11,8% no teste completo. Em conteúdo angolano, a amostra de controlo é ainda mais necessária.</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00" w:before="200"/>
      </w:pPr>
      <w:r>
        <w:rPr>
          <w:rFonts w:ascii="Times New Roman" w:cs="Times New Roman" w:eastAsia="Times New Roman" w:hAnsi="Times New Roman"/>
          <w:b/>
          <w:bCs/>
          <w:sz w:val="26"/>
          <w:szCs w:val="26"/>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 base do piloto, numa base de dados temporária nova em cada repetição; 2 comentários foram descartados na importação por terem menos de três caracteres, restando 198. Repetiu-se o ensaio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260"/>
        <w:gridCol w:w="2260"/>
      </w:tblGrid>
      <w:tr>
        <w:trPr>
          <w:cantSplit/>
          <w:tblHeader/>
        </w:trPr>
        <w:tc>
          <w:tcPr>
            <w:tcW w:type="dxa" w:w="3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no fim do lote</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por sublotes de 32</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139,7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Primeiras publicações na fila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 (todas no fim)</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Intervalo entre sublotes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20 s</w:t>
            </w:r>
          </w:p>
        </w:tc>
      </w:tr>
      <w:tr>
        <w:trPr>
          <w:cantSplit/>
          <w:tblHeader w:val="false"/>
        </w:trPr>
        <w:tc>
          <w:tcPr>
            <w:tcW w:type="dxa" w:w="3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 todas as publicações em menos de 60 s</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64</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repetiu-se a medição no mesmo computador e com o mesmo lote (três repetições). As primeiras 32 publicações ficaram disponíveis em 36,1 segundos (mediana), e cada sublote seguinte chegou cerca de 20 segundos depois; o lote completo demorou 139,7 segundos (0,71 s por publicação, um pouco mais porque a aplicação web corria em simultâneo, pelo que as duas medições não decorreram nas mesmas condições; Tabela 4.9, coluna da direita). Com recolhas de até cerca de 64 publicações, todas ficam disponíveis em menos de 60 segundos. A medição cobre o processamento interno, não o intervalo entre a publicação na plataforma e a recolha, que, com recolhas periódicas de 15 minutos ou mais, é a parcela dominante do atraso. A H2 confirma-se, por isso, apenas para recolhas até cerca de 64 publicações.</w:t>
      </w:r>
    </w:p>
    <w:p>
      <w:pPr>
        <w:pStyle w:val="Heading3"/>
        <w:keepNext/>
        <w:spacing w:after="100" w:before="200"/>
      </w:pPr>
      <w:r>
        <w:rPr>
          <w:rFonts w:ascii="Times New Roman" w:cs="Times New Roman" w:eastAsia="Times New Roman" w:hAnsi="Times New Roman"/>
          <w:b/>
          <w:bCs/>
          <w:sz w:val="26"/>
          <w:szCs w:val="26"/>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00" w:before="200"/>
      </w:pPr>
      <w:r>
        <w:rPr>
          <w:rFonts w:ascii="Times New Roman" w:cs="Times New Roman" w:eastAsia="Times New Roman" w:hAnsi="Times New Roman"/>
          <w:b/>
          <w:bCs/>
          <w:sz w:val="26"/>
          <w:szCs w:val="26"/>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Mobilização Hostil,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00" w:before="200"/>
      </w:pPr>
      <w:r>
        <w:rPr>
          <w:rFonts w:ascii="Times New Roman" w:cs="Times New Roman" w:eastAsia="Times New Roman" w:hAnsi="Times New Roman"/>
          <w:b/>
          <w:bCs/>
          <w:sz w:val="26"/>
          <w:szCs w:val="26"/>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Os 121 testes automáticos descritos na Secção 3.9 verificaram o funcionamento do sistema 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(a Tabela F.2 liga cada requisito aos seus testes),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 não cumprido para lotes maiores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na semente de referência, fica abaixo dela nas sementes 43 e 44 (Secção 4.5.1), e a sua vantagem sobre o SVM (2,8 p.p.) fica abaixo do limiar de 5 p.p., com intervalo que inclui o zero. Uma explicação plausível, que o desenho não isola,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para lotes maiores, o critério não é cumprido. A medição cobre o processamento interno, não o intervalo até à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Exige um corpus datado em torno de eventos documentados, que não existe nesta fase.</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mantém-se quando se exclui a Mobilização Hostil da média (37,3 p.p., IC 95% de 30,6 a 44,7) e é consistente no Kappa. As reservas, discutidas na Secção 4.6, são a dimensão do piloto e as explicações concorrentes que o desenho não separa (língua, plataforma, registo, construto das etiquetas e atalhos de estilo). Se o efeito de estilo se confirmar, corpora de notícias completas não servirão para treinar detectores de desinformação em comentários, e o desempenho nesta categoria terá de ser medido no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concordam com a literatura. A vantagem do modelo pré-treinado é o padrão habitual (Souza et al., 2020), e a queda fora do domínio de treino é coerente com a fraca generalização entre conjuntos de dados descrita por Fortuna, Soler-Company e Wanner (2021): em nove corpora em inglês, a transferência variava com o modelo, era pior no discurso de ódio do que em categorias mais amplas, como linguagem tóxica ou ofensiva, e dependia da proporção de vocabulário fora do domínio. A falha na Desinformação é compatível com a aprendizagem de atalhos (Geirhos et al., 2020) e a dificuldade em separar mobilização de protesto confirma que o discurso perigoso depende de contexto que o texto não contém (Benesch, 2012).</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Só o BERTimbau serve como classificador principal, com vantagem estatisticamente sólida. O F1-macro global, de cerca de 0,80, foi obtido sobretudo em conteúdo brasileiro; em Angola, a estimativa disponível ronda 0,53. Por último, a Mobilização Hostil,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juridicamente responsável, a triagem de publicações ameaçadoras nas redes sociais angolanas. Os resultados sugerem que pode ajudar a ordenar o trabalho do analista, mas não o substitui nem deve substituí-lo; essa utilidade foi medida num teste dominado por conteúdo brasileiro e, em conteúdo angolano e com analistas, está por demonstrar.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publicações públicas angolanas anotadas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duas explicações concorrentes para a queda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 (causas por separar)</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(actualizados a cada 20 s) e por e-mail,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 a 0,7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 como proposta; conformidade dependente de parecer jurídico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 e às perguntas de investigação</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e, repetido o treino com três sementes, nunca a superou, o que é compatível com a ideia de que, neste volume de dados, o factor decisivo é o pré-treino linguístico, embora o desenho não o isole.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no lote medido (198 itens, Intel N100), as primeiras publicações chegaram à fila em 36 segundos, e todas chegam em menos de 60 segundos quando cada recolha traz até cerca de 64 publicações; para lotes maiores, o critério não é cumprido, e o intervalo entre a publicação e a recolha não foi medido.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com reservas. Em conteúdo angolano, o F1-macro do BERTimbau desce 38,6 pontos percentuais, e a diferença mantém-se quando se exclui a Mobilização Hostil da média. A queda na Desinformação, de 0,99 para 0,24, é compatível com a aprendizagem do estilo das notícias do Fake.br, mas também com a diferença de construto entre as etiquetas do piloto e as do Fake.br; os dados não permitem separar as duas explicações.</w:t>
      </w:r>
    </w:p>
    <w:p>
      <w:pPr>
        <w:spacing w:after="120" w:before="0" w:line="360"/>
        <w:ind w:firstLine="567"/>
        <w:jc w:val="both"/>
      </w:pPr>
      <w:r>
        <w:rPr>
          <w:rFonts w:ascii="Times New Roman" w:cs="Times New Roman" w:eastAsia="Times New Roman" w:hAnsi="Times New Roman"/>
          <w:sz w:val="24"/>
          <w:szCs w:val="24"/>
        </w:rPr>
        <w:t xml:space="preserve">As perguntas de investigação têm, assim, as seguintes respostas. À </w:t>
      </w: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o BERTimbau é o melhor dos quatro algoritmos, com vantagem estatisticamente sólida no teste global; a comparação não foi repetida apenas em conteúdo angolano. À </w:t>
      </w: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perdem-se cerca de 39 pontos percentuais de F1-macro, sobretudo na Desinformação e no Discurso de Ódio. À </w:t>
      </w: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sim, para o processamento interno de recolhas pequenas; o intervalo até à recolha não foi medido. À </w:t>
      </w: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 revisão humana obrigatória, sem perfis de pessoas, com alertas apenas por decisão humana e com as obrigações institucionais da Secção 5.6; a conformidade jurídica depende de um parecer ainda por obter.</w:t>
      </w:r>
    </w:p>
    <w:p>
      <w:pPr>
        <w:spacing w:after="120" w:before="0" w:line="360"/>
        <w:ind w:firstLine="567"/>
        <w:jc w:val="both"/>
      </w:pPr>
      <w:r>
        <w:rPr>
          <w:rFonts w:ascii="Times New Roman" w:cs="Times New Roman" w:eastAsia="Times New Roman" w:hAnsi="Times New Roman"/>
          <w:sz w:val="24"/>
          <w:szCs w:val="24"/>
        </w:rPr>
        <w:t xml:space="preserve">Quanto à pergunta de partida, em conteúdo angolano o classificador não é fiável como decisor (F1-macro de cerca de 0,53) e só pode apoiar a triagem como ordenador sujeito a revisão humana. A utilidade dessa ordenação para analistas reais e a responsabilidade jurídica do uso estão ainda por demonstrar.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publicações angolanas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duas explicações concorrentes, que os dados não permitem separar: a aprendizagem do estilo jornalístico do Fake.br e a diferença de construto entre as etiquetas.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com controlo estatístico.</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Validade das etiquetas do piloto.</w:t>
      </w:r>
      <w:r>
        <w:rPr>
          <w:rFonts w:ascii="Times New Roman" w:cs="Times New Roman" w:eastAsia="Times New Roman" w:hAnsi="Times New Roman"/>
          <w:sz w:val="24"/>
          <w:szCs w:val="24"/>
        </w:rPr>
        <w:t xml:space="preserve"> Os anotadores aplicaram, por vezes, critérios mais amplos do que os do guia, e a regra de agregação pela categoria mais grave alarga ainda mais as categorias de ameaça. As etiquetas do piloto não são, por isso, inteiramente equivalentes às dos corpora públicos, o que pode explicar parte da lacuna medida na H4. Parte dos itens do teste angolano foi escolhida pelo investigador, e esses itens têm acordo baixo (κ de 0,42 nos 104 itens do piloto original e de 0,28 nos 180 títulos de notícias); sem eles, nos 289 comentários sorteados, o F1-macro é praticamente o mesmo (0,535).</w:t>
      </w:r>
    </w:p>
    <w:p>
      <w:pPr>
        <w:spacing w:after="120" w:before="0" w:line="360"/>
        <w:ind w:firstLine="567"/>
        <w:jc w:val="both"/>
      </w:pPr>
      <w:r>
        <w:rPr>
          <w:rFonts w:ascii="Times New Roman" w:cs="Times New Roman" w:eastAsia="Times New Roman" w:hAnsi="Times New Roman"/>
          <w:b/>
          <w:bCs/>
          <w:sz w:val="24"/>
          <w:szCs w:val="24"/>
        </w:rPr>
        <w:t xml:space="preserve">Variabilidade do treino.</w:t>
      </w:r>
      <w:r>
        <w:rPr>
          <w:rFonts w:ascii="Times New Roman" w:cs="Times New Roman" w:eastAsia="Times New Roman" w:hAnsi="Times New Roman"/>
          <w:sz w:val="24"/>
          <w:szCs w:val="24"/>
        </w:rPr>
        <w:t xml:space="preserve"> Cada modelo foi treinado com apenas três sementes, e o Bi-LSTM varia 3,2 p.p. entre elas (0,629 a 0,660).</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 Como a única fonte pública de desinformação são notícias completas, o valor elevado desta categoria não indica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Mediu-se o tempo de processamento num único computador, com um único lote; a medição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No subconjunto angolano, a calibração é pior (ECE de 0,160), encontrar 80% das ameaças exige rever 49% da ordenação, e 28,7% das ameaças ficam entre os itens classificados como Normais.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os falsos positivos à custa de alguma cobertura. No corpus anotado, só 3,6% das publicações mencionam uma província (65 delas Luanda); o mapa e os alertas provinciais cobrem, por isso, uma fracção pequena do fluxo e exigirão volumes de recolha elevados.</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numa ordenação de todo o conjunto de teste, rever um quarto bastou para encontrar quatro em cada cinco ameaças, mas este valor depende da proporção de ameaças (28,7% no teste) e não se transpõe para um fluxo real, onde essa proporção é muito menor. Só a avaliação com analistas permitirá dimensionar as equipas. O sistema dirige a atenção para temas e lugares e não tem vistas por autor, embora o pseudónimo permita, a quem aceda à base de dados, agrupar publicações do mesmo autor; as obrigações institucionais da Secção 5.6 existem para impedir esse uso.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supera com folga os métodos clássicos, mas também que esse desempenho não se transfere intacto para o conteúdo angolano. A segunda conclusão é a mais útil, porque indica onde investir: em dados angolanos anotados, em avaliação no domínio real e em sistemas que tratem a classificação como uma sugestão e não como um veredicto. O protótipo segue esse princípio e fica disponível como base para as fases seguintes. Várias das suas funções nasceram, aliás, de dificuldades encontradas ao instalá-lo e usá-lo: um sistema institucional só fica completo quando é usado por quem o vai operar.</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6 – RECOMENDAÇÕES</w:t>
      </w:r>
    </w:p>
    <w:p>
      <w:pPr>
        <w:spacing w:after="120" w:before="0" w:line="360"/>
        <w:ind w:firstLine="567"/>
        <w:jc w:val="both"/>
      </w:pPr>
      <w:r>
        <w:rPr>
          <w:rFonts w:ascii="Times New Roman" w:cs="Times New Roman" w:eastAsia="Times New Roman" w:hAnsi="Times New Roman"/>
          <w:sz w:val="24"/>
          <w:szCs w:val="24"/>
        </w:rPr>
        <w:t xml:space="preserve">Seguem por ordem de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na amostra de controlo, funções que o sistema já tem.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dos termos das plataformas e dos limites constitucionais à monitorização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os exemplos anotados, sobretudo de Mobilização Hostil e de Desinformação em comentários, diversificar as plataformas por vias oficiais, marcar no guia de anotação o calão e as línguas nacionais, para medir o seu efeito, e tornar o desempenho em conteúdo angolano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Usar exemplos de desinformação em publicações curtas, de preferência angolanas, para que o modelo não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dezenas de milhares de textos (Gururangan et al., 2020), e compará-lo com o Albertina PT-PT (Rodrigues et al., 2023), mais próximo da norma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probabilidade, ou ponderar a prioridade pela gravidade, para que a Mobilização Hostil não fique atrás das categorias em que o modelo é mais confiante; calibrar as probabilidades por escalamento de temperatura num conjunto de validação angolano; e usar as decisões da amostra de controlo como exemplos prioritários de novo treino (Settles, 2009).</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verificar se os alertas de tendência os antecedem e acrescentar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com instituições da CPLP e contribuir para um enquadramento nacional do uso de inteligência artificial em segurança, com transparência, auditoria e supervisão humana.</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Indian chronicles: Deep dive into a 15-year operation targeting the EU and UN to serve Indian interests</w:t>
      </w:r>
      <w:r>
        <w:rPr>
          <w:rFonts w:ascii="Times New Roman" w:cs="Times New Roman" w:eastAsia="Times New Roman" w:hAnsi="Times New Roman"/>
          <w:sz w:val="24"/>
          <w:szCs w:val="24"/>
        </w:rPr>
        <w:t xml:space="preserve">. https://www.disinfo.eu/publications/indian-chronicles-deep-dive-into-a-15-year-operation-targeting-the-eu-and-un-to-serve-indian-interests/</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 Que lição para juventude moçambicana (2020-2021)?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INTERPOL. (2023). </w:t>
      </w:r>
      <w:r>
        <w:rPr>
          <w:rFonts w:ascii="Times New Roman" w:cs="Times New Roman" w:eastAsia="Times New Roman" w:hAnsi="Times New Roman"/>
          <w:i/>
          <w:iCs/>
          <w:sz w:val="24"/>
          <w:szCs w:val="24"/>
        </w:rPr>
        <w:t xml:space="preserve">African cyberthreat assessment report 2023: Cyberthreat trends</w:t>
      </w:r>
      <w:r>
        <w:rPr>
          <w:rFonts w:ascii="Times New Roman" w:cs="Times New Roman" w:eastAsia="Times New Roman" w:hAnsi="Times New Roman"/>
          <w:sz w:val="24"/>
          <w:szCs w:val="24"/>
        </w:rPr>
        <w:t xml:space="preserve">. INTERPOL Africa Cybercrime Operations Desk.</w:t>
      </w:r>
    </w:p>
    <w:p>
      <w:pPr>
        <w:spacing w:after="160" w:line="240"/>
        <w:ind w:left="567" w:hanging="567"/>
        <w:jc w:val="left"/>
      </w:pPr>
      <w:r>
        <w:rPr>
          <w:rFonts w:ascii="Times New Roman" w:cs="Times New Roman" w:eastAsia="Times New Roman" w:hAnsi="Times New Roman"/>
          <w:sz w:val="24"/>
          <w:szCs w:val="24"/>
        </w:rPr>
        <w:t xml:space="preserve">Ireton, C., &amp; Posetti, J. (Eds.). (2018).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191–208. https://doi.org/10.14393/RCS-v9n2-2019-56679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(2024). </w:t>
      </w:r>
      <w:r>
        <w:rPr>
          <w:rFonts w:ascii="Times New Roman" w:cs="Times New Roman" w:eastAsia="Times New Roman" w:hAnsi="Times New Roman"/>
          <w:i/>
          <w:iCs/>
          <w:sz w:val="24"/>
          <w:szCs w:val="24"/>
        </w:rPr>
        <w:t xml:space="preserve">Palantir Platform: Gotham – Service definition document</w:t>
      </w:r>
      <w:r>
        <w:rPr>
          <w:rFonts w:ascii="Times New Roman" w:cs="Times New Roman" w:eastAsia="Times New Roman" w:hAnsi="Times New Roman"/>
          <w:sz w:val="24"/>
          <w:szCs w:val="24"/>
        </w:rPr>
        <w:t xml:space="preserve"> (G-Cloud 14). Digital Marketplace, UK Government. https://www.applytosupply.digitalmarketplace.service.gov.uk/g-cloud-14/services/801146272055049</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 In </w:t>
      </w:r>
      <w:r>
        <w:rPr>
          <w:rFonts w:ascii="Times New Roman" w:cs="Times New Roman" w:eastAsia="Times New Roman" w:hAnsi="Times New Roman"/>
          <w:i/>
          <w:iCs/>
          <w:sz w:val="24"/>
          <w:szCs w:val="24"/>
        </w:rPr>
        <w:t xml:space="preserve">Progress in Artificial Intelligence: EPIA 2023</w:t>
      </w:r>
      <w:r>
        <w:rPr>
          <w:rFonts w:ascii="Times New Roman" w:cs="Times New Roman" w:eastAsia="Times New Roman" w:hAnsi="Times New Roman"/>
          <w:sz w:val="24"/>
          <w:szCs w:val="24"/>
        </w:rPr>
        <w:t xml:space="preserve">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Eleições em Angola: A influência das redes sociais no comportamento eleitoral dos jovens angolanos em 2022. </w:t>
      </w:r>
      <w:r>
        <w:rPr>
          <w:rFonts w:ascii="Times New Roman" w:cs="Times New Roman" w:eastAsia="Times New Roman" w:hAnsi="Times New Roman"/>
          <w:i/>
          <w:iCs/>
          <w:sz w:val="24"/>
          <w:szCs w:val="24"/>
        </w:rPr>
        <w:t xml:space="preserve">Revista Tópicos, 4</w:t>
      </w:r>
      <w:r>
        <w:rPr>
          <w:rFonts w:ascii="Times New Roman" w:cs="Times New Roman" w:eastAsia="Times New Roman" w:hAnsi="Times New Roman"/>
          <w:sz w:val="24"/>
          <w:szCs w:val="24"/>
        </w:rPr>
        <w:t xml:space="preserve">(29).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1</w:t>
      </w:r>
      <w:r>
        <w:rPr>
          <w:rFonts w:ascii="Times New Roman" w:cs="Times New Roman" w:eastAsia="Times New Roman" w:hAnsi="Times New Roman"/>
          <w:sz w:val="24"/>
          <w:szCs w:val="24"/>
        </w:rPr>
        <w:t xml:space="preserve">(21),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segundo a referência disponível (etiquetas de teste ou decisão do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pacing w:after="120" w:before="0" w:line="360"/>
        <w:ind w:firstLine="567"/>
        <w:jc w:val="both"/>
      </w:pPr>
      <w:r>
        <w:rPr>
          <w:rFonts w:ascii="Times New Roman" w:cs="Times New Roman" w:eastAsia="Times New Roman" w:hAnsi="Times New Roman"/>
          <w:sz w:val="24"/>
          <w:szCs w:val="24"/>
        </w:rPr>
        <w:t xml:space="preserve">No comentário do código, «irreversível» significa irreversível sem o segredo; em termos jurídicos, trata-se de pseudonimização (Secção 3.2).</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00" w:before="200"/>
      </w:pPr>
      <w:r>
        <w:rPr>
          <w:rFonts w:ascii="Times New Roman" w:cs="Times New Roman" w:eastAsia="Times New Roman" w:hAnsi="Times New Roman"/>
          <w:b/>
          <w:bCs/>
          <w:sz w:val="26"/>
          <w:szCs w:val="26"/>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00" w:before="200"/>
      </w:pPr>
      <w:r>
        <w:rPr>
          <w:rFonts w:ascii="Times New Roman" w:cs="Times New Roman" w:eastAsia="Times New Roman" w:hAnsi="Times New Roman"/>
          <w:b/>
          <w:bCs/>
          <w:sz w:val="26"/>
          <w:szCs w:val="26"/>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00" w:before="200"/>
      </w:pPr>
      <w:r>
        <w:rPr>
          <w:rFonts w:ascii="Times New Roman" w:cs="Times New Roman" w:eastAsia="Times New Roman" w:hAnsi="Times New Roman"/>
          <w:b/>
          <w:bCs/>
          <w:sz w:val="26"/>
          <w:szCs w:val="26"/>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00" w:before="200"/>
      </w:pPr>
      <w:r>
        <w:rPr>
          <w:rFonts w:ascii="Times New Roman" w:cs="Times New Roman" w:eastAsia="Times New Roman" w:hAnsi="Times New Roman"/>
          <w:b/>
          <w:bCs/>
          <w:sz w:val="26"/>
          <w:szCs w:val="26"/>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pacífico e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e não consultar os outros anotadores durante a fase individual.</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spacing w:after="120" w:before="0" w:line="360"/>
        <w:ind w:firstLine="567"/>
        <w:jc w:val="both"/>
      </w:pPr>
      <w:r>
        <w:rPr>
          <w:rFonts w:ascii="Times New Roman" w:cs="Times New Roman" w:eastAsia="Times New Roman" w:hAnsi="Times New Roman"/>
          <w:sz w:val="24"/>
          <w:szCs w:val="24"/>
        </w:rPr>
        <w:t xml:space="preserve">A Tabela C.1 apresenta a escala de Landis e Koch (1977) usada para interpretar os valores de κ.</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spacing w:after="120" w:before="0" w:line="360"/>
        <w:ind w:firstLine="567"/>
        <w:jc w:val="both"/>
      </w:pPr>
      <w:r>
        <w:rPr>
          <w:rFonts w:ascii="Times New Roman" w:cs="Times New Roman" w:eastAsia="Times New Roman" w:hAnsi="Times New Roman"/>
          <w:sz w:val="24"/>
          <w:szCs w:val="24"/>
        </w:rPr>
        <w:t xml:space="preserve">A Tabela C.2 resume o acordo entre os três anotadores na base do piloto e no lote temático.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calculado antes da exclusão dos 90 comentários não angolanos, não é comparável com o da base do piloto,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 base do piloto e no lote orientado por léxico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(base do piloto e lote de léxico,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w:t>
      </w:r>
      <w:r>
        <w:rPr>
          <w:rFonts w:ascii="Times New Roman" w:cs="Times New Roman" w:eastAsia="Times New Roman" w:hAnsi="Times New Roman"/>
          <w:i/>
          <w:iCs/>
          <w:sz w:val="18"/>
          <w:szCs w:val="18"/>
        </w:rPr>
        <w:t xml:space="preserve">script</w:t>
      </w:r>
      <w:r>
        <w:rPr>
          <w:rFonts w:ascii="Times New Roman" w:cs="Times New Roman" w:eastAsia="Times New Roman" w:hAnsi="Times New Roman"/>
          <w:sz w:val="18"/>
          <w:szCs w:val="18"/>
        </w:rPr>
        <w:t xml:space="preserve">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spacing w:after="120" w:before="0" w:line="360"/>
        <w:ind w:firstLine="567"/>
        <w:jc w:val="both"/>
      </w:pPr>
      <w:r>
        <w:rPr>
          <w:rFonts w:ascii="Times New Roman" w:cs="Times New Roman" w:eastAsia="Times New Roman" w:hAnsi="Times New Roman"/>
          <w:sz w:val="24"/>
          <w:szCs w:val="24"/>
        </w:rPr>
        <w:t xml:space="preserve">A Tabela C.4 apresenta a distribuição das etiquetas finais do corpus angolano.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Publicações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 base do piloto e os dois lotes enriquecidos, antes da deduplicação feita na harmonização do corpus.</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sorteados da base do piloto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spacing w:after="120" w:before="0" w:line="360"/>
        <w:ind w:firstLine="567"/>
        <w:jc w:val="both"/>
      </w:pPr>
      <w:r>
        <w:rPr>
          <w:rFonts w:ascii="Times New Roman" w:cs="Times New Roman" w:eastAsia="Times New Roman" w:hAnsi="Times New Roman"/>
          <w:sz w:val="24"/>
          <w:szCs w:val="24"/>
        </w:rPr>
        <w:t xml:space="preserve">A Tabela E.1 apresenta a amostra.</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e o uso, por vezes, de critérios mais amplos do que os do guia (Secção 3.4):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spacing w:after="120" w:before="0" w:line="360"/>
        <w:ind w:firstLine="567"/>
        <w:jc w:val="both"/>
      </w:pPr>
      <w:r>
        <w:rPr>
          <w:rFonts w:ascii="Times New Roman" w:cs="Times New Roman" w:eastAsia="Times New Roman" w:hAnsi="Times New Roman"/>
          <w:sz w:val="24"/>
          <w:szCs w:val="24"/>
        </w:rPr>
        <w:t xml:space="preserve">A Tabela F.1 resume os comandos do sistema.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p>
      <w:pPr>
        <w:pStyle w:val="Heading2"/>
        <w:keepNext/>
        <w:keepLines/>
        <w:spacing w:after="160" w:before="360" w:line="300"/>
      </w:pPr>
      <w:r>
        <w:rPr>
          <w:rFonts w:ascii="Times New Roman" w:cs="Times New Roman" w:eastAsia="Times New Roman" w:hAnsi="Times New Roman"/>
          <w:b/>
          <w:bCs/>
          <w:sz w:val="26"/>
          <w:szCs w:val="26"/>
        </w:rPr>
        <w:t xml:space="preserve">F.4 Verificação dos requisitos</w:t>
      </w:r>
    </w:p>
    <w:p>
      <w:pPr>
        <w:spacing w:after="120" w:before="0" w:line="360"/>
        <w:ind w:firstLine="567"/>
        <w:jc w:val="both"/>
      </w:pPr>
      <w:r>
        <w:rPr>
          <w:rFonts w:ascii="Times New Roman" w:cs="Times New Roman" w:eastAsia="Times New Roman" w:hAnsi="Times New Roman"/>
          <w:sz w:val="24"/>
          <w:szCs w:val="24"/>
        </w:rPr>
        <w:t xml:space="preserve">A Tabela F.2 liga cada requisito da Tabela 3.4 aos testes automáticos que o verificam; cada teste conta no requisito principal, e o do fluxo completo cobre também RF2 a RF6. Os 121 testes passam na versão final.</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Requisitos e testes automáticos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800"/>
        <w:gridCol w:w="63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Req.</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7"/>
                <w:szCs w:val="17"/>
              </w:rPr>
              <w:t xml:space="preserve">Testes</w:t>
            </w:r>
          </w:p>
        </w:tc>
        <w:tc>
          <w:tcPr>
            <w:tcW w:type="dxa" w:w="6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O que verificam (exemplos)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30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Detecção do tipo de fonte; robots.txt; páginas com conta excluídas; YouTube e RSS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RF2–RF3</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4</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Importação com proveniência; máscaras; pseudónimo dependente do segredo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5</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Migração de bases antigas; prazo de conservação; cópia de segurança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7</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Carregamento do modelo; gravação por sublotes; API protegida por chave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RF6</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5</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Prioridade 1 − P(Normal); decisão e anulação na fila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RF7–RF8</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2</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Fluxo completo (importar, classificar, rever, métricas, exportar); κ</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11</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Palavras-passe, bloqueio, papéis, CSRF, fim da sessão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6</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Revisão cega; amostra de controlo reprodutível; dois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Alertas só de decisões humanas; tendência normalizada; e-mail sem texto nem autor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RF12</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11</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18 províncias; topónimos ambíguos; taxa com mínimo de casos; séries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RF13–RF14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3</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com tendências; fluxo alerta–mapa–relatório; Sobre o modelo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4</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Modo de demonstração; dados fictícios reprodutíveis; troca de modo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RF16</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6</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Recolha periódica; fontes inactivas; quota; chave nunca exposta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RF17</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Código de uso único; pedido ao supervisor; reposição local</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Outros</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7</w:t>
            </w:r>
          </w:p>
        </w:tc>
        <w:tc>
          <w:tcPr>
            <w:tcW w:type="dxa" w:w="6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Configuração sem segredos à vista; aspecto; visita guiada</w:t>
            </w:r>
          </w:p>
        </w:tc>
      </w:tr>
    </w:tbl>
    <w:sectPr>
      <w:headerReference w:type="default" r:id="rId39"/>
      <w:footerReference w:type="default" r:id="rId40"/>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G</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6 – Recomendações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image" Target="media/c816aef37e22984724a83e3e10c5dd351647ae01.png"/><Relationship Id="rId42" Type="http://schemas.openxmlformats.org/officeDocument/2006/relationships/image" Target="media/c109c6b9ce633d91afc6e89bbdb8ab4873404065.png"/><Relationship Id="rId43" Type="http://schemas.openxmlformats.org/officeDocument/2006/relationships/image" Target="media/5be778db715b7aa4e89c0d547cc98872a2b22911.png"/><Relationship Id="rId44" Type="http://schemas.openxmlformats.org/officeDocument/2006/relationships/image" Target="media/f3a51382c5cf1e4cbde2ae43cd64aa5a620ad4ff.png"/><Relationship Id="rId45" Type="http://schemas.openxmlformats.org/officeDocument/2006/relationships/image" Target="media/5d950866185848d2980b210f993a4b648df4ea71.png"/><Relationship Id="rId46" Type="http://schemas.openxmlformats.org/officeDocument/2006/relationships/image" Target="media/e17474243c328ebd835d6d2930973bcca8c1916e.png"/><Relationship Id="rId47" Type="http://schemas.openxmlformats.org/officeDocument/2006/relationships/image" Target="media/e7bca9b24f2643deb8c15aaca03c7976804397ec.png"/><Relationship Id="rId48" Type="http://schemas.openxmlformats.org/officeDocument/2006/relationships/image" Target="media/ed14317e7338b44f5b563c294fe1ad83a252e79c.png"/><Relationship Id="rId49" Type="http://schemas.openxmlformats.org/officeDocument/2006/relationships/image" Target="media/760dcdb0bcdc29efd263e9d80fa38c7a1268af70.png"/><Relationship Id="rId50" Type="http://schemas.openxmlformats.org/officeDocument/2006/relationships/image" Target="media/6cd90355a90d575798805a8f0cc9404567b41a6d.png"/><Relationship Id="rId51" Type="http://schemas.openxmlformats.org/officeDocument/2006/relationships/image" Target="media/54e2f39674e5da3a7f2e05f33d61775a0cea0edb.png"/><Relationship Id="rId52" Type="http://schemas.openxmlformats.org/officeDocument/2006/relationships/image" Target="media/bc6783565b89f7be4fec30e85afd5949b6d7914a.png"/><Relationship Id="rId53" Type="http://schemas.openxmlformats.org/officeDocument/2006/relationships/image" Target="media/0726c9ab28b87713202ffdf74a24b552f72c5b2e.png"/><Relationship Id="rId54" Type="http://schemas.openxmlformats.org/officeDocument/2006/relationships/image" Target="media/95b3dbf413b63a0eedf5f1ca9f4e92d6d0d189b7.png"/><Relationship Id="rId55" Type="http://schemas.openxmlformats.org/officeDocument/2006/relationships/image" Target="media/115dc5f3dd6cafdadaba5dd89c79eb1d3768a10d.png"/><Relationship Id="rId56" Type="http://schemas.openxmlformats.org/officeDocument/2006/relationships/image" Target="media/3ada2f9ff4d717b97e71d13c161f43fc88490f57.png"/><Relationship Id="rId57" Type="http://schemas.openxmlformats.org/officeDocument/2006/relationships/image" Target="media/979d50e9063cd061f0b415030881973c82428734.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2026-10-27T22:36:24.413Z</dcterms:created>
  <dcterms:modified xsi:type="dcterms:W3CDTF">2026-10-27T22:36:24.414Z</dcterms:modified>
</cp:coreProperties>
</file>

<file path=docProps/custom.xml><?xml version="1.0" encoding="utf-8"?>
<Properties xmlns="http://schemas.openxmlformats.org/officeDocument/2006/custom-properties" xmlns:vt="http://schemas.openxmlformats.org/officeDocument/2006/docPropsVTypes"/>
</file>