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footer+xml" PartName="/word/footer5.xml"/>
  <Override ContentType="application/vnd.openxmlformats-officedocument.wordprocessingml.header+xml" PartName="/word/header6.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footer+xml" PartName="/word/footer7.xml"/>
  <Override ContentType="application/vnd.openxmlformats-officedocument.wordprocessingml.header+xml" PartName="/word/header8.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footer+xml" PartName="/word/footer11.xml"/>
  <Override ContentType="application/vnd.openxmlformats-officedocument.wordprocessingml.header+xml" PartName="/word/header12.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footer+xml" PartName="/word/footer13.xml"/>
  <Override ContentType="application/vnd.openxmlformats-officedocument.wordprocessingml.header+xml" PartName="/word/header14.xml"/>
  <Override ContentType="application/vnd.openxmlformats-officedocument.wordprocessingml.footer+xml" PartName="/word/footer14.xml"/>
  <Override ContentType="application/vnd.openxmlformats-officedocument.wordprocessingml.header+xml" PartName="/word/header15.xml"/>
  <Override ContentType="application/vnd.openxmlformats-officedocument.wordprocessingml.footer+xml" PartName="/word/footer15.xml"/>
  <Override ContentType="application/vnd.openxmlformats-officedocument.wordprocessingml.header+xml" PartName="/word/header16.xml"/>
  <Override ContentType="application/vnd.openxmlformats-officedocument.wordprocessingml.footer+xml" PartName="/word/footer16.xml"/>
  <Override ContentType="application/vnd.openxmlformats-officedocument.wordprocessingml.header+xml" PartName="/word/header17.xml"/>
  <Override ContentType="application/vnd.openxmlformats-officedocument.wordprocessingml.footer+xml" PartName="/word/footer17.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8220"/>
        <w:tblBorders>
          <w:top w:val="none" w:color="FFFFFF" w:sz="0"/>
          <w:left w:val="none" w:color="FFFFFF" w:sz="0"/>
          <w:bottom w:val="none" w:color="FFFFFF" w:sz="0"/>
          <w:right w:val="none" w:color="FFFFFF" w:sz="0"/>
          <w:insideH w:val="none" w:color="FFFFFF" w:sz="0"/>
          <w:insideV w:val="none" w:color="FFFFFF" w:sz="0"/>
        </w:tblBorders>
      </w:tblPr>
      <w:tblGrid>
        <w:gridCol w:w="1400"/>
        <w:gridCol w:w="5420"/>
        <w:gridCol w:w="1400"/>
      </w:tblGrid>
      <w:tr>
        <w:tc>
          <w:tcPr>
            <w:tcW w:type="dxa" w:w="1400"/>
            <w:tcBorders>
              <w:top w:val="none" w:color="FFFFFF" w:sz="0"/>
              <w:left w:val="none" w:color="FFFFFF" w:sz="0"/>
              <w:bottom w:val="none" w:color="FFFFFF" w:sz="0"/>
              <w:right w:val="none" w:color="FFFFFF" w:sz="0"/>
            </w:tcBorders>
          </w:tcPr>
          <w:p>
            <w:pPr>
              <w:jc w:val="left"/>
            </w:pPr>
            <w:r>
              <w:drawing>
                <wp:inline distT="0" distB="0" distL="0" distR="0">
                  <wp:extent cx="723900" cy="752475"/>
                  <wp:effectExtent t="0" r="0" b="0" l="0"/>
                  <wp:docPr id="1" name="logo_uan.png" descr="logo_uan.png" title="logo_u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723900" cy="752475"/>
                          </a:xfrm>
                          <a:prstGeom prst="rect">
                            <a:avLst/>
                          </a:prstGeom>
                        </pic:spPr>
                      </pic:pic>
                    </a:graphicData>
                  </a:graphic>
                </wp:inline>
              </w:drawing>
            </w:r>
          </w:p>
        </w:tc>
        <w:tc>
          <w:tcPr>
            <w:tcW w:type="dxa" w:w="5420"/>
            <w:tcBorders>
              <w:top w:val="none" w:color="FFFFFF" w:sz="0"/>
              <w:left w:val="none" w:color="FFFFFF" w:sz="0"/>
              <w:bottom w:val="none" w:color="FFFFFF" w:sz="0"/>
              <w:right w:val="none" w:color="FFFFFF" w:sz="0"/>
            </w:tcBorders>
          </w:tcPr>
          <w:p>
            <w:pPr>
              <w:spacing w:after="60" w:line="276"/>
              <w:jc w:val="center"/>
            </w:pPr>
            <w:r>
              <w:rPr>
                <w:rFonts w:ascii="Arial" w:cs="Arial" w:eastAsia="Arial" w:hAnsi="Arial"/>
                <w:b/>
                <w:bCs/>
                <w:sz w:val="28"/>
                <w:szCs w:val="28"/>
              </w:rPr>
              <w:t xml:space="preserve">UNIVERSIDADE AGOSTINHO NETO</w:t>
            </w:r>
          </w:p>
          <w:p>
            <w:pPr>
              <w:spacing w:after="120" w:line="276"/>
              <w:jc w:val="center"/>
            </w:pPr>
            <w:r>
              <w:rPr>
                <w:rFonts w:ascii="Arial" w:cs="Arial" w:eastAsia="Arial" w:hAnsi="Arial"/>
                <w:b/>
                <w:bCs/>
                <w:sz w:val="28"/>
                <w:szCs w:val="28"/>
              </w:rPr>
              <w:t xml:space="preserve">FACULDADE DE ENGENHARIA</w:t>
            </w:r>
          </w:p>
        </w:tc>
        <w:tc>
          <w:tcPr>
            <w:tcW w:type="dxa" w:w="1400"/>
            <w:tcBorders>
              <w:top w:val="none" w:color="FFFFFF" w:sz="0"/>
              <w:left w:val="none" w:color="FFFFFF" w:sz="0"/>
              <w:bottom w:val="none" w:color="FFFFFF" w:sz="0"/>
              <w:right w:val="none" w:color="FFFFFF" w:sz="0"/>
            </w:tcBorders>
          </w:tcPr>
          <w:p>
            <w:pPr>
              <w:jc w:val="right"/>
            </w:pPr>
            <w:r>
              <w:drawing>
                <wp:inline distT="0" distB="0" distL="0" distR="0">
                  <wp:extent cx="723900" cy="752475"/>
                  <wp:effectExtent t="0" r="0" b="0" l="0"/>
                  <wp:docPr id="1" name="logo_fe.png" descr="logo_fe.png" title="logo_f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723900" cy="752475"/>
                          </a:xfrm>
                          <a:prstGeom prst="rect">
                            <a:avLst/>
                          </a:prstGeom>
                        </pic:spPr>
                      </pic:pic>
                    </a:graphicData>
                  </a:graphic>
                </wp:inline>
              </w:drawing>
            </w:r>
          </w:p>
        </w:tc>
      </w:tr>
    </w:tbl>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600" w:line="360"/>
        <w:jc w:val="center"/>
      </w:pPr>
      <w:r>
        <w:rPr>
          <w:rFonts w:ascii="Arial" w:cs="Arial" w:eastAsia="Arial" w:hAnsi="Arial"/>
          <w:b/>
          <w:bCs/>
          <w:sz w:val="28"/>
          <w:szCs w:val="28"/>
        </w:rPr>
        <w:t xml:space="preserve">MONITORAMENTO INTELIGENTE DE AMEAÇAS EM REDES SOCIAIS EM ANGOLA PARA O APOIO À DEFESA E SEGURANÇA NACIONAL</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60" w:line="276"/>
        <w:jc w:val="center"/>
      </w:pPr>
      <w:r>
        <w:rPr>
          <w:rFonts w:ascii="Arial" w:cs="Arial" w:eastAsia="Arial" w:hAnsi="Arial"/>
          <w:sz w:val="28"/>
          <w:szCs w:val="28"/>
        </w:rPr>
        <w:t xml:space="preserve">Manuel Gonga Muinga</w:t>
      </w:r>
    </w:p>
    <w:p>
      <w:pPr>
        <w:spacing w:after="480" w:line="276"/>
        <w:jc w:val="center"/>
      </w:pPr>
      <w:r>
        <w:rPr>
          <w:rFonts w:ascii="Arial" w:cs="Arial" w:eastAsia="Arial" w:hAnsi="Arial"/>
          <w:sz w:val="28"/>
          <w:szCs w:val="28"/>
        </w:rPr>
        <w:t xml:space="preserve">Engenheiro Electrotécnico</w:t>
      </w:r>
    </w:p>
    <w:p>
      <w:pPr>
        <w:spacing w:after="60" w:line="276"/>
        <w:jc w:val="center"/>
      </w:pPr>
      <w:r>
        <w:rPr>
          <w:rFonts w:ascii="Arial" w:cs="Arial" w:eastAsia="Arial" w:hAnsi="Arial"/>
          <w:sz w:val="28"/>
          <w:szCs w:val="28"/>
        </w:rPr>
        <w:t xml:space="preserve">Orientador científico: Professor Doutor Joaquim Fortes</w:t>
      </w:r>
    </w:p>
    <w:p>
      <w:pPr>
        <w:spacing w:after="120" w:line="276"/>
        <w:jc w:val="center"/>
      </w:pPr>
      <w:r>
        <w:rPr>
          <w:rFonts w:ascii="Arial" w:cs="Arial" w:eastAsia="Arial" w:hAnsi="Arial"/>
          <w:sz w:val="28"/>
          <w:szCs w:val="28"/>
        </w:rPr>
        <w:t xml:space="preserve">Co-orientador: Professor Doutor Judice Cumbunga</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0" w:line="276"/>
        <w:jc w:val="center"/>
      </w:pPr>
      <w:r>
        <w:rPr>
          <w:rFonts w:ascii="Arial" w:cs="Arial" w:eastAsia="Arial" w:hAnsi="Arial"/>
          <w:sz w:val="28"/>
          <w:szCs w:val="28"/>
        </w:rPr>
        <w:t xml:space="preserve">Luanda</w:t>
      </w:r>
    </w:p>
    <w:p>
      <w:pPr>
        <w:spacing w:after="120" w:line="276"/>
        <w:jc w:val="center"/>
      </w:pPr>
      <w:r>
        <w:rPr>
          <w:rFonts w:ascii="Arial" w:cs="Arial" w:eastAsia="Arial" w:hAnsi="Arial"/>
          <w:sz w:val="28"/>
          <w:szCs w:val="28"/>
        </w:rPr>
        <w:t xml:space="preserve">2026</w:t>
      </w:r>
    </w:p>
    <w:p>
      <w:pPr>
        <w:sectPr>
          <w:headerReference w:type="default" r:id="rId7"/>
          <w:footerReference w:type="default" r:id="rId8"/>
          <w:pgSz w:w="11906" w:h="16838" w:orient="portrait"/>
          <w:pgMar w:top="1701" w:right="1701" w:bottom="1417" w:left="1984" w:header="850" w:footer="567" w:gutter="0"/>
          <w:pgNumType/>
          <w:docGrid w:linePitch="360"/>
        </w:sectPr>
      </w:pPr>
    </w:p>
    <w:tbl>
      <w:tblPr>
        <w:tblW w:type="dxa" w:w="8220"/>
        <w:tblBorders>
          <w:top w:val="none" w:color="FFFFFF" w:sz="0"/>
          <w:left w:val="none" w:color="FFFFFF" w:sz="0"/>
          <w:bottom w:val="none" w:color="FFFFFF" w:sz="0"/>
          <w:right w:val="none" w:color="FFFFFF" w:sz="0"/>
          <w:insideH w:val="none" w:color="FFFFFF" w:sz="0"/>
          <w:insideV w:val="none" w:color="FFFFFF" w:sz="0"/>
        </w:tblBorders>
      </w:tblPr>
      <w:tblGrid>
        <w:gridCol w:w="1400"/>
        <w:gridCol w:w="5420"/>
        <w:gridCol w:w="1400"/>
      </w:tblGrid>
      <w:tr>
        <w:tc>
          <w:tcPr>
            <w:tcW w:type="dxa" w:w="1400"/>
            <w:tcBorders>
              <w:top w:val="none" w:color="FFFFFF" w:sz="0"/>
              <w:left w:val="none" w:color="FFFFFF" w:sz="0"/>
              <w:bottom w:val="none" w:color="FFFFFF" w:sz="0"/>
              <w:right w:val="none" w:color="FFFFFF" w:sz="0"/>
            </w:tcBorders>
          </w:tcPr>
          <w:p>
            <w:pPr>
              <w:jc w:val="left"/>
            </w:pPr>
            <w:r>
              <w:drawing>
                <wp:inline distT="0" distB="0" distL="0" distR="0">
                  <wp:extent cx="723900" cy="752475"/>
                  <wp:effectExtent t="0" r="0" b="0" l="0"/>
                  <wp:docPr id="1" name="logo_uan.png" descr="logo_uan.png" title="logo_u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723900" cy="752475"/>
                          </a:xfrm>
                          <a:prstGeom prst="rect">
                            <a:avLst/>
                          </a:prstGeom>
                        </pic:spPr>
                      </pic:pic>
                    </a:graphicData>
                  </a:graphic>
                </wp:inline>
              </w:drawing>
            </w:r>
          </w:p>
        </w:tc>
        <w:tc>
          <w:tcPr>
            <w:tcW w:type="dxa" w:w="5420"/>
            <w:tcBorders>
              <w:top w:val="none" w:color="FFFFFF" w:sz="0"/>
              <w:left w:val="none" w:color="FFFFFF" w:sz="0"/>
              <w:bottom w:val="none" w:color="FFFFFF" w:sz="0"/>
              <w:right w:val="none" w:color="FFFFFF" w:sz="0"/>
            </w:tcBorders>
          </w:tcPr>
          <w:p>
            <w:pPr>
              <w:spacing w:after="60" w:before="0" w:line="276"/>
              <w:jc w:val="center"/>
            </w:pPr>
            <w:r>
              <w:rPr>
                <w:rFonts w:ascii="Times New Roman" w:cs="Times New Roman" w:eastAsia="Times New Roman" w:hAnsi="Times New Roman"/>
                <w:b/>
                <w:bCs/>
                <w:sz w:val="26"/>
                <w:szCs w:val="26"/>
              </w:rPr>
              <w:t xml:space="preserve">UNIVERSIDADE AGOSTINHO NETO</w:t>
            </w:r>
          </w:p>
          <w:p>
            <w:pPr>
              <w:spacing w:after="120" w:before="0" w:line="276"/>
              <w:jc w:val="center"/>
            </w:pPr>
            <w:r>
              <w:rPr>
                <w:rFonts w:ascii="Times New Roman" w:cs="Times New Roman" w:eastAsia="Times New Roman" w:hAnsi="Times New Roman"/>
                <w:b/>
                <w:bCs/>
                <w:sz w:val="24"/>
                <w:szCs w:val="24"/>
              </w:rPr>
              <w:t xml:space="preserve">FACULDADE DE ENGENHARIA</w:t>
            </w:r>
          </w:p>
        </w:tc>
        <w:tc>
          <w:tcPr>
            <w:tcW w:type="dxa" w:w="1400"/>
            <w:tcBorders>
              <w:top w:val="none" w:color="FFFFFF" w:sz="0"/>
              <w:left w:val="none" w:color="FFFFFF" w:sz="0"/>
              <w:bottom w:val="none" w:color="FFFFFF" w:sz="0"/>
              <w:right w:val="none" w:color="FFFFFF" w:sz="0"/>
            </w:tcBorders>
          </w:tcPr>
          <w:p>
            <w:pPr>
              <w:jc w:val="right"/>
            </w:pPr>
            <w:r>
              <w:drawing>
                <wp:inline distT="0" distB="0" distL="0" distR="0">
                  <wp:extent cx="723900" cy="752475"/>
                  <wp:effectExtent t="0" r="0" b="0" l="0"/>
                  <wp:docPr id="1" name="logo_fe.png" descr="logo_fe.png" title="logo_f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723900" cy="752475"/>
                          </a:xfrm>
                          <a:prstGeom prst="rect">
                            <a:avLst/>
                          </a:prstGeom>
                        </pic:spPr>
                      </pic:pic>
                    </a:graphicData>
                  </a:graphic>
                </wp:inline>
              </w:drawing>
            </w:r>
          </w:p>
        </w:tc>
      </w:tr>
    </w:tbl>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480" w:before="0" w:line="360"/>
        <w:jc w:val="center"/>
      </w:pPr>
      <w:r>
        <w:rPr>
          <w:rFonts w:ascii="Times New Roman" w:cs="Times New Roman" w:eastAsia="Times New Roman" w:hAnsi="Times New Roman"/>
          <w:b/>
          <w:bCs/>
          <w:sz w:val="28"/>
          <w:szCs w:val="28"/>
        </w:rPr>
        <w:t xml:space="preserve">MONITORAMENTO INTELIGENTE DE AMEAÇAS EM REDES SOCIAIS EM ANGOLA PARA O APOIO À DEFESA E SEGURANÇA NACIONAL</w:t>
      </w:r>
    </w:p>
    <w:p>
      <w:r>
        <w:rPr>
          <w:rFonts w:ascii="Times New Roman" w:cs="Times New Roman" w:eastAsia="Times New Roman" w:hAnsi="Times New Roman"/>
        </w:rPr>
        <w:t xml:space="preserve"/>
      </w:r>
    </w:p>
    <w:p>
      <w:pPr>
        <w:spacing w:after="480" w:line="240"/>
        <w:ind w:left="4110"/>
        <w:jc w:val="both"/>
      </w:pPr>
      <w:r>
        <w:rPr>
          <w:rFonts w:ascii="Times New Roman" w:cs="Times New Roman" w:eastAsia="Times New Roman" w:hAnsi="Times New Roman"/>
          <w:sz w:val="22"/>
          <w:szCs w:val="22"/>
        </w:rPr>
        <w:t xml:space="preserve">Dissertação submetida à Faculdade de Engenharia da Universidade Agostinho Neto como requisito para obtenção do título de Mestre em </w:t>
      </w:r>
      <w:r>
        <w:rPr>
          <w:rFonts w:ascii="Times New Roman" w:cs="Times New Roman" w:eastAsia="Times New Roman" w:hAnsi="Times New Roman"/>
          <w:b/>
          <w:bCs/>
          <w:sz w:val="22"/>
          <w:szCs w:val="22"/>
        </w:rPr>
        <w:t xml:space="preserve">Engenharia e Ciência de Dados</w:t>
      </w:r>
    </w:p>
    <w:p>
      <w:pPr>
        <w:spacing w:after="40" w:before="0" w:line="276"/>
        <w:jc w:val="center"/>
      </w:pPr>
      <w:r>
        <w:rPr>
          <w:rFonts w:ascii="Times New Roman" w:cs="Times New Roman" w:eastAsia="Times New Roman" w:hAnsi="Times New Roman"/>
          <w:sz w:val="24"/>
          <w:szCs w:val="24"/>
        </w:rPr>
        <w:t xml:space="preserve">Manuel Gonga Muinga</w:t>
      </w:r>
    </w:p>
    <w:p>
      <w:pPr>
        <w:spacing w:after="600" w:before="0" w:line="276"/>
        <w:jc w:val="center"/>
      </w:pPr>
      <w:r>
        <w:rPr>
          <w:rFonts w:ascii="Times New Roman" w:cs="Times New Roman" w:eastAsia="Times New Roman" w:hAnsi="Times New Roman"/>
          <w:sz w:val="22"/>
          <w:szCs w:val="22"/>
        </w:rPr>
        <w:t xml:space="preserve">Engenheiro Electrotécnico</w:t>
      </w:r>
    </w:p>
    <w:p>
      <w:pPr>
        <w:spacing w:after="40" w:line="240"/>
        <w:ind w:left="4110"/>
        <w:jc w:val="both"/>
      </w:pPr>
      <w:r>
        <w:rPr>
          <w:rFonts w:ascii="Times New Roman" w:cs="Times New Roman" w:eastAsia="Times New Roman" w:hAnsi="Times New Roman"/>
          <w:b/>
          <w:bCs/>
          <w:sz w:val="22"/>
          <w:szCs w:val="22"/>
        </w:rPr>
        <w:t xml:space="preserve">Orientador científico:</w:t>
      </w:r>
    </w:p>
    <w:p>
      <w:pPr>
        <w:spacing w:after="240" w:line="240"/>
        <w:ind w:left="4110"/>
        <w:jc w:val="both"/>
      </w:pPr>
      <w:r>
        <w:rPr>
          <w:rFonts w:ascii="Times New Roman" w:cs="Times New Roman" w:eastAsia="Times New Roman" w:hAnsi="Times New Roman"/>
          <w:i/>
          <w:iCs/>
          <w:sz w:val="22"/>
          <w:szCs w:val="22"/>
        </w:rPr>
        <w:t xml:space="preserve">Professor Doutor Joaquim Fortes (UAN)</w:t>
      </w:r>
    </w:p>
    <w:p>
      <w:pPr>
        <w:spacing w:after="40" w:line="240"/>
        <w:ind w:left="4110"/>
        <w:jc w:val="both"/>
      </w:pPr>
      <w:r>
        <w:rPr>
          <w:rFonts w:ascii="Times New Roman" w:cs="Times New Roman" w:eastAsia="Times New Roman" w:hAnsi="Times New Roman"/>
          <w:b/>
          <w:bCs/>
          <w:sz w:val="22"/>
          <w:szCs w:val="22"/>
        </w:rPr>
        <w:t xml:space="preserve">Co-orientador:</w:t>
      </w:r>
    </w:p>
    <w:p>
      <w:pPr>
        <w:spacing w:after="240" w:line="240"/>
        <w:ind w:left="4110"/>
        <w:jc w:val="both"/>
      </w:pPr>
      <w:r>
        <w:rPr>
          <w:rFonts w:ascii="Times New Roman" w:cs="Times New Roman" w:eastAsia="Times New Roman" w:hAnsi="Times New Roman"/>
          <w:i/>
          <w:iCs/>
          <w:sz w:val="22"/>
          <w:szCs w:val="22"/>
        </w:rPr>
        <w:t xml:space="preserve">Professor Doutor Judice Cumbunga (UAN)</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after="0" w:before="0" w:line="276"/>
        <w:jc w:val="center"/>
      </w:pPr>
      <w:r>
        <w:rPr>
          <w:rFonts w:ascii="Times New Roman" w:cs="Times New Roman" w:eastAsia="Times New Roman" w:hAnsi="Times New Roman"/>
          <w:sz w:val="24"/>
          <w:szCs w:val="24"/>
        </w:rPr>
        <w:t xml:space="preserve">Luanda</w:t>
      </w:r>
    </w:p>
    <w:p>
      <w:pPr>
        <w:spacing w:after="120" w:before="0" w:line="276"/>
        <w:jc w:val="center"/>
      </w:pPr>
      <w:r>
        <w:rPr>
          <w:rFonts w:ascii="Times New Roman" w:cs="Times New Roman" w:eastAsia="Times New Roman" w:hAnsi="Times New Roman"/>
          <w:sz w:val="24"/>
          <w:szCs w:val="24"/>
        </w:rPr>
        <w:t xml:space="preserve">2026</w:t>
      </w:r>
    </w:p>
    <w:p>
      <w:pPr>
        <w:pStyle w:val="TituloSemIndice"/>
        <w:pageBreakBefore/>
        <w:spacing w:after="480" w:before="567"/>
        <w:jc w:val="center"/>
      </w:pPr>
      <w:r>
        <w:rPr>
          <w:rFonts w:ascii="Times New Roman" w:cs="Times New Roman" w:eastAsia="Times New Roman" w:hAnsi="Times New Roman"/>
          <w:b/>
          <w:bCs/>
          <w:sz w:val="28"/>
          <w:szCs w:val="28"/>
        </w:rPr>
        <w:t xml:space="preserve">FICHA CATALOGRÁFICA</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tbl>
      <w:tblPr>
        <w:tblW w:type="dxa" w:w="7000"/>
        <w:jc w:val="center"/>
        <w:tblBorders>
          <w:top w:val="single" w:color="auto" w:sz="4"/>
          <w:left w:val="single" w:color="auto" w:sz="4"/>
          <w:bottom w:val="single" w:color="auto" w:sz="4"/>
          <w:right w:val="single" w:color="auto" w:sz="4"/>
          <w:insideH w:val="single" w:color="auto" w:sz="4"/>
          <w:insideV w:val="single" w:color="auto" w:sz="4"/>
        </w:tblBorders>
      </w:tblPr>
      <w:tblGrid>
        <w:gridCol w:w="7000"/>
      </w:tblGrid>
      <w:tr>
        <w:tc>
          <w:tcPr>
            <w:tcW w:type="dxa" w:w="7000"/>
            <w:tcMar>
              <w:top w:type="dxa" w:w="200"/>
              <w:left w:type="dxa" w:w="240"/>
              <w:bottom w:type="dxa" w:w="200"/>
              <w:right w:type="dxa" w:w="240"/>
            </w:tcMar>
          </w:tcPr>
          <w:p>
            <w:pPr>
              <w:spacing w:after="140" w:line="240"/>
              <w:jc w:val="both"/>
            </w:pPr>
            <w:r>
              <w:rPr>
                <w:rFonts w:ascii="Times New Roman" w:cs="Times New Roman" w:eastAsia="Times New Roman" w:hAnsi="Times New Roman"/>
                <w:b/>
                <w:bCs/>
                <w:sz w:val="20"/>
                <w:szCs w:val="20"/>
              </w:rPr>
              <w:t xml:space="preserve">Muinga, M. G.</w:t>
            </w:r>
            <w:r>
              <w:rPr>
                <w:rFonts w:ascii="Times New Roman" w:cs="Times New Roman" w:eastAsia="Times New Roman" w:hAnsi="Times New Roman"/>
                <w:sz w:val="20"/>
                <w:szCs w:val="20"/>
              </w:rPr>
              <w:t xml:space="preserve"> (2026). </w:t>
            </w:r>
            <w:r>
              <w:rPr>
                <w:rFonts w:ascii="Times New Roman" w:cs="Times New Roman" w:eastAsia="Times New Roman" w:hAnsi="Times New Roman"/>
                <w:i/>
                <w:iCs/>
                <w:sz w:val="20"/>
                <w:szCs w:val="20"/>
              </w:rPr>
              <w:t xml:space="preserve">Monitoramento inteligente de ameaças em redes sociais em Angola para o apoio à defesa e segurança nacional</w:t>
            </w:r>
            <w:r>
              <w:rPr>
                <w:rFonts w:ascii="Times New Roman" w:cs="Times New Roman" w:eastAsia="Times New Roman" w:hAnsi="Times New Roman"/>
                <w:sz w:val="20"/>
                <w:szCs w:val="20"/>
              </w:rPr>
              <w:t xml:space="preserve">. xiii, 64 p. + 11 p. de glossário e apêndices; il.; 30 cm.</w:t>
            </w:r>
          </w:p>
          <w:p>
            <w:pPr>
              <w:spacing w:after="140" w:line="240"/>
              <w:jc w:val="both"/>
            </w:pPr>
            <w:r>
              <w:rPr>
                <w:rFonts w:ascii="Times New Roman" w:cs="Times New Roman" w:eastAsia="Times New Roman" w:hAnsi="Times New Roman"/>
                <w:sz w:val="20"/>
                <w:szCs w:val="20"/>
              </w:rPr>
              <w:t xml:space="preserve">Dissertação de Mestrado em Engenharia e Ciência de Dados (Mecdata), 2024–2026. Universidade Agostinho Neto, Faculdade de Engenharia, Departamento de Engenharia Mecânica.</w:t>
            </w:r>
          </w:p>
          <w:p>
            <w:pPr>
              <w:spacing w:after="140" w:line="240"/>
              <w:jc w:val="both"/>
            </w:pPr>
            <w:r>
              <w:rPr>
                <w:rFonts w:ascii="Times New Roman" w:cs="Times New Roman" w:eastAsia="Times New Roman" w:hAnsi="Times New Roman"/>
                <w:sz w:val="20"/>
                <w:szCs w:val="20"/>
              </w:rPr>
              <w:t xml:space="preserve">Orientador: Professor Doutor Joaquim Fortes. Co-orientador: Professor Doutor Judice Cumbunga.</w:t>
            </w:r>
          </w:p>
          <w:p>
            <w:pPr>
              <w:spacing w:after="140" w:line="240"/>
              <w:jc w:val="both"/>
            </w:pPr>
            <w:r>
              <w:rPr>
                <w:rFonts w:ascii="Times New Roman" w:cs="Times New Roman" w:eastAsia="Times New Roman" w:hAnsi="Times New Roman"/>
                <w:sz w:val="20"/>
                <w:szCs w:val="20"/>
              </w:rPr>
              <w:t xml:space="preserve">Palavras-chave: 1. Redes sociais. 2. Discurso de ódio. 3. Desinformação. 4. BERTimbau. 5. Adaptação de domínio. 6. Segurança nacional.</w:t>
            </w:r>
          </w:p>
        </w:tc>
      </w:tr>
    </w:tbl>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jc w:val="center"/>
      </w:pPr>
      <w:r>
        <w:rPr>
          <w:rFonts w:ascii="Times New Roman" w:cs="Times New Roman" w:eastAsia="Times New Roman" w:hAnsi="Times New Roman"/>
          <w:i/>
          <w:iCs/>
          <w:sz w:val="20"/>
          <w:szCs w:val="20"/>
        </w:rPr>
        <w:t xml:space="preserve">Permitida a reprodução total ou parcial deste documento, desde que citada a fonte e sem carácter comercial – O autor</w:t>
      </w:r>
    </w:p>
    <w:p>
      <w:pPr>
        <w:pStyle w:val="TituloSemIndice"/>
        <w:pageBreakBefore/>
        <w:spacing w:after="480" w:before="567"/>
        <w:jc w:val="center"/>
      </w:pPr>
      <w:r>
        <w:rPr>
          <w:rFonts w:ascii="Times New Roman" w:cs="Times New Roman" w:eastAsia="Times New Roman" w:hAnsi="Times New Roman"/>
          <w:b/>
          <w:bCs/>
          <w:sz w:val="28"/>
          <w:szCs w:val="28"/>
        </w:rPr>
        <w:t xml:space="preserve">EPÍGRAFE</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ind w:left="4110"/>
        <w:jc w:val="right"/>
      </w:pPr>
      <w:r>
        <w:rPr>
          <w:rFonts w:ascii="Times New Roman" w:cs="Times New Roman" w:eastAsia="Times New Roman" w:hAnsi="Times New Roman"/>
          <w:i/>
          <w:iCs/>
          <w:sz w:val="24"/>
          <w:szCs w:val="24"/>
        </w:rPr>
        <w:t xml:space="preserve">«Todos têm o direito de exprimir, divulgar e compartilhar livremente os seus pensamentos (…)»</w:t>
      </w:r>
    </w:p>
    <w:p>
      <w:pPr>
        <w:ind w:left="4110"/>
        <w:jc w:val="right"/>
      </w:pPr>
      <w:r>
        <w:rPr>
          <w:rFonts w:ascii="Times New Roman" w:cs="Times New Roman" w:eastAsia="Times New Roman" w:hAnsi="Times New Roman"/>
          <w:sz w:val="22"/>
          <w:szCs w:val="22"/>
        </w:rPr>
        <w:t xml:space="preserve">Constituição da República de Angola, artigo 40.º, n.º 1</w:t>
      </w:r>
    </w:p>
    <w:p>
      <w:pPr>
        <w:pStyle w:val="TituloSemIndice"/>
        <w:pageBreakBefore/>
        <w:spacing w:after="480" w:before="567"/>
        <w:jc w:val="center"/>
      </w:pPr>
      <w:r>
        <w:rPr>
          <w:rFonts w:ascii="Times New Roman" w:cs="Times New Roman" w:eastAsia="Times New Roman" w:hAnsi="Times New Roman"/>
          <w:b/>
          <w:bCs/>
          <w:sz w:val="28"/>
          <w:szCs w:val="28"/>
        </w:rPr>
        <w:t xml:space="preserve">DEDICATÓRIA</w:t>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r>
        <w:rPr>
          <w:rFonts w:ascii="Times New Roman" w:cs="Times New Roman" w:eastAsia="Times New Roman" w:hAnsi="Times New Roman"/>
        </w:rPr>
        <w:t xml:space="preserve"/>
      </w:r>
    </w:p>
    <w:p>
      <w:pPr>
        <w:spacing w:line="360"/>
        <w:ind w:left="3402"/>
        <w:jc w:val="both"/>
      </w:pPr>
      <w:r>
        <w:rPr>
          <w:rFonts w:ascii="Times New Roman" w:cs="Times New Roman" w:eastAsia="Times New Roman" w:hAnsi="Times New Roman"/>
          <w:i/>
          <w:iCs/>
          <w:sz w:val="24"/>
          <w:szCs w:val="24"/>
        </w:rPr>
        <w:t xml:space="preserve">À minha querida esposa, Rosalina Muinga, cuja presença ilumina cada etapa da minha vida. Este trabalho é dedicado a ti, pelo amor, pela paciência e pelo apoio incondicional que sempre me ofereceste. A tua força e a tua compreensão foram fundamentais para que eu pudesse chegar até aqui. Que esta conquista seja também o reflexo da nossa caminhada conjunta, marcada pela fé, pela perseverança e pela esperança.</w:t>
      </w:r>
    </w:p>
    <w:p>
      <w:pPr>
        <w:pStyle w:val="TituloSemIndice"/>
        <w:pageBreakBefore/>
        <w:spacing w:after="480" w:before="567"/>
        <w:jc w:val="center"/>
      </w:pPr>
      <w:r>
        <w:rPr>
          <w:rFonts w:ascii="Times New Roman" w:cs="Times New Roman" w:eastAsia="Times New Roman" w:hAnsi="Times New Roman"/>
          <w:b/>
          <w:bCs/>
          <w:sz w:val="28"/>
          <w:szCs w:val="28"/>
        </w:rPr>
        <w:t xml:space="preserve">AGRADECIMENTOS</w:t>
      </w:r>
    </w:p>
    <w:p>
      <w:pPr>
        <w:spacing w:after="120" w:before="0" w:line="360"/>
        <w:ind w:firstLine="567"/>
        <w:jc w:val="both"/>
      </w:pPr>
      <w:r>
        <w:rPr>
          <w:rFonts w:ascii="Times New Roman" w:cs="Times New Roman" w:eastAsia="Times New Roman" w:hAnsi="Times New Roman"/>
          <w:sz w:val="24"/>
          <w:szCs w:val="24"/>
        </w:rPr>
        <w:t xml:space="preserve">Tenho a honra de expressar os meus mais sinceros agradecimentos aos meus orientadores, pela orientação científica, pela disponibilidade e pelo rigor académico que tornaram possível a realização desta dissertação.</w:t>
      </w:r>
    </w:p>
    <w:p>
      <w:pPr>
        <w:spacing w:after="120" w:before="0" w:line="360"/>
        <w:ind w:firstLine="567"/>
        <w:jc w:val="both"/>
      </w:pPr>
      <w:r>
        <w:rPr>
          <w:rFonts w:ascii="Times New Roman" w:cs="Times New Roman" w:eastAsia="Times New Roman" w:hAnsi="Times New Roman"/>
          <w:sz w:val="24"/>
          <w:szCs w:val="24"/>
        </w:rPr>
        <w:t xml:space="preserve">À Universidade Agostinho Neto e à Faculdade de Engenharia, pela sólida formação académica e pelo ambiente científico que proporcionaram ao longo desta jornada.</w:t>
      </w:r>
    </w:p>
    <w:p>
      <w:pPr>
        <w:spacing w:after="120" w:before="0" w:line="360"/>
        <w:ind w:firstLine="567"/>
        <w:jc w:val="both"/>
      </w:pPr>
      <w:r>
        <w:rPr>
          <w:rFonts w:ascii="Times New Roman" w:cs="Times New Roman" w:eastAsia="Times New Roman" w:hAnsi="Times New Roman"/>
          <w:sz w:val="24"/>
          <w:szCs w:val="24"/>
        </w:rPr>
        <w:t xml:space="preserve">À minha família e aos meus amigos, pelo apoio incondicional, pela paciência e pelo encorajamento, que foram fundamentais para superar os desafios e alcançar esta etapa.</w:t>
      </w:r>
    </w:p>
    <w:p>
      <w:pPr>
        <w:spacing w:after="120" w:before="0" w:line="360"/>
        <w:ind w:firstLine="567"/>
        <w:jc w:val="both"/>
      </w:pPr>
      <w:r>
        <w:rPr>
          <w:rFonts w:ascii="Times New Roman" w:cs="Times New Roman" w:eastAsia="Times New Roman" w:hAnsi="Times New Roman"/>
          <w:sz w:val="24"/>
          <w:szCs w:val="24"/>
        </w:rPr>
        <w:t xml:space="preserve">Às Forças Armadas Angolanas, instituição que financiou a minha formação, pelo investimento e pela confiança depositada.</w:t>
      </w:r>
    </w:p>
    <w:p>
      <w:pPr>
        <w:spacing w:after="120" w:before="0" w:line="360"/>
        <w:ind w:firstLine="567"/>
        <w:jc w:val="both"/>
      </w:pPr>
      <w:r>
        <w:rPr>
          <w:rFonts w:ascii="Times New Roman" w:cs="Times New Roman" w:eastAsia="Times New Roman" w:hAnsi="Times New Roman"/>
          <w:sz w:val="24"/>
          <w:szCs w:val="24"/>
        </w:rPr>
        <w:t xml:space="preserve">Ao Comando da Brigada de Forças Especiais, pela confiança, pelo apoio institucional e pelo incentivo constante ao meu desenvolvimento académico e profissional.</w:t>
      </w:r>
    </w:p>
    <w:p>
      <w:pPr>
        <w:spacing w:after="120" w:before="0" w:line="360"/>
        <w:ind w:firstLine="567"/>
        <w:jc w:val="both"/>
      </w:pPr>
      <w:r>
        <w:rPr>
          <w:rFonts w:ascii="Times New Roman" w:cs="Times New Roman" w:eastAsia="Times New Roman" w:hAnsi="Times New Roman"/>
          <w:sz w:val="24"/>
          <w:szCs w:val="24"/>
        </w:rPr>
        <w:t xml:space="preserve">Um agradecimento especial a Sua Excelência o Tenente-General Tussen, cujo incentivo e motivação foram decisivos para que eu pudesse frequentar este curso e concretizar este trabalho.</w:t>
      </w:r>
    </w:p>
    <w:p>
      <w:pPr>
        <w:spacing w:after="120" w:before="0" w:line="360"/>
        <w:ind w:firstLine="567"/>
        <w:jc w:val="both"/>
      </w:pPr>
      <w:r>
        <w:rPr>
          <w:rFonts w:ascii="Times New Roman" w:cs="Times New Roman" w:eastAsia="Times New Roman" w:hAnsi="Times New Roman"/>
          <w:sz w:val="24"/>
          <w:szCs w:val="24"/>
        </w:rPr>
        <w:t xml:space="preserve">Aos anotadores que classificaram, com paciência e rigor, os comentários do corpus angolano, e aos colegas investigadores e a todos os que, de forma directa ou indirecta, contribuíram para a realização desta dissertação, manifesto a minha profunda gratidão.</w:t>
      </w:r>
    </w:p>
    <w:p>
      <w:pPr>
        <w:pStyle w:val="TituloSemIndice"/>
        <w:pageBreakBefore/>
        <w:spacing w:after="480" w:before="567"/>
        <w:jc w:val="center"/>
      </w:pPr>
      <w:r>
        <w:rPr>
          <w:rFonts w:ascii="Times New Roman" w:cs="Times New Roman" w:eastAsia="Times New Roman" w:hAnsi="Times New Roman"/>
          <w:b/>
          <w:bCs/>
          <w:sz w:val="28"/>
          <w:szCs w:val="28"/>
        </w:rPr>
        <w:t xml:space="preserve">RESUMO</w:t>
      </w:r>
    </w:p>
    <w:p>
      <w:pPr>
        <w:spacing w:after="120" w:before="0" w:line="360"/>
        <w:jc w:val="both"/>
      </w:pPr>
      <w:r>
        <w:rPr>
          <w:rFonts w:ascii="Times New Roman" w:cs="Times New Roman" w:eastAsia="Times New Roman" w:hAnsi="Times New Roman"/>
          <w:sz w:val="24"/>
          <w:szCs w:val="24"/>
        </w:rPr>
        <w:t xml:space="preserve">Nas redes sociais angolanas, a desinformação, o discurso de ódio e os apelos à mobilização hostil circulam ao lado da conversa quotidiana, num volume que nenhuma equipa de analistas consegue ler. Esta dissertação desenvolve e avalia um sistema que ordena essas publicações para o analista, sem o substituir. Construiu-se um corpus de 2.637 publicações públicas angolanas, sobretudo comentários do YouTube, anotadas por três anotadores em quatro categorias, com κ de Fleiss de 0,718 (n = 2.443). Juntando-lhe três corpora brasileiros (HateBR, ToLD-BR e Fake.br; 26.859 registos no total), compararam-se SVM, Floresta Aleatória, Bi-LSTM e BERTimbau. No teste (n = 3.987), o BERTimbau obteve F1-macro de 0,807 (0,797 na média de três sementes), 14,6 a 17,4 pontos percentuais acima dos restantes (McNemar com Bonferroni, p &lt; 10</w:t>
      </w:r>
      <w:r>
        <w:rPr>
          <w:rFonts w:ascii="Times New Roman" w:cs="Times New Roman" w:eastAsia="Times New Roman" w:hAnsi="Times New Roman"/>
          <w:sz w:val="24"/>
          <w:szCs w:val="24"/>
          <w:vertAlign w:val="superscript"/>
        </w:rPr>
        <w:t xml:space="preserve">-47</w:t>
      </w:r>
      <w:r>
        <w:rPr>
          <w:rFonts w:ascii="Times New Roman" w:cs="Times New Roman" w:eastAsia="Times New Roman" w:hAnsi="Times New Roman"/>
          <w:sz w:val="24"/>
          <w:szCs w:val="24"/>
        </w:rPr>
        <w:t xml:space="preserve">); o Bi-LSTM não superou a Floresta Aleatória. Em conteúdo angolano, porém, o F1-macro desceu para 0,533, contra 0,919 no corpus público, com a maior queda na Desinformação. Desenvolveu-se depois uma aplicação web com pseudonimização dos autores à entrada, segundo a Lei n.º 22/11, auditoria, fila de revisão por prioridade e alertas, sem decisões automáticas. Sem placa gráfica dedicada, processou cada publicação em 0,6 a 0,7 segundos; as primeiras chegaram à fila em 36 segundos e, em recolhas até 64 publicações, todas em menos de 60. A utilidade da fila com analistas e a antecedência de detecção não foram testadas. Os contributos são o corpus anotado, a medida da lacuna de domínio e uma arquitectura de triagem de baixo custo.</w:t>
      </w:r>
    </w:p>
    <w:p>
      <w:pPr>
        <w:spacing w:after="120" w:before="0" w:line="360"/>
        <w:jc w:val="both"/>
      </w:pPr>
      <w:r>
        <w:rPr>
          <w:rFonts w:ascii="Times New Roman" w:cs="Times New Roman" w:eastAsia="Times New Roman" w:hAnsi="Times New Roman"/>
          <w:b/>
          <w:bCs/>
          <w:sz w:val="24"/>
          <w:szCs w:val="24"/>
        </w:rPr>
        <w:t xml:space="preserve">Palavras-chave:</w:t>
      </w:r>
      <w:r>
        <w:rPr>
          <w:rFonts w:ascii="Times New Roman" w:cs="Times New Roman" w:eastAsia="Times New Roman" w:hAnsi="Times New Roman"/>
          <w:sz w:val="24"/>
          <w:szCs w:val="24"/>
        </w:rPr>
        <w:t xml:space="preserve"> Redes sociais. Discurso de ódio. Desinformação. BERTimbau. Adaptação de domínio. Segurança nacional.</w:t>
      </w:r>
    </w:p>
    <w:p>
      <w:pPr>
        <w:pStyle w:val="TituloSemIndice"/>
        <w:pageBreakBefore/>
        <w:spacing w:after="480" w:before="567"/>
        <w:jc w:val="center"/>
      </w:pPr>
      <w:r>
        <w:rPr>
          <w:rFonts w:ascii="Times New Roman" w:cs="Times New Roman" w:eastAsia="Times New Roman" w:hAnsi="Times New Roman"/>
          <w:b/>
          <w:bCs/>
          <w:sz w:val="28"/>
          <w:szCs w:val="28"/>
        </w:rPr>
        <w:t xml:space="preserve">ABSTRACT</w:t>
      </w:r>
    </w:p>
    <w:p>
      <w:pPr>
        <w:spacing w:after="120" w:before="0" w:line="360"/>
        <w:jc w:val="both"/>
      </w:pPr>
      <w:r>
        <w:rPr>
          <w:rFonts w:ascii="Times New Roman" w:cs="Times New Roman" w:eastAsia="Times New Roman" w:hAnsi="Times New Roman"/>
          <w:sz w:val="24"/>
          <w:szCs w:val="24"/>
        </w:rPr>
        <w:t xml:space="preserve">On Angolan social media, disinformation, hate speech and calls for hostile mobilisation circulate alongside everyday conversation, in a volume no team of analysts can read. This dissertation develops and evaluates a system that ranks these posts for analysts without replacing them. A corpus of 2,637 public Angolan posts, mostly YouTube comments, was annotated by three annotators into four categories (Fleiss' kappa 0.718, n = 2,443). Combined with three Brazilian corpora (HateBR, ToLD-BR and Fake.br; 26,859 records in total), it was used to compare SVM, Random Forest, Bi-LSTM and BERTimbau. On the test set (n = 3,987), BERTimbau reached a macro-F1 of 0.807 (0.797 averaged over three seeds), 14.6 to 17.4 percentage points above the others (McNemar test with Bonferroni correction, p &lt; 10</w:t>
      </w:r>
      <w:r>
        <w:rPr>
          <w:rFonts w:ascii="Times New Roman" w:cs="Times New Roman" w:eastAsia="Times New Roman" w:hAnsi="Times New Roman"/>
          <w:sz w:val="24"/>
          <w:szCs w:val="24"/>
          <w:vertAlign w:val="superscript"/>
        </w:rPr>
        <w:t xml:space="preserve">-47</w:t>
      </w:r>
      <w:r>
        <w:rPr>
          <w:rFonts w:ascii="Times New Roman" w:cs="Times New Roman" w:eastAsia="Times New Roman" w:hAnsi="Times New Roman"/>
          <w:sz w:val="24"/>
          <w:szCs w:val="24"/>
        </w:rPr>
        <w:t xml:space="preserve">); the Bi-LSTM did not outperform the Random Forest. On Angolan content, however, macro-F1 fell to 0.533, compared with 0.919 on the public corpora, with the largest drop in disinformation. A web application was then developed with author pseudonymisation at ingestion, in line with Angolan Law No. 22/11, audit logging, a priority-ranked review queue and alerts, and no automated decisions. Without a GPU, it processed each post in 0.6–0.7 seconds; the first posts reached the queue within 36 seconds and, for batches of up to 64 posts, all posts within 60 seconds. Neither the usefulness of the queue for analysts nor the detection lead time was tested. The main contributions are the annotated corpus, the measurement of the domain gap and a low-cost triage architecture.</w:t>
      </w:r>
    </w:p>
    <w:p>
      <w:pPr>
        <w:spacing w:after="120" w:before="0" w:line="36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Social media. Hate speech. Disinformation. BERTimbau. Domain adaptation. National security.</w:t>
      </w:r>
    </w:p>
    <w:p>
      <w:pPr>
        <w:pStyle w:val="TituloSemIndice"/>
        <w:pageBreakBefore/>
        <w:spacing w:after="480" w:before="567"/>
        <w:jc w:val="center"/>
      </w:pPr>
      <w:r>
        <w:rPr>
          <w:rFonts w:ascii="Times New Roman" w:cs="Times New Roman" w:eastAsia="Times New Roman" w:hAnsi="Times New Roman"/>
          <w:b/>
          <w:bCs/>
          <w:sz w:val="28"/>
          <w:szCs w:val="28"/>
        </w:rPr>
        <w:t xml:space="preserve">ABREVIATURAS, SIGLAS E SÍMBOLOS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6420"/>
      </w:tblGrid>
      <w:tr>
        <w:trPr>
          <w:cantSplit/>
          <w:tblHeader/>
        </w:trPr>
        <w:tc>
          <w:tcPr>
            <w:tcW w:type="dxa" w:w="1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20"/>
                <w:szCs w:val="20"/>
              </w:rPr>
              <w:t xml:space="preserve">Sigla ou símbolo</w:t>
            </w:r>
          </w:p>
        </w:tc>
        <w:tc>
          <w:tcPr>
            <w:tcW w:type="dxa" w:w="64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20"/>
                <w:szCs w:val="20"/>
              </w:rPr>
              <w:t xml:space="preserve">Significado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API</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Interface de programação de aplicações (</w:t>
            </w:r>
            <w:r>
              <w:rPr>
                <w:rFonts w:ascii="Times New Roman" w:cs="Times New Roman" w:eastAsia="Times New Roman" w:hAnsi="Times New Roman"/>
                <w:b w:val="false"/>
                <w:bCs w:val="false"/>
                <w:i/>
                <w:iCs/>
                <w:sz w:val="20"/>
                <w:szCs w:val="20"/>
              </w:rPr>
              <w:t xml:space="preserve">Application Programming Interface</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AUC-ROC</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Área sob a curva ROC (</w:t>
            </w:r>
            <w:r>
              <w:rPr>
                <w:rFonts w:ascii="Times New Roman" w:cs="Times New Roman" w:eastAsia="Times New Roman" w:hAnsi="Times New Roman"/>
                <w:b w:val="false"/>
                <w:bCs w:val="false"/>
                <w:i/>
                <w:iCs/>
                <w:sz w:val="20"/>
                <w:szCs w:val="20"/>
              </w:rPr>
              <w:t xml:space="preserve">Receiver Operating Characteristic</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BERT</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Representações bidireccionais de codificador baseadas em </w:t>
            </w:r>
            <w:r>
              <w:rPr>
                <w:rFonts w:ascii="Times New Roman" w:cs="Times New Roman" w:eastAsia="Times New Roman" w:hAnsi="Times New Roman"/>
                <w:b w:val="false"/>
                <w:bCs w:val="false"/>
                <w:i/>
                <w:iCs/>
                <w:sz w:val="20"/>
                <w:szCs w:val="20"/>
              </w:rPr>
              <w:t xml:space="preserve">Transformers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Bi-LSTM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Rede de memória de longo e curto prazo bidireccional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CPLP</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Comunidade dos Países de Língua Portuguesa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CSP</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Política de segurança de conteúdo (</w:t>
            </w:r>
            <w:r>
              <w:rPr>
                <w:rFonts w:ascii="Times New Roman" w:cs="Times New Roman" w:eastAsia="Times New Roman" w:hAnsi="Times New Roman"/>
                <w:b w:val="false"/>
                <w:bCs w:val="false"/>
                <w:i/>
                <w:iCs/>
                <w:sz w:val="20"/>
                <w:szCs w:val="20"/>
              </w:rPr>
              <w:t xml:space="preserve">Content Security Policy</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CSRF</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Falsificação de pedidos entre sítios (</w:t>
            </w:r>
            <w:r>
              <w:rPr>
                <w:rFonts w:ascii="Times New Roman" w:cs="Times New Roman" w:eastAsia="Times New Roman" w:hAnsi="Times New Roman"/>
                <w:b w:val="false"/>
                <w:bCs w:val="false"/>
                <w:i/>
                <w:iCs/>
                <w:sz w:val="20"/>
                <w:szCs w:val="20"/>
              </w:rPr>
              <w:t xml:space="preserve">Cross-Site Request Forgery</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CPU</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Unidade central de processamento (</w:t>
            </w:r>
            <w:r>
              <w:rPr>
                <w:rFonts w:ascii="Times New Roman" w:cs="Times New Roman" w:eastAsia="Times New Roman" w:hAnsi="Times New Roman"/>
                <w:b w:val="false"/>
                <w:bCs w:val="false"/>
                <w:i/>
                <w:iCs/>
                <w:sz w:val="20"/>
                <w:szCs w:val="20"/>
              </w:rPr>
              <w:t xml:space="preserve">Central Processing Unit</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CSV</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Valores separados por vírgulas (formato de ficheiro)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ECE</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Erro de calibração esperado (</w:t>
            </w:r>
            <w:r>
              <w:rPr>
                <w:rFonts w:ascii="Times New Roman" w:cs="Times New Roman" w:eastAsia="Times New Roman" w:hAnsi="Times New Roman"/>
                <w:b w:val="false"/>
                <w:bCs w:val="false"/>
                <w:i/>
                <w:iCs/>
                <w:sz w:val="20"/>
                <w:szCs w:val="20"/>
              </w:rPr>
              <w:t xml:space="preserve">Expected Calibration Error</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F1</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Média harmónica entre precisão e sensibilidade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GPU</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Unidade de processamento gráfico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HMAC</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Código de autenticação de mensagens baseado em </w:t>
            </w:r>
            <w:r>
              <w:rPr>
                <w:rFonts w:ascii="Times New Roman" w:cs="Times New Roman" w:eastAsia="Times New Roman" w:hAnsi="Times New Roman"/>
                <w:b w:val="false"/>
                <w:bCs w:val="false"/>
                <w:i/>
                <w:iCs/>
                <w:sz w:val="20"/>
                <w:szCs w:val="20"/>
              </w:rPr>
              <w:t xml:space="preserve">hash</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HTTPS</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Protocolo seguro de transferência de hipertexto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IA</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Inteligência artificial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IC 95%</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Intervalo de confiança a 95%</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JSON</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Notação de objectos JavaScript (formato de dados)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LSTM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Memória de longo e curto prazo (</w:t>
            </w:r>
            <w:r>
              <w:rPr>
                <w:rFonts w:ascii="Times New Roman" w:cs="Times New Roman" w:eastAsia="Times New Roman" w:hAnsi="Times New Roman"/>
                <w:b w:val="false"/>
                <w:bCs w:val="false"/>
                <w:i/>
                <w:iCs/>
                <w:sz w:val="20"/>
                <w:szCs w:val="20"/>
              </w:rPr>
              <w:t xml:space="preserve">Long Short-Term Memory</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NIST</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Instituto Nacional de Normas e Tecnologia dos Estados Unidos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OSINT</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Inteligência de fontes abertas (</w:t>
            </w:r>
            <w:r>
              <w:rPr>
                <w:rFonts w:ascii="Times New Roman" w:cs="Times New Roman" w:eastAsia="Times New Roman" w:hAnsi="Times New Roman"/>
                <w:b w:val="false"/>
                <w:bCs w:val="false"/>
                <w:i/>
                <w:iCs/>
                <w:sz w:val="20"/>
                <w:szCs w:val="20"/>
              </w:rPr>
              <w:t xml:space="preserve">Open Source Intelligence</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OWASP</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Projecto aberto de segurança de aplicações web (</w:t>
            </w:r>
            <w:r>
              <w:rPr>
                <w:rFonts w:ascii="Times New Roman" w:cs="Times New Roman" w:eastAsia="Times New Roman" w:hAnsi="Times New Roman"/>
                <w:b w:val="false"/>
                <w:bCs w:val="false"/>
                <w:i/>
                <w:iCs/>
                <w:sz w:val="20"/>
                <w:szCs w:val="20"/>
              </w:rPr>
              <w:t xml:space="preserve">Open Worldwide Application Security Project</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PBKDF2</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Função de derivação de chaves a partir de palavras-passe, versão 2</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p.p.</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Pontos percentuais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PDF</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Formato de documento portátil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PLN</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Processamento de linguagem natural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PNG</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Gráficos de rede portáteis (formato de imagem)</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RSS</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Formato de distribuição de conteúdos web (</w:t>
            </w:r>
            <w:r>
              <w:rPr>
                <w:rFonts w:ascii="Times New Roman" w:cs="Times New Roman" w:eastAsia="Times New Roman" w:hAnsi="Times New Roman"/>
                <w:b w:val="false"/>
                <w:bCs w:val="false"/>
                <w:i/>
                <w:iCs/>
                <w:sz w:val="20"/>
                <w:szCs w:val="20"/>
              </w:rPr>
              <w:t xml:space="preserve">Really Simple Syndication</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SHA-256</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Algoritmo de </w:t>
            </w:r>
            <w:r>
              <w:rPr>
                <w:rFonts w:ascii="Times New Roman" w:cs="Times New Roman" w:eastAsia="Times New Roman" w:hAnsi="Times New Roman"/>
                <w:b w:val="false"/>
                <w:bCs w:val="false"/>
                <w:i/>
                <w:iCs/>
                <w:sz w:val="20"/>
                <w:szCs w:val="20"/>
              </w:rPr>
              <w:t xml:space="preserve">hash</w:t>
            </w:r>
            <w:r>
              <w:rPr>
                <w:rFonts w:ascii="Times New Roman" w:cs="Times New Roman" w:eastAsia="Times New Roman" w:hAnsi="Times New Roman"/>
                <w:b w:val="false"/>
                <w:bCs w:val="false"/>
                <w:sz w:val="20"/>
                <w:szCs w:val="20"/>
              </w:rPr>
              <w:t xml:space="preserve"> seguro de 256 bits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SMOTE</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Técnica de sobreamostragem sintética de minorias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SOCMINT</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Inteligência de redes sociais (</w:t>
            </w:r>
            <w:r>
              <w:rPr>
                <w:rFonts w:ascii="Times New Roman" w:cs="Times New Roman" w:eastAsia="Times New Roman" w:hAnsi="Times New Roman"/>
                <w:b w:val="false"/>
                <w:bCs w:val="false"/>
                <w:i/>
                <w:iCs/>
                <w:sz w:val="20"/>
                <w:szCs w:val="20"/>
              </w:rPr>
              <w:t xml:space="preserve">Social Media Intelligence</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SVG</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Gráficos vectoriais escaláveis (formato de imagem)</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SVM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Máquina de vectores de suporte (</w:t>
            </w:r>
            <w:r>
              <w:rPr>
                <w:rFonts w:ascii="Times New Roman" w:cs="Times New Roman" w:eastAsia="Times New Roman" w:hAnsi="Times New Roman"/>
                <w:b w:val="false"/>
                <w:bCs w:val="false"/>
                <w:i/>
                <w:iCs/>
                <w:sz w:val="20"/>
                <w:szCs w:val="20"/>
              </w:rPr>
              <w:t xml:space="preserve">Support Vector Machine</w:t>
            </w:r>
            <w:r>
              <w:rPr>
                <w:rFonts w:ascii="Times New Roman" w:cs="Times New Roman" w:eastAsia="Times New Roman" w:hAnsi="Times New Roman"/>
                <w:b w:val="false"/>
                <w:bCs w:val="false"/>
                <w:sz w:val="20"/>
                <w:szCs w:val="20"/>
              </w:rPr>
              <w:t xml:space="preserv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TF-IDF</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Frequência do termo × inverso da frequência nos documentos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UAN</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Universidade Agostinho Neto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UML</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Linguagem de modelação unificada</w:t>
            </w:r>
          </w:p>
        </w:tc>
      </w:tr>
      <w:tr>
        <w:trPr>
          <w:cantSplit/>
          <w:tblHeader w:val="false"/>
        </w:trPr>
        <w:tc>
          <w:tcPr>
            <w:tcW w:type="dxa" w:w="1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κ</w:t>
            </w:r>
          </w:p>
        </w:tc>
        <w:tc>
          <w:tcPr>
            <w:tcW w:type="dxa" w:w="64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20"/>
                <w:szCs w:val="20"/>
              </w:rPr>
              <w:t xml:space="preserve">Coeficiente Kappa (de Cohen ou de Fleiss)</w:t>
            </w:r>
          </w:p>
        </w:tc>
      </w:tr>
    </w:tbl>
    <w:p>
      <w:pPr>
        <w:pStyle w:val="TituloSemIndice"/>
        <w:pageBreakBefore/>
        <w:spacing w:after="480" w:before="567"/>
        <w:jc w:val="center"/>
      </w:pPr>
      <w:r>
        <w:rPr>
          <w:rFonts w:ascii="Times New Roman" w:cs="Times New Roman" w:eastAsia="Times New Roman" w:hAnsi="Times New Roman"/>
          <w:b/>
          <w:bCs/>
          <w:sz w:val="28"/>
          <w:szCs w:val="28"/>
        </w:rPr>
        <w:t xml:space="preserve">ÍNDICE</w:t>
      </w:r>
    </w:p>
    <w:sdt>
      <w:sdtPr>
        <w:alias w:val="Índice"/>
      </w:sdtPr>
      <w:sdtContent>
        <w:p>
          <w:r>
            <w:fldChar w:fldCharType="begin"/>
            <w:instrText xml:space="preserve">TOC \h \o "1-3"</w:instrText>
            <w:fldChar w:fldCharType="separate"/>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CAPÍTULO 1 – INTRODUÇÃO</w:t>
          </w:r>
          <w:r>
            <w:rPr>
              <w:rFonts w:ascii="Times New Roman" w:hAnsi="Times New Roman" w:cs="Times New Roman"/>
              <w:sz w:val="24"/>
              <w:szCs w:val="24"/>
            </w:rPr>
            <w:tab/>
          </w:r>
          <w:r>
            <w:rPr>
              <w:rFonts w:ascii="Times New Roman" w:hAnsi="Times New Roman" w:cs="Times New Roman"/>
              <w:sz w:val="24"/>
              <w:szCs w:val="24"/>
            </w:rPr>
            <w:t>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1.1 Contextualização</w:t>
          </w:r>
          <w:r>
            <w:rPr>
              <w:rFonts w:ascii="Times New Roman" w:hAnsi="Times New Roman" w:cs="Times New Roman"/>
              <w:sz w:val="24"/>
              <w:szCs w:val="24"/>
            </w:rPr>
            <w:tab/>
          </w:r>
          <w:r>
            <w:rPr>
              <w:rFonts w:ascii="Times New Roman" w:hAnsi="Times New Roman" w:cs="Times New Roman"/>
              <w:sz w:val="24"/>
              <w:szCs w:val="24"/>
            </w:rPr>
            <w:t>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1.2 Problema de investigação</w:t>
          </w:r>
          <w:r>
            <w:rPr>
              <w:rFonts w:ascii="Times New Roman" w:hAnsi="Times New Roman" w:cs="Times New Roman"/>
              <w:sz w:val="24"/>
              <w:szCs w:val="24"/>
            </w:rPr>
            <w:tab/>
          </w:r>
          <w:r>
            <w:rPr>
              <w:rFonts w:ascii="Times New Roman" w:hAnsi="Times New Roman" w:cs="Times New Roman"/>
              <w:sz w:val="24"/>
              <w:szCs w:val="24"/>
            </w:rPr>
            <w:t>2</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1.3 Hipóteses de investigação</w:t>
          </w:r>
          <w:r>
            <w:rPr>
              <w:rFonts w:ascii="Times New Roman" w:hAnsi="Times New Roman" w:cs="Times New Roman"/>
              <w:sz w:val="24"/>
              <w:szCs w:val="24"/>
            </w:rPr>
            <w:tab/>
          </w:r>
          <w:r>
            <w:rPr>
              <w:rFonts w:ascii="Times New Roman" w:hAnsi="Times New Roman" w:cs="Times New Roman"/>
              <w:sz w:val="24"/>
              <w:szCs w:val="24"/>
            </w:rPr>
            <w:t>3</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1.4 Objectivos</w:t>
          </w:r>
          <w:r>
            <w:rPr>
              <w:rFonts w:ascii="Times New Roman" w:hAnsi="Times New Roman" w:cs="Times New Roman"/>
              <w:sz w:val="24"/>
              <w:szCs w:val="24"/>
            </w:rPr>
            <w:tab/>
          </w:r>
          <w:r>
            <w:rPr>
              <w:rFonts w:ascii="Times New Roman" w:hAnsi="Times New Roman" w:cs="Times New Roman"/>
              <w:sz w:val="24"/>
              <w:szCs w:val="24"/>
            </w:rPr>
            <w:t>3</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1.4.1 Objectivo geral</w:t>
          </w:r>
          <w:r>
            <w:rPr>
              <w:rFonts w:ascii="Times New Roman" w:hAnsi="Times New Roman" w:cs="Times New Roman"/>
              <w:sz w:val="24"/>
              <w:szCs w:val="24"/>
            </w:rPr>
            <w:tab/>
          </w:r>
          <w:r>
            <w:rPr>
              <w:rFonts w:ascii="Times New Roman" w:hAnsi="Times New Roman" w:cs="Times New Roman"/>
              <w:sz w:val="24"/>
              <w:szCs w:val="24"/>
            </w:rPr>
            <w:t>3</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1.4.2 Objectivos específicos</w:t>
          </w:r>
          <w:r>
            <w:rPr>
              <w:rFonts w:ascii="Times New Roman" w:hAnsi="Times New Roman" w:cs="Times New Roman"/>
              <w:sz w:val="24"/>
              <w:szCs w:val="24"/>
            </w:rPr>
            <w:tab/>
          </w:r>
          <w:r>
            <w:rPr>
              <w:rFonts w:ascii="Times New Roman" w:hAnsi="Times New Roman" w:cs="Times New Roman"/>
              <w:sz w:val="24"/>
              <w:szCs w:val="24"/>
            </w:rPr>
            <w:t>4</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1.5 Justificação e relevância</w:t>
          </w:r>
          <w:r>
            <w:rPr>
              <w:rFonts w:ascii="Times New Roman" w:hAnsi="Times New Roman" w:cs="Times New Roman"/>
              <w:sz w:val="24"/>
              <w:szCs w:val="24"/>
            </w:rPr>
            <w:tab/>
          </w:r>
          <w:r>
            <w:rPr>
              <w:rFonts w:ascii="Times New Roman" w:hAnsi="Times New Roman" w:cs="Times New Roman"/>
              <w:sz w:val="24"/>
              <w:szCs w:val="24"/>
            </w:rPr>
            <w:t>4</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1.6 Delimitação do estudo</w:t>
          </w:r>
          <w:r>
            <w:rPr>
              <w:rFonts w:ascii="Times New Roman" w:hAnsi="Times New Roman" w:cs="Times New Roman"/>
              <w:sz w:val="24"/>
              <w:szCs w:val="24"/>
            </w:rPr>
            <w:tab/>
          </w:r>
          <w:r>
            <w:rPr>
              <w:rFonts w:ascii="Times New Roman" w:hAnsi="Times New Roman" w:cs="Times New Roman"/>
              <w:sz w:val="24"/>
              <w:szCs w:val="24"/>
            </w:rPr>
            <w:t>5</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1.7 Estrutura da dissertação</w:t>
          </w:r>
          <w:r>
            <w:rPr>
              <w:rFonts w:ascii="Times New Roman" w:hAnsi="Times New Roman" w:cs="Times New Roman"/>
              <w:sz w:val="24"/>
              <w:szCs w:val="24"/>
            </w:rPr>
            <w:tab/>
          </w:r>
          <w:r>
            <w:rPr>
              <w:rFonts w:ascii="Times New Roman" w:hAnsi="Times New Roman" w:cs="Times New Roman"/>
              <w:sz w:val="24"/>
              <w:szCs w:val="24"/>
            </w:rPr>
            <w:t>5</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CAPÍTULO 2 – REVISÃO DA LITERATURA</w:t>
          </w:r>
          <w:r>
            <w:rPr>
              <w:rFonts w:ascii="Times New Roman" w:hAnsi="Times New Roman" w:cs="Times New Roman"/>
              <w:sz w:val="24"/>
              <w:szCs w:val="24"/>
            </w:rPr>
            <w:tab/>
          </w:r>
          <w:r>
            <w:rPr>
              <w:rFonts w:ascii="Times New Roman" w:hAnsi="Times New Roman" w:cs="Times New Roman"/>
              <w:sz w:val="24"/>
              <w:szCs w:val="24"/>
            </w:rPr>
            <w:t>6</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2.1 Redes sociais: conceito, evolução e dimensão securitária</w:t>
          </w:r>
          <w:r>
            <w:rPr>
              <w:rFonts w:ascii="Times New Roman" w:hAnsi="Times New Roman" w:cs="Times New Roman"/>
              <w:sz w:val="24"/>
              <w:szCs w:val="24"/>
            </w:rPr>
            <w:tab/>
          </w:r>
          <w:r>
            <w:rPr>
              <w:rFonts w:ascii="Times New Roman" w:hAnsi="Times New Roman" w:cs="Times New Roman"/>
              <w:sz w:val="24"/>
              <w:szCs w:val="24"/>
            </w:rPr>
            <w:t>6</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2.1.1 Conceito e evolução</w:t>
          </w:r>
          <w:r>
            <w:rPr>
              <w:rFonts w:ascii="Times New Roman" w:hAnsi="Times New Roman" w:cs="Times New Roman"/>
              <w:sz w:val="24"/>
              <w:szCs w:val="24"/>
            </w:rPr>
            <w:tab/>
          </w:r>
          <w:r>
            <w:rPr>
              <w:rFonts w:ascii="Times New Roman" w:hAnsi="Times New Roman" w:cs="Times New Roman"/>
              <w:sz w:val="24"/>
              <w:szCs w:val="24"/>
            </w:rPr>
            <w:t>6</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2.1.2 O ecossistema digital angolano</w:t>
          </w:r>
          <w:r>
            <w:rPr>
              <w:rFonts w:ascii="Times New Roman" w:hAnsi="Times New Roman" w:cs="Times New Roman"/>
              <w:sz w:val="24"/>
              <w:szCs w:val="24"/>
            </w:rPr>
            <w:tab/>
          </w:r>
          <w:r>
            <w:rPr>
              <w:rFonts w:ascii="Times New Roman" w:hAnsi="Times New Roman" w:cs="Times New Roman"/>
              <w:sz w:val="24"/>
              <w:szCs w:val="24"/>
            </w:rPr>
            <w:t>6</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2.1.3 Inteligência de fontes abertas e de redes sociais</w:t>
          </w:r>
          <w:r>
            <w:rPr>
              <w:rFonts w:ascii="Times New Roman" w:hAnsi="Times New Roman" w:cs="Times New Roman"/>
              <w:sz w:val="24"/>
              <w:szCs w:val="24"/>
            </w:rPr>
            <w:tab/>
          </w:r>
          <w:r>
            <w:rPr>
              <w:rFonts w:ascii="Times New Roman" w:hAnsi="Times New Roman" w:cs="Times New Roman"/>
              <w:sz w:val="24"/>
              <w:szCs w:val="24"/>
            </w:rPr>
            <w:t>7</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2.2 Categorias de ameaças digitais</w:t>
          </w:r>
          <w:r>
            <w:rPr>
              <w:rFonts w:ascii="Times New Roman" w:hAnsi="Times New Roman" w:cs="Times New Roman"/>
              <w:sz w:val="24"/>
              <w:szCs w:val="24"/>
            </w:rPr>
            <w:tab/>
          </w:r>
          <w:r>
            <w:rPr>
              <w:rFonts w:ascii="Times New Roman" w:hAnsi="Times New Roman" w:cs="Times New Roman"/>
              <w:sz w:val="24"/>
              <w:szCs w:val="24"/>
            </w:rPr>
            <w:t>7</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2.3 Sistemas de monitorização de ameaças</w:t>
          </w:r>
          <w:r>
            <w:rPr>
              <w:rFonts w:ascii="Times New Roman" w:hAnsi="Times New Roman" w:cs="Times New Roman"/>
              <w:sz w:val="24"/>
              <w:szCs w:val="24"/>
            </w:rPr>
            <w:tab/>
          </w:r>
          <w:r>
            <w:rPr>
              <w:rFonts w:ascii="Times New Roman" w:hAnsi="Times New Roman" w:cs="Times New Roman"/>
              <w:sz w:val="24"/>
              <w:szCs w:val="24"/>
            </w:rPr>
            <w:t>8</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2.4 Recursos e modelos de linguagem para o português</w:t>
          </w:r>
          <w:r>
            <w:rPr>
              <w:rFonts w:ascii="Times New Roman" w:hAnsi="Times New Roman" w:cs="Times New Roman"/>
              <w:sz w:val="24"/>
              <w:szCs w:val="24"/>
            </w:rPr>
            <w:tab/>
          </w:r>
          <w:r>
            <w:rPr>
              <w:rFonts w:ascii="Times New Roman" w:hAnsi="Times New Roman" w:cs="Times New Roman"/>
              <w:sz w:val="24"/>
              <w:szCs w:val="24"/>
            </w:rPr>
            <w:t>9</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2.4.1 Corpora anotados</w:t>
          </w:r>
          <w:r>
            <w:rPr>
              <w:rFonts w:ascii="Times New Roman" w:hAnsi="Times New Roman" w:cs="Times New Roman"/>
              <w:sz w:val="24"/>
              <w:szCs w:val="24"/>
            </w:rPr>
            <w:tab/>
          </w:r>
          <w:r>
            <w:rPr>
              <w:rFonts w:ascii="Times New Roman" w:hAnsi="Times New Roman" w:cs="Times New Roman"/>
              <w:sz w:val="24"/>
              <w:szCs w:val="24"/>
            </w:rPr>
            <w:t>9</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2.4.2 Modelos de linguagem</w:t>
          </w:r>
          <w:r>
            <w:rPr>
              <w:rFonts w:ascii="Times New Roman" w:hAnsi="Times New Roman" w:cs="Times New Roman"/>
              <w:sz w:val="24"/>
              <w:szCs w:val="24"/>
            </w:rPr>
            <w:tab/>
          </w:r>
          <w:r>
            <w:rPr>
              <w:rFonts w:ascii="Times New Roman" w:hAnsi="Times New Roman" w:cs="Times New Roman"/>
              <w:sz w:val="24"/>
              <w:szCs w:val="24"/>
            </w:rPr>
            <w:t>10</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2.5 Algoritmos de classificação de texto</w:t>
          </w:r>
          <w:r>
            <w:rPr>
              <w:rFonts w:ascii="Times New Roman" w:hAnsi="Times New Roman" w:cs="Times New Roman"/>
              <w:sz w:val="24"/>
              <w:szCs w:val="24"/>
            </w:rPr>
            <w:tab/>
          </w:r>
          <w:r>
            <w:rPr>
              <w:rFonts w:ascii="Times New Roman" w:hAnsi="Times New Roman" w:cs="Times New Roman"/>
              <w:sz w:val="24"/>
              <w:szCs w:val="24"/>
            </w:rPr>
            <w:t>10</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2.6 Avaliação de classificadores</w:t>
          </w:r>
          <w:r>
            <w:rPr>
              <w:rFonts w:ascii="Times New Roman" w:hAnsi="Times New Roman" w:cs="Times New Roman"/>
              <w:sz w:val="24"/>
              <w:szCs w:val="24"/>
            </w:rPr>
            <w:tab/>
          </w:r>
          <w:r>
            <w:rPr>
              <w:rFonts w:ascii="Times New Roman" w:hAnsi="Times New Roman" w:cs="Times New Roman"/>
              <w:sz w:val="24"/>
              <w:szCs w:val="24"/>
            </w:rPr>
            <w:t>11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2.7 Generalização entre domínios e aprendizagem de atalhos</w:t>
          </w:r>
          <w:r>
            <w:rPr>
              <w:rFonts w:ascii="Times New Roman" w:hAnsi="Times New Roman" w:cs="Times New Roman"/>
              <w:sz w:val="24"/>
              <w:szCs w:val="24"/>
            </w:rPr>
            <w:tab/>
          </w:r>
          <w:r>
            <w:rPr>
              <w:rFonts w:ascii="Times New Roman" w:hAnsi="Times New Roman" w:cs="Times New Roman"/>
              <w:sz w:val="24"/>
              <w:szCs w:val="24"/>
            </w:rPr>
            <w:t>12</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2.8 Aspectos éticos, legais e de direitos humanos</w:t>
          </w:r>
          <w:r>
            <w:rPr>
              <w:rFonts w:ascii="Times New Roman" w:hAnsi="Times New Roman" w:cs="Times New Roman"/>
              <w:sz w:val="24"/>
              <w:szCs w:val="24"/>
            </w:rPr>
            <w:tab/>
          </w:r>
          <w:r>
            <w:rPr>
              <w:rFonts w:ascii="Times New Roman" w:hAnsi="Times New Roman" w:cs="Times New Roman"/>
              <w:sz w:val="24"/>
              <w:szCs w:val="24"/>
            </w:rPr>
            <w:t>13</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2.9 Revisão humana e segurança da informação</w:t>
          </w:r>
          <w:r>
            <w:rPr>
              <w:rFonts w:ascii="Times New Roman" w:hAnsi="Times New Roman" w:cs="Times New Roman"/>
              <w:sz w:val="24"/>
              <w:szCs w:val="24"/>
            </w:rPr>
            <w:tab/>
          </w:r>
          <w:r>
            <w:rPr>
              <w:rFonts w:ascii="Times New Roman" w:hAnsi="Times New Roman" w:cs="Times New Roman"/>
              <w:sz w:val="24"/>
              <w:szCs w:val="24"/>
            </w:rPr>
            <w:t>14</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2.10 Síntese e lacuna de investigação</w:t>
          </w:r>
          <w:r>
            <w:rPr>
              <w:rFonts w:ascii="Times New Roman" w:hAnsi="Times New Roman" w:cs="Times New Roman"/>
              <w:sz w:val="24"/>
              <w:szCs w:val="24"/>
            </w:rPr>
            <w:tab/>
          </w:r>
          <w:r>
            <w:rPr>
              <w:rFonts w:ascii="Times New Roman" w:hAnsi="Times New Roman" w:cs="Times New Roman"/>
              <w:sz w:val="24"/>
              <w:szCs w:val="24"/>
            </w:rPr>
            <w:t>14</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CAPÍTULO 3 – METODOLOGIA</w:t>
          </w:r>
          <w:r>
            <w:rPr>
              <w:rFonts w:ascii="Times New Roman" w:hAnsi="Times New Roman" w:cs="Times New Roman"/>
              <w:sz w:val="24"/>
              <w:szCs w:val="24"/>
            </w:rPr>
            <w:tab/>
          </w:r>
          <w:r>
            <w:rPr>
              <w:rFonts w:ascii="Times New Roman" w:hAnsi="Times New Roman" w:cs="Times New Roman"/>
              <w:sz w:val="24"/>
              <w:szCs w:val="24"/>
            </w:rPr>
            <w:t>15</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3.1 Paradigma e desenho da investigação</w:t>
          </w:r>
          <w:r>
            <w:rPr>
              <w:rFonts w:ascii="Times New Roman" w:hAnsi="Times New Roman" w:cs="Times New Roman"/>
              <w:sz w:val="24"/>
              <w:szCs w:val="24"/>
            </w:rPr>
            <w:tab/>
          </w:r>
          <w:r>
            <w:rPr>
              <w:rFonts w:ascii="Times New Roman" w:hAnsi="Times New Roman" w:cs="Times New Roman"/>
              <w:sz w:val="24"/>
              <w:szCs w:val="24"/>
            </w:rPr>
            <w:t>15</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3.2 Considerações éticas e protecção de dados</w:t>
          </w:r>
          <w:r>
            <w:rPr>
              <w:rFonts w:ascii="Times New Roman" w:hAnsi="Times New Roman" w:cs="Times New Roman"/>
              <w:sz w:val="24"/>
              <w:szCs w:val="24"/>
            </w:rPr>
            <w:tab/>
          </w:r>
          <w:r>
            <w:rPr>
              <w:rFonts w:ascii="Times New Roman" w:hAnsi="Times New Roman" w:cs="Times New Roman"/>
              <w:sz w:val="24"/>
              <w:szCs w:val="24"/>
            </w:rPr>
            <w:t>16</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3.3 Recolha de dados do piloto angolano</w:t>
          </w:r>
          <w:r>
            <w:rPr>
              <w:rFonts w:ascii="Times New Roman" w:hAnsi="Times New Roman" w:cs="Times New Roman"/>
              <w:sz w:val="24"/>
              <w:szCs w:val="24"/>
            </w:rPr>
            <w:tab/>
          </w:r>
          <w:r>
            <w:rPr>
              <w:rFonts w:ascii="Times New Roman" w:hAnsi="Times New Roman" w:cs="Times New Roman"/>
              <w:sz w:val="24"/>
              <w:szCs w:val="24"/>
            </w:rPr>
            <w:t>17</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3.4 Anotação e acordo entre anotadores</w:t>
          </w:r>
          <w:r>
            <w:rPr>
              <w:rFonts w:ascii="Times New Roman" w:hAnsi="Times New Roman" w:cs="Times New Roman"/>
              <w:sz w:val="24"/>
              <w:szCs w:val="24"/>
            </w:rPr>
            <w:tab/>
          </w:r>
          <w:r>
            <w:rPr>
              <w:rFonts w:ascii="Times New Roman" w:hAnsi="Times New Roman" w:cs="Times New Roman"/>
              <w:sz w:val="24"/>
              <w:szCs w:val="24"/>
            </w:rPr>
            <w:t>18</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3.5 Construção do corpus híbrido</w:t>
          </w:r>
          <w:r>
            <w:rPr>
              <w:rFonts w:ascii="Times New Roman" w:hAnsi="Times New Roman" w:cs="Times New Roman"/>
              <w:sz w:val="24"/>
              <w:szCs w:val="24"/>
            </w:rPr>
            <w:tab/>
          </w:r>
          <w:r>
            <w:rPr>
              <w:rFonts w:ascii="Times New Roman" w:hAnsi="Times New Roman" w:cs="Times New Roman"/>
              <w:sz w:val="24"/>
              <w:szCs w:val="24"/>
            </w:rPr>
            <w:t>20</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3.6 Modelos e treino</w:t>
          </w:r>
          <w:r>
            <w:rPr>
              <w:rFonts w:ascii="Times New Roman" w:hAnsi="Times New Roman" w:cs="Times New Roman"/>
              <w:sz w:val="24"/>
              <w:szCs w:val="24"/>
            </w:rPr>
            <w:tab/>
          </w:r>
          <w:r>
            <w:rPr>
              <w:rFonts w:ascii="Times New Roman" w:hAnsi="Times New Roman" w:cs="Times New Roman"/>
              <w:sz w:val="24"/>
              <w:szCs w:val="24"/>
            </w:rPr>
            <w:t>21</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3.6.1 Pré-processamento e representação</w:t>
          </w:r>
          <w:r>
            <w:rPr>
              <w:rFonts w:ascii="Times New Roman" w:hAnsi="Times New Roman" w:cs="Times New Roman"/>
              <w:sz w:val="24"/>
              <w:szCs w:val="24"/>
            </w:rPr>
            <w:tab/>
          </w:r>
          <w:r>
            <w:rPr>
              <w:rFonts w:ascii="Times New Roman" w:hAnsi="Times New Roman" w:cs="Times New Roman"/>
              <w:sz w:val="24"/>
              <w:szCs w:val="24"/>
            </w:rPr>
            <w:t>21</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3.6.2 Configuração dos modelos</w:t>
          </w:r>
          <w:r>
            <w:rPr>
              <w:rFonts w:ascii="Times New Roman" w:hAnsi="Times New Roman" w:cs="Times New Roman"/>
              <w:sz w:val="24"/>
              <w:szCs w:val="24"/>
            </w:rPr>
            <w:tab/>
          </w:r>
          <w:r>
            <w:rPr>
              <w:rFonts w:ascii="Times New Roman" w:hAnsi="Times New Roman" w:cs="Times New Roman"/>
              <w:sz w:val="24"/>
              <w:szCs w:val="24"/>
            </w:rPr>
            <w:t>21</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3.6.3 Ambiente de desenvolvimento</w:t>
          </w:r>
          <w:r>
            <w:rPr>
              <w:rFonts w:ascii="Times New Roman" w:hAnsi="Times New Roman" w:cs="Times New Roman"/>
              <w:sz w:val="24"/>
              <w:szCs w:val="24"/>
            </w:rPr>
            <w:tab/>
          </w:r>
          <w:r>
            <w:rPr>
              <w:rFonts w:ascii="Times New Roman" w:hAnsi="Times New Roman" w:cs="Times New Roman"/>
              <w:sz w:val="24"/>
              <w:szCs w:val="24"/>
            </w:rPr>
            <w:t>22</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3.7 Protocolo de avaliação</w:t>
          </w:r>
          <w:r>
            <w:rPr>
              <w:rFonts w:ascii="Times New Roman" w:hAnsi="Times New Roman" w:cs="Times New Roman"/>
              <w:sz w:val="24"/>
              <w:szCs w:val="24"/>
            </w:rPr>
            <w:tab/>
          </w:r>
          <w:r>
            <w:rPr>
              <w:rFonts w:ascii="Times New Roman" w:hAnsi="Times New Roman" w:cs="Times New Roman"/>
              <w:sz w:val="24"/>
              <w:szCs w:val="24"/>
            </w:rPr>
            <w:t>23</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3.8 Arquitectura do sistema</w:t>
          </w:r>
          <w:r>
            <w:rPr>
              <w:rFonts w:ascii="Times New Roman" w:hAnsi="Times New Roman" w:cs="Times New Roman"/>
              <w:sz w:val="24"/>
              <w:szCs w:val="24"/>
            </w:rPr>
            <w:tab/>
          </w:r>
          <w:r>
            <w:rPr>
              <w:rFonts w:ascii="Times New Roman" w:hAnsi="Times New Roman" w:cs="Times New Roman"/>
              <w:sz w:val="24"/>
              <w:szCs w:val="24"/>
            </w:rPr>
            <w:t>24</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3.8.1 Requisitos</w:t>
          </w:r>
          <w:r>
            <w:rPr>
              <w:rFonts w:ascii="Times New Roman" w:hAnsi="Times New Roman" w:cs="Times New Roman"/>
              <w:sz w:val="24"/>
              <w:szCs w:val="24"/>
            </w:rPr>
            <w:tab/>
          </w:r>
          <w:r>
            <w:rPr>
              <w:rFonts w:ascii="Times New Roman" w:hAnsi="Times New Roman" w:cs="Times New Roman"/>
              <w:sz w:val="24"/>
              <w:szCs w:val="24"/>
            </w:rPr>
            <w:t>24</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3.8.2 Alternativas e decisão</w:t>
          </w:r>
          <w:r>
            <w:rPr>
              <w:rFonts w:ascii="Times New Roman" w:hAnsi="Times New Roman" w:cs="Times New Roman"/>
              <w:sz w:val="24"/>
              <w:szCs w:val="24"/>
            </w:rPr>
            <w:tab/>
          </w:r>
          <w:r>
            <w:rPr>
              <w:rFonts w:ascii="Times New Roman" w:hAnsi="Times New Roman" w:cs="Times New Roman"/>
              <w:sz w:val="24"/>
              <w:szCs w:val="24"/>
            </w:rPr>
            <w:t>25</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3.8.3 Camadas e componentes</w:t>
          </w:r>
          <w:r>
            <w:rPr>
              <w:rFonts w:ascii="Times New Roman" w:hAnsi="Times New Roman" w:cs="Times New Roman"/>
              <w:sz w:val="24"/>
              <w:szCs w:val="24"/>
            </w:rPr>
            <w:tab/>
          </w:r>
          <w:r>
            <w:rPr>
              <w:rFonts w:ascii="Times New Roman" w:hAnsi="Times New Roman" w:cs="Times New Roman"/>
              <w:sz w:val="24"/>
              <w:szCs w:val="24"/>
            </w:rPr>
            <w:t>26</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3.8.4 Casos de uso e fluxo de processamento</w:t>
          </w:r>
          <w:r>
            <w:rPr>
              <w:rFonts w:ascii="Times New Roman" w:hAnsi="Times New Roman" w:cs="Times New Roman"/>
              <w:sz w:val="24"/>
              <w:szCs w:val="24"/>
            </w:rPr>
            <w:tab/>
          </w:r>
          <w:r>
            <w:rPr>
              <w:rFonts w:ascii="Times New Roman" w:hAnsi="Times New Roman" w:cs="Times New Roman"/>
              <w:sz w:val="24"/>
              <w:szCs w:val="24"/>
            </w:rPr>
            <w:t>29</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3.8.5 Interface do analista</w:t>
          </w:r>
          <w:r>
            <w:rPr>
              <w:rFonts w:ascii="Times New Roman" w:hAnsi="Times New Roman" w:cs="Times New Roman"/>
              <w:sz w:val="24"/>
              <w:szCs w:val="24"/>
            </w:rPr>
            <w:tab/>
          </w:r>
          <w:r>
            <w:rPr>
              <w:rFonts w:ascii="Times New Roman" w:hAnsi="Times New Roman" w:cs="Times New Roman"/>
              <w:sz w:val="24"/>
              <w:szCs w:val="24"/>
            </w:rPr>
            <w:t>30</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3.8.6 Recolha automática e gestão da quota</w:t>
          </w:r>
          <w:r>
            <w:rPr>
              <w:rFonts w:ascii="Times New Roman" w:hAnsi="Times New Roman" w:cs="Times New Roman"/>
              <w:sz w:val="24"/>
              <w:szCs w:val="24"/>
            </w:rPr>
            <w:tab/>
          </w:r>
          <w:r>
            <w:rPr>
              <w:rFonts w:ascii="Times New Roman" w:hAnsi="Times New Roman" w:cs="Times New Roman"/>
              <w:sz w:val="24"/>
              <w:szCs w:val="24"/>
            </w:rPr>
            <w:t>33</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3.8.7 Gestão de contas e segurança</w:t>
          </w:r>
          <w:r>
            <w:rPr>
              <w:rFonts w:ascii="Times New Roman" w:hAnsi="Times New Roman" w:cs="Times New Roman"/>
              <w:sz w:val="24"/>
              <w:szCs w:val="24"/>
            </w:rPr>
            <w:tab/>
          </w:r>
          <w:r>
            <w:rPr>
              <w:rFonts w:ascii="Times New Roman" w:hAnsi="Times New Roman" w:cs="Times New Roman"/>
              <w:sz w:val="24"/>
              <w:szCs w:val="24"/>
            </w:rPr>
            <w:t>34</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3.9 Plano de testes e avaliação operacional</w:t>
          </w:r>
          <w:r>
            <w:rPr>
              <w:rFonts w:ascii="Times New Roman" w:hAnsi="Times New Roman" w:cs="Times New Roman"/>
              <w:sz w:val="24"/>
              <w:szCs w:val="24"/>
            </w:rPr>
            <w:tab/>
          </w:r>
          <w:r>
            <w:rPr>
              <w:rFonts w:ascii="Times New Roman" w:hAnsi="Times New Roman" w:cs="Times New Roman"/>
              <w:sz w:val="24"/>
              <w:szCs w:val="24"/>
            </w:rPr>
            <w:t>35</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3.10 Plano de implementação faseada</w:t>
          </w:r>
          <w:r>
            <w:rPr>
              <w:rFonts w:ascii="Times New Roman" w:hAnsi="Times New Roman" w:cs="Times New Roman"/>
              <w:sz w:val="24"/>
              <w:szCs w:val="24"/>
            </w:rPr>
            <w:tab/>
          </w:r>
          <w:r>
            <w:rPr>
              <w:rFonts w:ascii="Times New Roman" w:hAnsi="Times New Roman" w:cs="Times New Roman"/>
              <w:sz w:val="24"/>
              <w:szCs w:val="24"/>
            </w:rPr>
            <w:t>36</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CAPÍTULO 4 – RESULTADOS E DISCUSSÃO</w:t>
          </w:r>
          <w:r>
            <w:rPr>
              <w:rFonts w:ascii="Times New Roman" w:hAnsi="Times New Roman" w:cs="Times New Roman"/>
              <w:sz w:val="24"/>
              <w:szCs w:val="24"/>
            </w:rPr>
            <w:tab/>
          </w:r>
          <w:r>
            <w:rPr>
              <w:rFonts w:ascii="Times New Roman" w:hAnsi="Times New Roman" w:cs="Times New Roman"/>
              <w:sz w:val="24"/>
              <w:szCs w:val="24"/>
            </w:rPr>
            <w:t>37</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4.1 Corpus de avaliação e protocolo experimental</w:t>
          </w:r>
          <w:r>
            <w:rPr>
              <w:rFonts w:ascii="Times New Roman" w:hAnsi="Times New Roman" w:cs="Times New Roman"/>
              <w:sz w:val="24"/>
              <w:szCs w:val="24"/>
            </w:rPr>
            <w:tab/>
          </w:r>
          <w:r>
            <w:rPr>
              <w:rFonts w:ascii="Times New Roman" w:hAnsi="Times New Roman" w:cs="Times New Roman"/>
              <w:sz w:val="24"/>
              <w:szCs w:val="24"/>
            </w:rPr>
            <w:t>37</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4.2 Desempenho global dos modelos</w:t>
          </w:r>
          <w:r>
            <w:rPr>
              <w:rFonts w:ascii="Times New Roman" w:hAnsi="Times New Roman" w:cs="Times New Roman"/>
              <w:sz w:val="24"/>
              <w:szCs w:val="24"/>
            </w:rPr>
            <w:tab/>
          </w:r>
          <w:r>
            <w:rPr>
              <w:rFonts w:ascii="Times New Roman" w:hAnsi="Times New Roman" w:cs="Times New Roman"/>
              <w:sz w:val="24"/>
              <w:szCs w:val="24"/>
            </w:rPr>
            <w:t>38</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4.3 Significância estatística das diferenças</w:t>
          </w:r>
          <w:r>
            <w:rPr>
              <w:rFonts w:ascii="Times New Roman" w:hAnsi="Times New Roman" w:cs="Times New Roman"/>
              <w:sz w:val="24"/>
              <w:szCs w:val="24"/>
            </w:rPr>
            <w:tab/>
          </w:r>
          <w:r>
            <w:rPr>
              <w:rFonts w:ascii="Times New Roman" w:hAnsi="Times New Roman" w:cs="Times New Roman"/>
              <w:sz w:val="24"/>
              <w:szCs w:val="24"/>
            </w:rPr>
            <w:t>39</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4.4 Desempenho por categoria e análise de erros</w:t>
          </w:r>
          <w:r>
            <w:rPr>
              <w:rFonts w:ascii="Times New Roman" w:hAnsi="Times New Roman" w:cs="Times New Roman"/>
              <w:sz w:val="24"/>
              <w:szCs w:val="24"/>
            </w:rPr>
            <w:tab/>
          </w:r>
          <w:r>
            <w:rPr>
              <w:rFonts w:ascii="Times New Roman" w:hAnsi="Times New Roman" w:cs="Times New Roman"/>
              <w:sz w:val="24"/>
              <w:szCs w:val="24"/>
            </w:rPr>
            <w:t>40</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4.5 Análises de robustez</w:t>
          </w:r>
          <w:r>
            <w:rPr>
              <w:rFonts w:ascii="Times New Roman" w:hAnsi="Times New Roman" w:cs="Times New Roman"/>
              <w:sz w:val="24"/>
              <w:szCs w:val="24"/>
            </w:rPr>
            <w:tab/>
          </w:r>
          <w:r>
            <w:rPr>
              <w:rFonts w:ascii="Times New Roman" w:hAnsi="Times New Roman" w:cs="Times New Roman"/>
              <w:sz w:val="24"/>
              <w:szCs w:val="24"/>
            </w:rPr>
            <w:t>42</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4.5.1 Variabilidade entre sementes, ensemble e ablações</w:t>
          </w:r>
          <w:r>
            <w:rPr>
              <w:rFonts w:ascii="Times New Roman" w:hAnsi="Times New Roman" w:cs="Times New Roman"/>
              <w:sz w:val="24"/>
              <w:szCs w:val="24"/>
            </w:rPr>
            <w:tab/>
          </w:r>
          <w:r>
            <w:rPr>
              <w:rFonts w:ascii="Times New Roman" w:hAnsi="Times New Roman" w:cs="Times New Roman"/>
              <w:sz w:val="24"/>
              <w:szCs w:val="24"/>
            </w:rPr>
            <w:t>42</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4.5.2 Ajuste de limiares de decisão</w:t>
          </w:r>
          <w:r>
            <w:rPr>
              <w:rFonts w:ascii="Times New Roman" w:hAnsi="Times New Roman" w:cs="Times New Roman"/>
              <w:sz w:val="24"/>
              <w:szCs w:val="24"/>
            </w:rPr>
            <w:tab/>
          </w:r>
          <w:r>
            <w:rPr>
              <w:rFonts w:ascii="Times New Roman" w:hAnsi="Times New Roman" w:cs="Times New Roman"/>
              <w:sz w:val="24"/>
              <w:szCs w:val="24"/>
            </w:rPr>
            <w:t>44</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4.6 Lacuna de domínio: piloto angolano e corpus público (Hipótese H4)</w:t>
          </w:r>
          <w:r>
            <w:rPr>
              <w:rFonts w:ascii="Times New Roman" w:hAnsi="Times New Roman" w:cs="Times New Roman"/>
              <w:sz w:val="24"/>
              <w:szCs w:val="24"/>
            </w:rPr>
            <w:tab/>
          </w:r>
          <w:r>
            <w:rPr>
              <w:rFonts w:ascii="Times New Roman" w:hAnsi="Times New Roman" w:cs="Times New Roman"/>
              <w:sz w:val="24"/>
              <w:szCs w:val="24"/>
            </w:rPr>
            <w:t>44</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4.7 Qualidade das probabilidades e utilidade da ordenação</w:t>
          </w:r>
          <w:r>
            <w:rPr>
              <w:rFonts w:ascii="Times New Roman" w:hAnsi="Times New Roman" w:cs="Times New Roman"/>
              <w:sz w:val="24"/>
              <w:szCs w:val="24"/>
            </w:rPr>
            <w:tab/>
          </w:r>
          <w:r>
            <w:rPr>
              <w:rFonts w:ascii="Times New Roman" w:hAnsi="Times New Roman" w:cs="Times New Roman"/>
              <w:sz w:val="24"/>
              <w:szCs w:val="24"/>
            </w:rPr>
            <w:t>46</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4.7.1 Calibração das probabilidades</w:t>
          </w:r>
          <w:r>
            <w:rPr>
              <w:rFonts w:ascii="Times New Roman" w:hAnsi="Times New Roman" w:cs="Times New Roman"/>
              <w:sz w:val="24"/>
              <w:szCs w:val="24"/>
            </w:rPr>
            <w:tab/>
          </w:r>
          <w:r>
            <w:rPr>
              <w:rFonts w:ascii="Times New Roman" w:hAnsi="Times New Roman" w:cs="Times New Roman"/>
              <w:sz w:val="24"/>
              <w:szCs w:val="24"/>
            </w:rPr>
            <w:t>46</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4.7.2 Ordenação da fila de revisão</w:t>
          </w:r>
          <w:r>
            <w:rPr>
              <w:rFonts w:ascii="Times New Roman" w:hAnsi="Times New Roman" w:cs="Times New Roman"/>
              <w:sz w:val="24"/>
              <w:szCs w:val="24"/>
            </w:rPr>
            <w:tab/>
          </w:r>
          <w:r>
            <w:rPr>
              <w:rFonts w:ascii="Times New Roman" w:hAnsi="Times New Roman" w:cs="Times New Roman"/>
              <w:sz w:val="24"/>
              <w:szCs w:val="24"/>
            </w:rPr>
            <w:t>47</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4.8 Avaliação operacional do sistema (Hipóteses H2 e H3)</w:t>
          </w:r>
          <w:r>
            <w:rPr>
              <w:rFonts w:ascii="Times New Roman" w:hAnsi="Times New Roman" w:cs="Times New Roman"/>
              <w:sz w:val="24"/>
              <w:szCs w:val="24"/>
            </w:rPr>
            <w:tab/>
          </w:r>
          <w:r>
            <w:rPr>
              <w:rFonts w:ascii="Times New Roman" w:hAnsi="Times New Roman" w:cs="Times New Roman"/>
              <w:sz w:val="24"/>
              <w:szCs w:val="24"/>
            </w:rPr>
            <w:t>49</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4.8.1 Tempo de processamento (H2)</w:t>
          </w:r>
          <w:r>
            <w:rPr>
              <w:rFonts w:ascii="Times New Roman" w:hAnsi="Times New Roman" w:cs="Times New Roman"/>
              <w:sz w:val="24"/>
              <w:szCs w:val="24"/>
            </w:rPr>
            <w:tab/>
          </w:r>
          <w:r>
            <w:rPr>
              <w:rFonts w:ascii="Times New Roman" w:hAnsi="Times New Roman" w:cs="Times New Roman"/>
              <w:sz w:val="24"/>
              <w:szCs w:val="24"/>
            </w:rPr>
            <w:t>49</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4.8.2 Antecedência de detecção (H3)</w:t>
          </w:r>
          <w:r>
            <w:rPr>
              <w:rFonts w:ascii="Times New Roman" w:hAnsi="Times New Roman" w:cs="Times New Roman"/>
              <w:sz w:val="24"/>
              <w:szCs w:val="24"/>
            </w:rPr>
            <w:tab/>
          </w:r>
          <w:r>
            <w:rPr>
              <w:rFonts w:ascii="Times New Roman" w:hAnsi="Times New Roman" w:cs="Times New Roman"/>
              <w:sz w:val="24"/>
              <w:szCs w:val="24"/>
            </w:rPr>
            <w:t>50</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4.8.3 Implicações para o desenho operacional</w:t>
          </w:r>
          <w:r>
            <w:rPr>
              <w:rFonts w:ascii="Times New Roman" w:hAnsi="Times New Roman" w:cs="Times New Roman"/>
              <w:sz w:val="24"/>
              <w:szCs w:val="24"/>
            </w:rPr>
            <w:tab/>
          </w:r>
          <w:r>
            <w:rPr>
              <w:rFonts w:ascii="Times New Roman" w:hAnsi="Times New Roman" w:cs="Times New Roman"/>
              <w:sz w:val="24"/>
              <w:szCs w:val="24"/>
            </w:rPr>
            <w:t>50</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4.8.4 Verificação funcional do sistema</w:t>
          </w:r>
          <w:r>
            <w:rPr>
              <w:rFonts w:ascii="Times New Roman" w:hAnsi="Times New Roman" w:cs="Times New Roman"/>
              <w:sz w:val="24"/>
              <w:szCs w:val="24"/>
            </w:rPr>
            <w:tab/>
          </w:r>
          <w:r>
            <w:rPr>
              <w:rFonts w:ascii="Times New Roman" w:hAnsi="Times New Roman" w:cs="Times New Roman"/>
              <w:sz w:val="24"/>
              <w:szCs w:val="24"/>
            </w:rPr>
            <w:t>51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4.9 Discussão e verificação formal das hipóteses</w:t>
          </w:r>
          <w:r>
            <w:rPr>
              <w:rFonts w:ascii="Times New Roman" w:hAnsi="Times New Roman" w:cs="Times New Roman"/>
              <w:sz w:val="24"/>
              <w:szCs w:val="24"/>
            </w:rPr>
            <w:tab/>
          </w:r>
          <w:r>
            <w:rPr>
              <w:rFonts w:ascii="Times New Roman" w:hAnsi="Times New Roman" w:cs="Times New Roman"/>
              <w:sz w:val="24"/>
              <w:szCs w:val="24"/>
            </w:rPr>
            <w:t>51</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CAPÍTULO 5 – CONCLUSÕES</w:t>
          </w:r>
          <w:r>
            <w:rPr>
              <w:rFonts w:ascii="Times New Roman" w:hAnsi="Times New Roman" w:cs="Times New Roman"/>
              <w:sz w:val="24"/>
              <w:szCs w:val="24"/>
            </w:rPr>
            <w:tab/>
          </w:r>
          <w:r>
            <w:rPr>
              <w:rFonts w:ascii="Times New Roman" w:hAnsi="Times New Roman" w:cs="Times New Roman"/>
              <w:sz w:val="24"/>
              <w:szCs w:val="24"/>
            </w:rPr>
            <w:t>53</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5.1 Síntese dos objectivos</w:t>
          </w:r>
          <w:r>
            <w:rPr>
              <w:rFonts w:ascii="Times New Roman" w:hAnsi="Times New Roman" w:cs="Times New Roman"/>
              <w:sz w:val="24"/>
              <w:szCs w:val="24"/>
            </w:rPr>
            <w:tab/>
          </w:r>
          <w:r>
            <w:rPr>
              <w:rFonts w:ascii="Times New Roman" w:hAnsi="Times New Roman" w:cs="Times New Roman"/>
              <w:sz w:val="24"/>
              <w:szCs w:val="24"/>
            </w:rPr>
            <w:t>53</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5.2 Resposta às hipóteses e às perguntas de investigação</w:t>
          </w:r>
          <w:r>
            <w:rPr>
              <w:rFonts w:ascii="Times New Roman" w:hAnsi="Times New Roman" w:cs="Times New Roman"/>
              <w:sz w:val="24"/>
              <w:szCs w:val="24"/>
            </w:rPr>
            <w:tab/>
          </w:r>
          <w:r>
            <w:rPr>
              <w:rFonts w:ascii="Times New Roman" w:hAnsi="Times New Roman" w:cs="Times New Roman"/>
              <w:sz w:val="24"/>
              <w:szCs w:val="24"/>
            </w:rPr>
            <w:t>54</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5.3 Contributos</w:t>
          </w:r>
          <w:r>
            <w:rPr>
              <w:rFonts w:ascii="Times New Roman" w:hAnsi="Times New Roman" w:cs="Times New Roman"/>
              <w:sz w:val="24"/>
              <w:szCs w:val="24"/>
            </w:rPr>
            <w:tab/>
          </w:r>
          <w:r>
            <w:rPr>
              <w:rFonts w:ascii="Times New Roman" w:hAnsi="Times New Roman" w:cs="Times New Roman"/>
              <w:sz w:val="24"/>
              <w:szCs w:val="24"/>
            </w:rPr>
            <w:t>55</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5.4 Limitações</w:t>
          </w:r>
          <w:r>
            <w:rPr>
              <w:rFonts w:ascii="Times New Roman" w:hAnsi="Times New Roman" w:cs="Times New Roman"/>
              <w:sz w:val="24"/>
              <w:szCs w:val="24"/>
            </w:rPr>
            <w:tab/>
          </w:r>
          <w:r>
            <w:rPr>
              <w:rFonts w:ascii="Times New Roman" w:hAnsi="Times New Roman" w:cs="Times New Roman"/>
              <w:sz w:val="24"/>
              <w:szCs w:val="24"/>
            </w:rPr>
            <w:t>55</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5.5 Implicações para a defesa e segurança nacional</w:t>
          </w:r>
          <w:r>
            <w:rPr>
              <w:rFonts w:ascii="Times New Roman" w:hAnsi="Times New Roman" w:cs="Times New Roman"/>
              <w:sz w:val="24"/>
              <w:szCs w:val="24"/>
            </w:rPr>
            <w:tab/>
          </w:r>
          <w:r>
            <w:rPr>
              <w:rFonts w:ascii="Times New Roman" w:hAnsi="Times New Roman" w:cs="Times New Roman"/>
              <w:sz w:val="24"/>
              <w:szCs w:val="24"/>
            </w:rPr>
            <w:t>57</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5.6 Quadro de uso responsável</w:t>
          </w:r>
          <w:r>
            <w:rPr>
              <w:rFonts w:ascii="Times New Roman" w:hAnsi="Times New Roman" w:cs="Times New Roman"/>
              <w:sz w:val="24"/>
              <w:szCs w:val="24"/>
            </w:rPr>
            <w:tab/>
          </w:r>
          <w:r>
            <w:rPr>
              <w:rFonts w:ascii="Times New Roman" w:hAnsi="Times New Roman" w:cs="Times New Roman"/>
              <w:sz w:val="24"/>
              <w:szCs w:val="24"/>
            </w:rPr>
            <w:t>57</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5.7 Considerações finais</w:t>
          </w:r>
          <w:r>
            <w:rPr>
              <w:rFonts w:ascii="Times New Roman" w:hAnsi="Times New Roman" w:cs="Times New Roman"/>
              <w:sz w:val="24"/>
              <w:szCs w:val="24"/>
            </w:rPr>
            <w:tab/>
          </w:r>
          <w:r>
            <w:rPr>
              <w:rFonts w:ascii="Times New Roman" w:hAnsi="Times New Roman" w:cs="Times New Roman"/>
              <w:sz w:val="24"/>
              <w:szCs w:val="24"/>
            </w:rPr>
            <w:t>58</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CAPÍTULO 6 – RECOMENDAÇÕES</w:t>
          </w:r>
          <w:r>
            <w:rPr>
              <w:rFonts w:ascii="Times New Roman" w:hAnsi="Times New Roman" w:cs="Times New Roman"/>
              <w:sz w:val="24"/>
              <w:szCs w:val="24"/>
            </w:rPr>
            <w:tab/>
          </w:r>
          <w:r>
            <w:rPr>
              <w:rFonts w:ascii="Times New Roman" w:hAnsi="Times New Roman" w:cs="Times New Roman"/>
              <w:sz w:val="24"/>
              <w:szCs w:val="24"/>
            </w:rPr>
            <w:t>59</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REFERÊNCIAS BIBLIOGRÁFICAS</w:t>
          </w:r>
          <w:r>
            <w:rPr>
              <w:rFonts w:ascii="Times New Roman" w:hAnsi="Times New Roman" w:cs="Times New Roman"/>
              <w:sz w:val="24"/>
              <w:szCs w:val="24"/>
            </w:rPr>
            <w:tab/>
          </w:r>
          <w:r>
            <w:rPr>
              <w:rFonts w:ascii="Times New Roman" w:hAnsi="Times New Roman" w:cs="Times New Roman"/>
              <w:sz w:val="24"/>
              <w:szCs w:val="24"/>
            </w:rPr>
            <w:t>60</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GLOSSÁRIO</w:t>
          </w:r>
          <w:r>
            <w:rPr>
              <w:rFonts w:ascii="Times New Roman" w:hAnsi="Times New Roman" w:cs="Times New Roman"/>
              <w:sz w:val="24"/>
              <w:szCs w:val="24"/>
            </w:rPr>
            <w:tab/>
          </w:r>
          <w:r>
            <w:rPr>
              <w:rFonts w:ascii="Times New Roman" w:hAnsi="Times New Roman" w:cs="Times New Roman"/>
              <w:sz w:val="24"/>
              <w:szCs w:val="24"/>
            </w:rPr>
            <w:t>G1</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APÊNDICE A – EXCERTOS DE CÓDIGO-FONTE</w:t>
          </w:r>
          <w:r>
            <w:rPr>
              <w:rFonts w:ascii="Times New Roman" w:hAnsi="Times New Roman" w:cs="Times New Roman"/>
              <w:sz w:val="24"/>
              <w:szCs w:val="24"/>
            </w:rPr>
            <w:tab/>
          </w:r>
          <w:r>
            <w:rPr>
              <w:rFonts w:ascii="Times New Roman" w:hAnsi="Times New Roman" w:cs="Times New Roman"/>
              <w:sz w:val="24"/>
              <w:szCs w:val="24"/>
            </w:rPr>
            <w:t>A1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A.1 Anonimização à entrada (sistema/anonimizacao.py)</w:t>
          </w:r>
          <w:r>
            <w:rPr>
              <w:rFonts w:ascii="Times New Roman" w:hAnsi="Times New Roman" w:cs="Times New Roman"/>
              <w:sz w:val="24"/>
              <w:szCs w:val="24"/>
            </w:rPr>
            <w:tab/>
          </w:r>
          <w:r>
            <w:rPr>
              <w:rFonts w:ascii="Times New Roman" w:hAnsi="Times New Roman" w:cs="Times New Roman"/>
              <w:sz w:val="24"/>
              <w:szCs w:val="24"/>
            </w:rPr>
            <w:t>A1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A.2 Classificação em lote com o BERTimbau (sistema/classificador.py)</w:t>
          </w:r>
          <w:r>
            <w:rPr>
              <w:rFonts w:ascii="Times New Roman" w:hAnsi="Times New Roman" w:cs="Times New Roman"/>
              <w:sz w:val="24"/>
              <w:szCs w:val="24"/>
            </w:rPr>
            <w:tab/>
          </w:r>
          <w:r>
            <w:rPr>
              <w:rFonts w:ascii="Times New Roman" w:hAnsi="Times New Roman" w:cs="Times New Roman"/>
              <w:sz w:val="24"/>
              <w:szCs w:val="24"/>
            </w:rPr>
            <w:t>A1</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APÊNDICE B – GUIA DE ANOTAÇÃO PADRONIZADO</w:t>
          </w:r>
          <w:r>
            <w:rPr>
              <w:rFonts w:ascii="Times New Roman" w:hAnsi="Times New Roman" w:cs="Times New Roman"/>
              <w:sz w:val="24"/>
              <w:szCs w:val="24"/>
            </w:rPr>
            <w:tab/>
          </w:r>
          <w:r>
            <w:rPr>
              <w:rFonts w:ascii="Times New Roman" w:hAnsi="Times New Roman" w:cs="Times New Roman"/>
              <w:sz w:val="24"/>
              <w:szCs w:val="24"/>
            </w:rPr>
            <w:t>B1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B.1 Identificação do projecto</w:t>
          </w:r>
          <w:r>
            <w:rPr>
              <w:rFonts w:ascii="Times New Roman" w:hAnsi="Times New Roman" w:cs="Times New Roman"/>
              <w:sz w:val="24"/>
              <w:szCs w:val="24"/>
            </w:rPr>
            <w:tab/>
          </w:r>
          <w:r>
            <w:rPr>
              <w:rFonts w:ascii="Times New Roman" w:hAnsi="Times New Roman" w:cs="Times New Roman"/>
              <w:sz w:val="24"/>
              <w:szCs w:val="24"/>
            </w:rPr>
            <w:t>B1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B.2 Objectivo da anotação</w:t>
          </w:r>
          <w:r>
            <w:rPr>
              <w:rFonts w:ascii="Times New Roman" w:hAnsi="Times New Roman" w:cs="Times New Roman"/>
              <w:sz w:val="24"/>
              <w:szCs w:val="24"/>
            </w:rPr>
            <w:tab/>
          </w:r>
          <w:r>
            <w:rPr>
              <w:rFonts w:ascii="Times New Roman" w:hAnsi="Times New Roman" w:cs="Times New Roman"/>
              <w:sz w:val="24"/>
              <w:szCs w:val="24"/>
            </w:rPr>
            <w:t>B1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B.3 Categorias</w:t>
          </w:r>
          <w:r>
            <w:rPr>
              <w:rFonts w:ascii="Times New Roman" w:hAnsi="Times New Roman" w:cs="Times New Roman"/>
              <w:sz w:val="24"/>
              <w:szCs w:val="24"/>
            </w:rPr>
            <w:tab/>
          </w:r>
          <w:r>
            <w:rPr>
              <w:rFonts w:ascii="Times New Roman" w:hAnsi="Times New Roman" w:cs="Times New Roman"/>
              <w:sz w:val="24"/>
              <w:szCs w:val="24"/>
            </w:rPr>
            <w:t>B1</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B.3.1 Normal (rótulo Normal)</w:t>
          </w:r>
          <w:r>
            <w:rPr>
              <w:rFonts w:ascii="Times New Roman" w:hAnsi="Times New Roman" w:cs="Times New Roman"/>
              <w:sz w:val="24"/>
              <w:szCs w:val="24"/>
            </w:rPr>
            <w:tab/>
          </w:r>
          <w:r>
            <w:rPr>
              <w:rFonts w:ascii="Times New Roman" w:hAnsi="Times New Roman" w:cs="Times New Roman"/>
              <w:sz w:val="24"/>
              <w:szCs w:val="24"/>
            </w:rPr>
            <w:t>B1</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B.3.2 Desinformação (rótulo Desinformacao)</w:t>
          </w:r>
          <w:r>
            <w:rPr>
              <w:rFonts w:ascii="Times New Roman" w:hAnsi="Times New Roman" w:cs="Times New Roman"/>
              <w:sz w:val="24"/>
              <w:szCs w:val="24"/>
            </w:rPr>
            <w:tab/>
          </w:r>
          <w:r>
            <w:rPr>
              <w:rFonts w:ascii="Times New Roman" w:hAnsi="Times New Roman" w:cs="Times New Roman"/>
              <w:sz w:val="24"/>
              <w:szCs w:val="24"/>
            </w:rPr>
            <w:t>B1</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B.3.3 Discurso de ódio (rótulo Odio)</w:t>
          </w:r>
          <w:r>
            <w:rPr>
              <w:rFonts w:ascii="Times New Roman" w:hAnsi="Times New Roman" w:cs="Times New Roman"/>
              <w:sz w:val="24"/>
              <w:szCs w:val="24"/>
            </w:rPr>
            <w:tab/>
          </w:r>
          <w:r>
            <w:rPr>
              <w:rFonts w:ascii="Times New Roman" w:hAnsi="Times New Roman" w:cs="Times New Roman"/>
              <w:sz w:val="24"/>
              <w:szCs w:val="24"/>
            </w:rPr>
            <w:t>B2</w:t>
          </w:r>
        </w:p>
        <w:p>
          <w:pPr>
            <w:tabs>
              <w:tab w:val="right" w:leader="dot" w:pos="8221"/>
            </w:tabs>
            <w:spacing w:before="0" w:after="60" w:line="276" w:lineRule="auto"/>
            <w:ind w:left="800" w:right="560" w:hanging="0"/>
            <w:jc w:val="left"/>
          </w:pPr>
          <w:r>
            <w:rPr>
              <w:rFonts w:ascii="Times New Roman" w:hAnsi="Times New Roman" w:cs="Times New Roman"/>
              <w:sz w:val="24"/>
              <w:szCs w:val="24"/>
            </w:rPr>
            <w:t xml:space="preserve">B.3.4 Mobilização hostil (rótulo Mobilizacao)</w:t>
          </w:r>
          <w:r>
            <w:rPr>
              <w:rFonts w:ascii="Times New Roman" w:hAnsi="Times New Roman" w:cs="Times New Roman"/>
              <w:sz w:val="24"/>
              <w:szCs w:val="24"/>
            </w:rPr>
            <w:tab/>
          </w:r>
          <w:r>
            <w:rPr>
              <w:rFonts w:ascii="Times New Roman" w:hAnsi="Times New Roman" w:cs="Times New Roman"/>
              <w:sz w:val="24"/>
              <w:szCs w:val="24"/>
            </w:rPr>
            <w:t>B2</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B.4 Casos limítrofes</w:t>
          </w:r>
          <w:r>
            <w:rPr>
              <w:rFonts w:ascii="Times New Roman" w:hAnsi="Times New Roman" w:cs="Times New Roman"/>
              <w:sz w:val="24"/>
              <w:szCs w:val="24"/>
            </w:rPr>
            <w:tab/>
          </w:r>
          <w:r>
            <w:rPr>
              <w:rFonts w:ascii="Times New Roman" w:hAnsi="Times New Roman" w:cs="Times New Roman"/>
              <w:sz w:val="24"/>
              <w:szCs w:val="24"/>
            </w:rPr>
            <w:t>B2</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B.5 Regras de desempate e preenchimento</w:t>
          </w:r>
          <w:r>
            <w:rPr>
              <w:rFonts w:ascii="Times New Roman" w:hAnsi="Times New Roman" w:cs="Times New Roman"/>
              <w:sz w:val="24"/>
              <w:szCs w:val="24"/>
            </w:rPr>
            <w:tab/>
          </w:r>
          <w:r>
            <w:rPr>
              <w:rFonts w:ascii="Times New Roman" w:hAnsi="Times New Roman" w:cs="Times New Roman"/>
              <w:sz w:val="24"/>
              <w:szCs w:val="24"/>
            </w:rPr>
            <w:t>B2</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APÊNDICE C – ACORDO ENTRE ANOTADORES</w:t>
          </w:r>
          <w:r>
            <w:rPr>
              <w:rFonts w:ascii="Times New Roman" w:hAnsi="Times New Roman" w:cs="Times New Roman"/>
              <w:sz w:val="24"/>
              <w:szCs w:val="24"/>
            </w:rPr>
            <w:tab/>
          </w:r>
          <w:r>
            <w:rPr>
              <w:rFonts w:ascii="Times New Roman" w:hAnsi="Times New Roman" w:cs="Times New Roman"/>
              <w:sz w:val="24"/>
              <w:szCs w:val="24"/>
            </w:rPr>
            <w:t>C1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C.1 Escala de interpretação</w:t>
          </w:r>
          <w:r>
            <w:rPr>
              <w:rFonts w:ascii="Times New Roman" w:hAnsi="Times New Roman" w:cs="Times New Roman"/>
              <w:sz w:val="24"/>
              <w:szCs w:val="24"/>
            </w:rPr>
            <w:tab/>
          </w:r>
          <w:r>
            <w:rPr>
              <w:rFonts w:ascii="Times New Roman" w:hAnsi="Times New Roman" w:cs="Times New Roman"/>
              <w:sz w:val="24"/>
              <w:szCs w:val="24"/>
            </w:rPr>
            <w:t>C1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C.2 Fórmulas</w:t>
          </w:r>
          <w:r>
            <w:rPr>
              <w:rFonts w:ascii="Times New Roman" w:hAnsi="Times New Roman" w:cs="Times New Roman"/>
              <w:sz w:val="24"/>
              <w:szCs w:val="24"/>
            </w:rPr>
            <w:tab/>
          </w:r>
          <w:r>
            <w:rPr>
              <w:rFonts w:ascii="Times New Roman" w:hAnsi="Times New Roman" w:cs="Times New Roman"/>
              <w:sz w:val="24"/>
              <w:szCs w:val="24"/>
            </w:rPr>
            <w:t>C1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C.3 Resultados</w:t>
          </w:r>
          <w:r>
            <w:rPr>
              <w:rFonts w:ascii="Times New Roman" w:hAnsi="Times New Roman" w:cs="Times New Roman"/>
              <w:sz w:val="24"/>
              <w:szCs w:val="24"/>
            </w:rPr>
            <w:tab/>
          </w:r>
          <w:r>
            <w:rPr>
              <w:rFonts w:ascii="Times New Roman" w:hAnsi="Times New Roman" w:cs="Times New Roman"/>
              <w:sz w:val="24"/>
              <w:szCs w:val="24"/>
            </w:rPr>
            <w:t>C1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C.4 Distribuição das etiquetas finais</w:t>
          </w:r>
          <w:r>
            <w:rPr>
              <w:rFonts w:ascii="Times New Roman" w:hAnsi="Times New Roman" w:cs="Times New Roman"/>
              <w:sz w:val="24"/>
              <w:szCs w:val="24"/>
            </w:rPr>
            <w:tab/>
          </w:r>
          <w:r>
            <w:rPr>
              <w:rFonts w:ascii="Times New Roman" w:hAnsi="Times New Roman" w:cs="Times New Roman"/>
              <w:sz w:val="24"/>
              <w:szCs w:val="24"/>
            </w:rPr>
            <w:t>C2</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APÊNDICE D – DECLARAÇÃO DE CONSENTIMENTO E CONFIDENCIALIDADE DOS ANOTADORES</w:t>
          </w:r>
          <w:r>
            <w:rPr>
              <w:rFonts w:ascii="Times New Roman" w:hAnsi="Times New Roman" w:cs="Times New Roman"/>
              <w:sz w:val="24"/>
              <w:szCs w:val="24"/>
            </w:rPr>
            <w:tab/>
          </w:r>
          <w:r>
            <w:rPr>
              <w:rFonts w:ascii="Times New Roman" w:hAnsi="Times New Roman" w:cs="Times New Roman"/>
              <w:sz w:val="24"/>
              <w:szCs w:val="24"/>
            </w:rPr>
            <w:t>D1</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APÊNDICE E – AMOSTRA ANOTADA DO CORPUS</w:t>
          </w:r>
          <w:r>
            <w:rPr>
              <w:rFonts w:ascii="Times New Roman" w:hAnsi="Times New Roman" w:cs="Times New Roman"/>
              <w:sz w:val="24"/>
              <w:szCs w:val="24"/>
            </w:rPr>
            <w:tab/>
          </w:r>
          <w:r>
            <w:rPr>
              <w:rFonts w:ascii="Times New Roman" w:hAnsi="Times New Roman" w:cs="Times New Roman"/>
              <w:sz w:val="24"/>
              <w:szCs w:val="24"/>
            </w:rPr>
            <w:t>E1</w:t>
          </w:r>
        </w:p>
        <w:p>
          <w:pPr>
            <w:tabs>
              <w:tab w:val="right" w:leader="dot" w:pos="8221"/>
            </w:tabs>
            <w:spacing w:before="60" w:after="60" w:line="276" w:lineRule="auto"/>
            <w:ind w:left="0" w:right="560" w:hanging="0"/>
            <w:jc w:val="left"/>
          </w:pPr>
          <w:r>
            <w:rPr>
              <w:rFonts w:ascii="Times New Roman" w:hAnsi="Times New Roman" w:cs="Times New Roman"/>
              <w:b/>
              <w:bCs/>
              <w:sz w:val="24"/>
              <w:szCs w:val="24"/>
            </w:rPr>
            <w:t xml:space="preserve">APÊNDICE F – MANUAL DE INSTALAÇÃO E UTILIZAÇÃO DO SISTEMA</w:t>
          </w:r>
          <w:r>
            <w:rPr>
              <w:rFonts w:ascii="Times New Roman" w:hAnsi="Times New Roman" w:cs="Times New Roman"/>
              <w:sz w:val="24"/>
              <w:szCs w:val="24"/>
            </w:rPr>
            <w:tab/>
          </w:r>
          <w:r>
            <w:rPr>
              <w:rFonts w:ascii="Times New Roman" w:hAnsi="Times New Roman" w:cs="Times New Roman"/>
              <w:sz w:val="24"/>
              <w:szCs w:val="24"/>
            </w:rPr>
            <w:t>F1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F.1 Instalação e configuração</w:t>
          </w:r>
          <w:r>
            <w:rPr>
              <w:rFonts w:ascii="Times New Roman" w:hAnsi="Times New Roman" w:cs="Times New Roman"/>
              <w:sz w:val="24"/>
              <w:szCs w:val="24"/>
            </w:rPr>
            <w:tab/>
          </w:r>
          <w:r>
            <w:rPr>
              <w:rFonts w:ascii="Times New Roman" w:hAnsi="Times New Roman" w:cs="Times New Roman"/>
              <w:sz w:val="24"/>
              <w:szCs w:val="24"/>
            </w:rPr>
            <w:t>F1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F.2 Arranque e utilização</w:t>
          </w:r>
          <w:r>
            <w:rPr>
              <w:rFonts w:ascii="Times New Roman" w:hAnsi="Times New Roman" w:cs="Times New Roman"/>
              <w:sz w:val="24"/>
              <w:szCs w:val="24"/>
            </w:rPr>
            <w:tab/>
          </w:r>
          <w:r>
            <w:rPr>
              <w:rFonts w:ascii="Times New Roman" w:hAnsi="Times New Roman" w:cs="Times New Roman"/>
              <w:sz w:val="24"/>
              <w:szCs w:val="24"/>
            </w:rPr>
            <w:t>F1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F.3 Linha de comandos</w:t>
          </w:r>
          <w:r>
            <w:rPr>
              <w:rFonts w:ascii="Times New Roman" w:hAnsi="Times New Roman" w:cs="Times New Roman"/>
              <w:sz w:val="24"/>
              <w:szCs w:val="24"/>
            </w:rPr>
            <w:tab/>
          </w:r>
          <w:r>
            <w:rPr>
              <w:rFonts w:ascii="Times New Roman" w:hAnsi="Times New Roman" w:cs="Times New Roman"/>
              <w:sz w:val="24"/>
              <w:szCs w:val="24"/>
            </w:rPr>
            <w:t>F1</w:t>
          </w:r>
        </w:p>
        <w:p>
          <w:pPr>
            <w:tabs>
              <w:tab w:val="right" w:leader="dot" w:pos="8221"/>
            </w:tabs>
            <w:spacing w:before="0" w:after="60" w:line="276" w:lineRule="auto"/>
            <w:ind w:left="400" w:right="560" w:hanging="0"/>
            <w:jc w:val="left"/>
          </w:pPr>
          <w:r>
            <w:rPr>
              <w:rFonts w:ascii="Times New Roman" w:hAnsi="Times New Roman" w:cs="Times New Roman"/>
              <w:sz w:val="24"/>
              <w:szCs w:val="24"/>
            </w:rPr>
            <w:t xml:space="preserve">F.4 Verificação dos requisitos</w:t>
          </w:r>
          <w:r>
            <w:rPr>
              <w:rFonts w:ascii="Times New Roman" w:hAnsi="Times New Roman" w:cs="Times New Roman"/>
              <w:sz w:val="24"/>
              <w:szCs w:val="24"/>
            </w:rPr>
            <w:tab/>
          </w:r>
          <w:r>
            <w:rPr>
              <w:rFonts w:ascii="Times New Roman" w:hAnsi="Times New Roman" w:cs="Times New Roman"/>
              <w:sz w:val="24"/>
              <w:szCs w:val="24"/>
            </w:rPr>
            <w:t>F2</w:t>
          </w:r>
        </w:p>
        <w:p>
          <w:r>
            <w:fldChar w:fldCharType="end"/>
          </w:r>
        </w:p>
      </w:sdtContent>
    </w:sdt>
    <w:p>
      <w:pPr>
        <w:pStyle w:val="TituloSemIndice"/>
        <w:pageBreakBefore/>
        <w:spacing w:after="480" w:before="567"/>
        <w:jc w:val="center"/>
      </w:pPr>
      <w:r>
        <w:rPr>
          <w:rFonts w:ascii="Times New Roman" w:cs="Times New Roman" w:eastAsia="Times New Roman" w:hAnsi="Times New Roman"/>
          <w:b/>
          <w:bCs/>
          <w:sz w:val="28"/>
          <w:szCs w:val="28"/>
        </w:rPr>
        <w:t xml:space="preserve">ÍNDICE DE TABELAS</w:t>
      </w:r>
    </w:p>
    <w:sdt>
      <w:sdtPr>
        <w:alias w:val="Índice de tabelas"/>
      </w:sdtPr>
      <w:sdtContent>
        <w:p>
          <w:r>
            <w:fldChar w:fldCharType="begin"/>
            <w:instrText xml:space="preserve">TOC \h \t "LegendaTabela,1"</w:instrText>
            <w:fldChar w:fldCharType="separate"/>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1.1 – Correspondência entre objectivos específicos e hipóteses</w:t>
          </w:r>
          <w:r>
            <w:rPr>
              <w:rFonts w:ascii="Times New Roman" w:hAnsi="Times New Roman" w:cs="Times New Roman"/>
              <w:sz w:val="24"/>
              <w:szCs w:val="24"/>
            </w:rPr>
            <w:tab/>
          </w:r>
          <w:r>
            <w:rPr>
              <w:rFonts w:ascii="Times New Roman" w:hAnsi="Times New Roman" w:cs="Times New Roman"/>
              <w:sz w:val="24"/>
              <w:szCs w:val="24"/>
            </w:rPr>
            <w:t>4</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2.1 – Algoritmos de classificação comparados</w:t>
          </w:r>
          <w:r>
            <w:rPr>
              <w:rFonts w:ascii="Times New Roman" w:hAnsi="Times New Roman" w:cs="Times New Roman"/>
              <w:sz w:val="24"/>
              <w:szCs w:val="24"/>
            </w:rPr>
            <w:tab/>
          </w:r>
          <w:r>
            <w:rPr>
              <w:rFonts w:ascii="Times New Roman" w:hAnsi="Times New Roman" w:cs="Times New Roman"/>
              <w:sz w:val="24"/>
              <w:szCs w:val="24"/>
            </w:rPr>
            <w:t>10</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3.1 – Características do corpus angolano anotado, por categoria final</w:t>
          </w:r>
          <w:r>
            <w:rPr>
              <w:rFonts w:ascii="Times New Roman" w:hAnsi="Times New Roman" w:cs="Times New Roman"/>
              <w:sz w:val="24"/>
              <w:szCs w:val="24"/>
            </w:rPr>
            <w:tab/>
          </w:r>
          <w:r>
            <w:rPr>
              <w:rFonts w:ascii="Times New Roman" w:hAnsi="Times New Roman" w:cs="Times New Roman"/>
              <w:sz w:val="24"/>
              <w:szCs w:val="24"/>
            </w:rPr>
            <w:t>18</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3.2 – Configuração dos modelos</w:t>
          </w:r>
          <w:r>
            <w:rPr>
              <w:rFonts w:ascii="Times New Roman" w:hAnsi="Times New Roman" w:cs="Times New Roman"/>
              <w:sz w:val="24"/>
              <w:szCs w:val="24"/>
            </w:rPr>
            <w:tab/>
          </w:r>
          <w:r>
            <w:rPr>
              <w:rFonts w:ascii="Times New Roman" w:hAnsi="Times New Roman" w:cs="Times New Roman"/>
              <w:sz w:val="24"/>
              <w:szCs w:val="24"/>
            </w:rPr>
            <w:t>22</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3.3 – Ambiente de desenvolvimento</w:t>
          </w:r>
          <w:r>
            <w:rPr>
              <w:rFonts w:ascii="Times New Roman" w:hAnsi="Times New Roman" w:cs="Times New Roman"/>
              <w:sz w:val="24"/>
              <w:szCs w:val="24"/>
            </w:rPr>
            <w:tab/>
          </w:r>
          <w:r>
            <w:rPr>
              <w:rFonts w:ascii="Times New Roman" w:hAnsi="Times New Roman" w:cs="Times New Roman"/>
              <w:sz w:val="24"/>
              <w:szCs w:val="24"/>
            </w:rPr>
            <w:t>22</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3.4 – Requisitos do sistema</w:t>
          </w:r>
          <w:r>
            <w:rPr>
              <w:rFonts w:ascii="Times New Roman" w:hAnsi="Times New Roman" w:cs="Times New Roman"/>
              <w:sz w:val="24"/>
              <w:szCs w:val="24"/>
            </w:rPr>
            <w:tab/>
          </w:r>
          <w:r>
            <w:rPr>
              <w:rFonts w:ascii="Times New Roman" w:hAnsi="Times New Roman" w:cs="Times New Roman"/>
              <w:sz w:val="24"/>
              <w:szCs w:val="24"/>
            </w:rPr>
            <w:t>24</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3.5 – Comparação das arquitecturas consideradas</w:t>
          </w:r>
          <w:r>
            <w:rPr>
              <w:rFonts w:ascii="Times New Roman" w:hAnsi="Times New Roman" w:cs="Times New Roman"/>
              <w:sz w:val="24"/>
              <w:szCs w:val="24"/>
            </w:rPr>
            <w:tab/>
          </w:r>
          <w:r>
            <w:rPr>
              <w:rFonts w:ascii="Times New Roman" w:hAnsi="Times New Roman" w:cs="Times New Roman"/>
              <w:sz w:val="24"/>
              <w:szCs w:val="24"/>
            </w:rPr>
            <w:t>25</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3.6 – Tipos de fonte e quota do YouTube por volta</w:t>
          </w:r>
          <w:r>
            <w:rPr>
              <w:rFonts w:ascii="Times New Roman" w:hAnsi="Times New Roman" w:cs="Times New Roman"/>
              <w:sz w:val="24"/>
              <w:szCs w:val="24"/>
            </w:rPr>
            <w:tab/>
          </w:r>
          <w:r>
            <w:rPr>
              <w:rFonts w:ascii="Times New Roman" w:hAnsi="Times New Roman" w:cs="Times New Roman"/>
              <w:sz w:val="24"/>
              <w:szCs w:val="24"/>
            </w:rPr>
            <w:t>33</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3.7 – Plano de implementação faseada</w:t>
          </w:r>
          <w:r>
            <w:rPr>
              <w:rFonts w:ascii="Times New Roman" w:hAnsi="Times New Roman" w:cs="Times New Roman"/>
              <w:sz w:val="24"/>
              <w:szCs w:val="24"/>
            </w:rPr>
            <w:tab/>
          </w:r>
          <w:r>
            <w:rPr>
              <w:rFonts w:ascii="Times New Roman" w:hAnsi="Times New Roman" w:cs="Times New Roman"/>
              <w:sz w:val="24"/>
              <w:szCs w:val="24"/>
            </w:rPr>
            <w:t>36</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4.1 – Composição do corpus harmonizado por fonte e categoria</w:t>
          </w:r>
          <w:r>
            <w:rPr>
              <w:rFonts w:ascii="Times New Roman" w:hAnsi="Times New Roman" w:cs="Times New Roman"/>
              <w:sz w:val="24"/>
              <w:szCs w:val="24"/>
            </w:rPr>
            <w:tab/>
          </w:r>
          <w:r>
            <w:rPr>
              <w:rFonts w:ascii="Times New Roman" w:hAnsi="Times New Roman" w:cs="Times New Roman"/>
              <w:sz w:val="24"/>
              <w:szCs w:val="24"/>
            </w:rPr>
            <w:t>37</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4.2 – Desempenho dos modelos no conjunto de teste</w:t>
          </w:r>
          <w:r>
            <w:rPr>
              <w:rFonts w:ascii="Times New Roman" w:hAnsi="Times New Roman" w:cs="Times New Roman"/>
              <w:sz w:val="24"/>
              <w:szCs w:val="24"/>
            </w:rPr>
            <w:tab/>
          </w:r>
          <w:r>
            <w:rPr>
              <w:rFonts w:ascii="Times New Roman" w:hAnsi="Times New Roman" w:cs="Times New Roman"/>
              <w:sz w:val="24"/>
              <w:szCs w:val="24"/>
            </w:rPr>
            <w:t>38</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4.3 – Comparações emparelhadas (ΔF1-macro e McNemar)</w:t>
          </w:r>
          <w:r>
            <w:rPr>
              <w:rFonts w:ascii="Times New Roman" w:hAnsi="Times New Roman" w:cs="Times New Roman"/>
              <w:sz w:val="24"/>
              <w:szCs w:val="24"/>
            </w:rPr>
            <w:tab/>
          </w:r>
          <w:r>
            <w:rPr>
              <w:rFonts w:ascii="Times New Roman" w:hAnsi="Times New Roman" w:cs="Times New Roman"/>
              <w:sz w:val="24"/>
              <w:szCs w:val="24"/>
            </w:rPr>
            <w:t>39</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4.4 – F1 por categoria e modelo; precisão e sensibilidade do BERTimbau</w:t>
          </w:r>
          <w:r>
            <w:rPr>
              <w:rFonts w:ascii="Times New Roman" w:hAnsi="Times New Roman" w:cs="Times New Roman"/>
              <w:sz w:val="24"/>
              <w:szCs w:val="24"/>
            </w:rPr>
            <w:tab/>
          </w:r>
          <w:r>
            <w:rPr>
              <w:rFonts w:ascii="Times New Roman" w:hAnsi="Times New Roman" w:cs="Times New Roman"/>
              <w:sz w:val="24"/>
              <w:szCs w:val="24"/>
            </w:rPr>
            <w:t>40</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4.5 – Variantes do BERTimbau: validação, teste e comparação com a referência</w:t>
          </w:r>
          <w:r>
            <w:rPr>
              <w:rFonts w:ascii="Times New Roman" w:hAnsi="Times New Roman" w:cs="Times New Roman"/>
              <w:sz w:val="24"/>
              <w:szCs w:val="24"/>
            </w:rPr>
            <w:tab/>
          </w:r>
          <w:r>
            <w:rPr>
              <w:rFonts w:ascii="Times New Roman" w:hAnsi="Times New Roman" w:cs="Times New Roman"/>
              <w:sz w:val="24"/>
              <w:szCs w:val="24"/>
            </w:rPr>
            <w:t>42</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4.6 – Efeito do ajuste de limiares no F1-macro</w:t>
          </w:r>
          <w:r>
            <w:rPr>
              <w:rFonts w:ascii="Times New Roman" w:hAnsi="Times New Roman" w:cs="Times New Roman"/>
              <w:sz w:val="24"/>
              <w:szCs w:val="24"/>
            </w:rPr>
            <w:tab/>
          </w:r>
          <w:r>
            <w:rPr>
              <w:rFonts w:ascii="Times New Roman" w:hAnsi="Times New Roman" w:cs="Times New Roman"/>
              <w:sz w:val="24"/>
              <w:szCs w:val="24"/>
            </w:rPr>
            <w:t>44</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4.7 – Desempenho do BERTimbau no piloto angolano e no corpus público</w:t>
          </w:r>
          <w:r>
            <w:rPr>
              <w:rFonts w:ascii="Times New Roman" w:hAnsi="Times New Roman" w:cs="Times New Roman"/>
              <w:sz w:val="24"/>
              <w:szCs w:val="24"/>
            </w:rPr>
            <w:tab/>
          </w:r>
          <w:r>
            <w:rPr>
              <w:rFonts w:ascii="Times New Roman" w:hAnsi="Times New Roman" w:cs="Times New Roman"/>
              <w:sz w:val="24"/>
              <w:szCs w:val="24"/>
            </w:rPr>
            <w:t>44</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4.8 – Calibração e ordenação no conjunto de teste</w:t>
          </w:r>
          <w:r>
            <w:rPr>
              <w:rFonts w:ascii="Times New Roman" w:hAnsi="Times New Roman" w:cs="Times New Roman"/>
              <w:sz w:val="24"/>
              <w:szCs w:val="24"/>
            </w:rPr>
            <w:tab/>
          </w:r>
          <w:r>
            <w:rPr>
              <w:rFonts w:ascii="Times New Roman" w:hAnsi="Times New Roman" w:cs="Times New Roman"/>
              <w:sz w:val="24"/>
              <w:szCs w:val="24"/>
            </w:rPr>
            <w:t>47</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4.9 – Tempo de processamento do protótipo com o modelo do sistema</w:t>
          </w:r>
          <w:r>
            <w:rPr>
              <w:rFonts w:ascii="Times New Roman" w:hAnsi="Times New Roman" w:cs="Times New Roman"/>
              <w:sz w:val="24"/>
              <w:szCs w:val="24"/>
            </w:rPr>
            <w:tab/>
          </w:r>
          <w:r>
            <w:rPr>
              <w:rFonts w:ascii="Times New Roman" w:hAnsi="Times New Roman" w:cs="Times New Roman"/>
              <w:sz w:val="24"/>
              <w:szCs w:val="24"/>
            </w:rPr>
            <w:t>49</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4.10 – Verificação formal das hipóteses de investigação</w:t>
          </w:r>
          <w:r>
            <w:rPr>
              <w:rFonts w:ascii="Times New Roman" w:hAnsi="Times New Roman" w:cs="Times New Roman"/>
              <w:sz w:val="24"/>
              <w:szCs w:val="24"/>
            </w:rPr>
            <w:tab/>
          </w:r>
          <w:r>
            <w:rPr>
              <w:rFonts w:ascii="Times New Roman" w:hAnsi="Times New Roman" w:cs="Times New Roman"/>
              <w:sz w:val="24"/>
              <w:szCs w:val="24"/>
            </w:rPr>
            <w:t>51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5.1 – Cumprimento dos objectivos específicos</w:t>
          </w:r>
          <w:r>
            <w:rPr>
              <w:rFonts w:ascii="Times New Roman" w:hAnsi="Times New Roman" w:cs="Times New Roman"/>
              <w:sz w:val="24"/>
              <w:szCs w:val="24"/>
            </w:rPr>
            <w:tab/>
          </w:r>
          <w:r>
            <w:rPr>
              <w:rFonts w:ascii="Times New Roman" w:hAnsi="Times New Roman" w:cs="Times New Roman"/>
              <w:sz w:val="24"/>
              <w:szCs w:val="24"/>
            </w:rPr>
            <w:t>53</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5.2 – Quadro de uso responsável: salvaguardas do sistema e obrigações institucionais</w:t>
          </w:r>
          <w:r>
            <w:rPr>
              <w:rFonts w:ascii="Times New Roman" w:hAnsi="Times New Roman" w:cs="Times New Roman"/>
              <w:sz w:val="24"/>
              <w:szCs w:val="24"/>
            </w:rPr>
            <w:tab/>
          </w:r>
          <w:r>
            <w:rPr>
              <w:rFonts w:ascii="Times New Roman" w:hAnsi="Times New Roman" w:cs="Times New Roman"/>
              <w:sz w:val="24"/>
              <w:szCs w:val="24"/>
            </w:rPr>
            <w:t>57</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C.1 – Escala de interpretação do Kappa (Landis &amp; Koch, 1977)</w:t>
          </w:r>
          <w:r>
            <w:rPr>
              <w:rFonts w:ascii="Times New Roman" w:hAnsi="Times New Roman" w:cs="Times New Roman"/>
              <w:sz w:val="24"/>
              <w:szCs w:val="24"/>
            </w:rPr>
            <w:tab/>
          </w:r>
          <w:r>
            <w:rPr>
              <w:rFonts w:ascii="Times New Roman" w:hAnsi="Times New Roman" w:cs="Times New Roman"/>
              <w:sz w:val="24"/>
              <w:szCs w:val="24"/>
            </w:rPr>
            <w:t>C1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C.2 – Acordo entre os três anotadores</w:t>
          </w:r>
          <w:r>
            <w:rPr>
              <w:rFonts w:ascii="Times New Roman" w:hAnsi="Times New Roman" w:cs="Times New Roman"/>
              <w:sz w:val="24"/>
              <w:szCs w:val="24"/>
            </w:rPr>
            <w:tab/>
          </w:r>
          <w:r>
            <w:rPr>
              <w:rFonts w:ascii="Times New Roman" w:hAnsi="Times New Roman" w:cs="Times New Roman"/>
              <w:sz w:val="24"/>
              <w:szCs w:val="24"/>
            </w:rPr>
            <w:t>C1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C.3 – Acordo por par de anotadores e por categoria (base do piloto e lote de léxico, n = 2.443)</w:t>
          </w:r>
          <w:r>
            <w:rPr>
              <w:rFonts w:ascii="Times New Roman" w:hAnsi="Times New Roman" w:cs="Times New Roman"/>
              <w:sz w:val="24"/>
              <w:szCs w:val="24"/>
            </w:rPr>
            <w:tab/>
          </w:r>
          <w:r>
            <w:rPr>
              <w:rFonts w:ascii="Times New Roman" w:hAnsi="Times New Roman" w:cs="Times New Roman"/>
              <w:sz w:val="24"/>
              <w:szCs w:val="24"/>
            </w:rPr>
            <w:t>C2</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C.4 – Distribuição das etiquetas finais do corpus angolano</w:t>
          </w:r>
          <w:r>
            <w:rPr>
              <w:rFonts w:ascii="Times New Roman" w:hAnsi="Times New Roman" w:cs="Times New Roman"/>
              <w:sz w:val="24"/>
              <w:szCs w:val="24"/>
            </w:rPr>
            <w:tab/>
          </w:r>
          <w:r>
            <w:rPr>
              <w:rFonts w:ascii="Times New Roman" w:hAnsi="Times New Roman" w:cs="Times New Roman"/>
              <w:sz w:val="24"/>
              <w:szCs w:val="24"/>
            </w:rPr>
            <w:t>C2</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E.1 – Amostra de comentários anotados</w:t>
          </w:r>
          <w:r>
            <w:rPr>
              <w:rFonts w:ascii="Times New Roman" w:hAnsi="Times New Roman" w:cs="Times New Roman"/>
              <w:sz w:val="24"/>
              <w:szCs w:val="24"/>
            </w:rPr>
            <w:tab/>
          </w:r>
          <w:r>
            <w:rPr>
              <w:rFonts w:ascii="Times New Roman" w:hAnsi="Times New Roman" w:cs="Times New Roman"/>
              <w:sz w:val="24"/>
              <w:szCs w:val="24"/>
            </w:rPr>
            <w:t>E1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F.1 – Comandos do sistema</w:t>
          </w:r>
          <w:r>
            <w:rPr>
              <w:rFonts w:ascii="Times New Roman" w:hAnsi="Times New Roman" w:cs="Times New Roman"/>
              <w:sz w:val="24"/>
              <w:szCs w:val="24"/>
            </w:rPr>
            <w:tab/>
          </w:r>
          <w:r>
            <w:rPr>
              <w:rFonts w:ascii="Times New Roman" w:hAnsi="Times New Roman" w:cs="Times New Roman"/>
              <w:sz w:val="24"/>
              <w:szCs w:val="24"/>
            </w:rPr>
            <w:t>F2</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Tabela F.2 – Requisitos e testes automáticos</w:t>
          </w:r>
          <w:r>
            <w:rPr>
              <w:rFonts w:ascii="Times New Roman" w:hAnsi="Times New Roman" w:cs="Times New Roman"/>
              <w:sz w:val="24"/>
              <w:szCs w:val="24"/>
            </w:rPr>
            <w:tab/>
          </w:r>
          <w:r>
            <w:rPr>
              <w:rFonts w:ascii="Times New Roman" w:hAnsi="Times New Roman" w:cs="Times New Roman"/>
              <w:sz w:val="24"/>
              <w:szCs w:val="24"/>
            </w:rPr>
            <w:t>F2</w:t>
          </w:r>
        </w:p>
        <w:p>
          <w:r>
            <w:fldChar w:fldCharType="end"/>
          </w:r>
        </w:p>
      </w:sdtContent>
    </w:sdt>
    <w:p>
      <w:pPr>
        <w:pStyle w:val="TituloSemIndice"/>
        <w:pageBreakBefore/>
        <w:spacing w:after="480" w:before="567"/>
        <w:jc w:val="center"/>
      </w:pPr>
      <w:r>
        <w:rPr>
          <w:rFonts w:ascii="Times New Roman" w:cs="Times New Roman" w:eastAsia="Times New Roman" w:hAnsi="Times New Roman"/>
          <w:b/>
          <w:bCs/>
          <w:sz w:val="28"/>
          <w:szCs w:val="28"/>
        </w:rPr>
        <w:t xml:space="preserve">ÍNDICE DE FIGURAS</w:t>
      </w:r>
    </w:p>
    <w:sdt>
      <w:sdtPr>
        <w:alias w:val="Índice de figuras"/>
      </w:sdtPr>
      <w:sdtContent>
        <w:p>
          <w:r>
            <w:fldChar w:fldCharType="begin"/>
            <w:instrText xml:space="preserve">TOC \h \t "LegendaFigura,1"</w:instrText>
            <w:fldChar w:fldCharType="separate"/>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1.1 – Indicadores do ecossistema digital angolano (Outubro de 2025)</w:t>
          </w:r>
          <w:r>
            <w:rPr>
              <w:rFonts w:ascii="Times New Roman" w:hAnsi="Times New Roman" w:cs="Times New Roman"/>
              <w:sz w:val="24"/>
              <w:szCs w:val="24"/>
            </w:rPr>
            <w:tab/>
          </w:r>
          <w:r>
            <w:rPr>
              <w:rFonts w:ascii="Times New Roman" w:hAnsi="Times New Roman" w:cs="Times New Roman"/>
              <w:sz w:val="24"/>
              <w:szCs w:val="24"/>
            </w:rPr>
            <w:t>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3.1 – Desenho da investigação</w:t>
          </w:r>
          <w:r>
            <w:rPr>
              <w:rFonts w:ascii="Times New Roman" w:hAnsi="Times New Roman" w:cs="Times New Roman"/>
              <w:sz w:val="24"/>
              <w:szCs w:val="24"/>
            </w:rPr>
            <w:tab/>
          </w:r>
          <w:r>
            <w:rPr>
              <w:rFonts w:ascii="Times New Roman" w:hAnsi="Times New Roman" w:cs="Times New Roman"/>
              <w:sz w:val="24"/>
              <w:szCs w:val="24"/>
            </w:rPr>
            <w:t>15</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3.2 – Construção do corpus híbrido e divisão em treino, validação e teste</w:t>
          </w:r>
          <w:r>
            <w:rPr>
              <w:rFonts w:ascii="Times New Roman" w:hAnsi="Times New Roman" w:cs="Times New Roman"/>
              <w:sz w:val="24"/>
              <w:szCs w:val="24"/>
            </w:rPr>
            <w:tab/>
          </w:r>
          <w:r>
            <w:rPr>
              <w:rFonts w:ascii="Times New Roman" w:hAnsi="Times New Roman" w:cs="Times New Roman"/>
              <w:sz w:val="24"/>
              <w:szCs w:val="24"/>
            </w:rPr>
            <w:t>21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3.3 – Arquitectura em camadas do sistema de triagem</w:t>
          </w:r>
          <w:r>
            <w:rPr>
              <w:rFonts w:ascii="Times New Roman" w:hAnsi="Times New Roman" w:cs="Times New Roman"/>
              <w:sz w:val="24"/>
              <w:szCs w:val="24"/>
            </w:rPr>
            <w:tab/>
          </w:r>
          <w:r>
            <w:rPr>
              <w:rFonts w:ascii="Times New Roman" w:hAnsi="Times New Roman" w:cs="Times New Roman"/>
              <w:sz w:val="24"/>
              <w:szCs w:val="24"/>
            </w:rPr>
            <w:t>26</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3.4 – Modelo de dados do sistema</w:t>
          </w:r>
          <w:r>
            <w:rPr>
              <w:rFonts w:ascii="Times New Roman" w:hAnsi="Times New Roman" w:cs="Times New Roman"/>
              <w:sz w:val="24"/>
              <w:szCs w:val="24"/>
            </w:rPr>
            <w:tab/>
          </w:r>
          <w:r>
            <w:rPr>
              <w:rFonts w:ascii="Times New Roman" w:hAnsi="Times New Roman" w:cs="Times New Roman"/>
              <w:sz w:val="24"/>
              <w:szCs w:val="24"/>
            </w:rPr>
            <w:t>29</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3.5 – Diagrama de casos de uso (UML)</w:t>
          </w:r>
          <w:r>
            <w:rPr>
              <w:rFonts w:ascii="Times New Roman" w:hAnsi="Times New Roman" w:cs="Times New Roman"/>
              <w:sz w:val="24"/>
              <w:szCs w:val="24"/>
            </w:rPr>
            <w:tab/>
          </w:r>
          <w:r>
            <w:rPr>
              <w:rFonts w:ascii="Times New Roman" w:hAnsi="Times New Roman" w:cs="Times New Roman"/>
              <w:sz w:val="24"/>
              <w:szCs w:val="24"/>
            </w:rPr>
            <w:t>30</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3.6 – Diagrama de sequência (UML): da recolha à revisão</w:t>
          </w:r>
          <w:r>
            <w:rPr>
              <w:rFonts w:ascii="Times New Roman" w:hAnsi="Times New Roman" w:cs="Times New Roman"/>
              <w:sz w:val="24"/>
              <w:szCs w:val="24"/>
            </w:rPr>
            <w:tab/>
          </w:r>
          <w:r>
            <w:rPr>
              <w:rFonts w:ascii="Times New Roman" w:hAnsi="Times New Roman" w:cs="Times New Roman"/>
              <w:sz w:val="24"/>
              <w:szCs w:val="24"/>
            </w:rPr>
            <w:t>30</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3.7 – Fila de revisão na aplicação web</w:t>
          </w:r>
          <w:r>
            <w:rPr>
              <w:rFonts w:ascii="Times New Roman" w:hAnsi="Times New Roman" w:cs="Times New Roman"/>
              <w:sz w:val="24"/>
              <w:szCs w:val="24"/>
            </w:rPr>
            <w:tab/>
          </w:r>
          <w:r>
            <w:rPr>
              <w:rFonts w:ascii="Times New Roman" w:hAnsi="Times New Roman" w:cs="Times New Roman"/>
              <w:sz w:val="24"/>
              <w:szCs w:val="24"/>
            </w:rPr>
            <w:t>31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3.8 – Mapa por província na aplicação web</w:t>
          </w:r>
          <w:r>
            <w:rPr>
              <w:rFonts w:ascii="Times New Roman" w:hAnsi="Times New Roman" w:cs="Times New Roman"/>
              <w:sz w:val="24"/>
              <w:szCs w:val="24"/>
            </w:rPr>
            <w:tab/>
          </w:r>
          <w:r>
            <w:rPr>
              <w:rFonts w:ascii="Times New Roman" w:hAnsi="Times New Roman" w:cs="Times New Roman"/>
              <w:sz w:val="24"/>
              <w:szCs w:val="24"/>
            </w:rPr>
            <w:t>32</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3.9 – Recolha automática na página das fontes</w:t>
          </w:r>
          <w:r>
            <w:rPr>
              <w:rFonts w:ascii="Times New Roman" w:hAnsi="Times New Roman" w:cs="Times New Roman"/>
              <w:sz w:val="24"/>
              <w:szCs w:val="24"/>
            </w:rPr>
            <w:tab/>
          </w:r>
          <w:r>
            <w:rPr>
              <w:rFonts w:ascii="Times New Roman" w:hAnsi="Times New Roman" w:cs="Times New Roman"/>
              <w:sz w:val="24"/>
              <w:szCs w:val="24"/>
            </w:rPr>
            <w:t>34</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3.10 – Recuperação do acesso a uma conta</w:t>
          </w:r>
          <w:r>
            <w:rPr>
              <w:rFonts w:ascii="Times New Roman" w:hAnsi="Times New Roman" w:cs="Times New Roman"/>
              <w:sz w:val="24"/>
              <w:szCs w:val="24"/>
            </w:rPr>
            <w:tab/>
          </w:r>
          <w:r>
            <w:rPr>
              <w:rFonts w:ascii="Times New Roman" w:hAnsi="Times New Roman" w:cs="Times New Roman"/>
              <w:sz w:val="24"/>
              <w:szCs w:val="24"/>
            </w:rPr>
            <w:t>35</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4.1 – Curvas ROC um-contra-todos por categoria e modelo (conjunto de teste; AUC entre parêntesis)</w:t>
          </w:r>
          <w:r>
            <w:rPr>
              <w:rFonts w:ascii="Times New Roman" w:hAnsi="Times New Roman" w:cs="Times New Roman"/>
              <w:sz w:val="24"/>
              <w:szCs w:val="24"/>
            </w:rPr>
            <w:tab/>
          </w:r>
          <w:r>
            <w:rPr>
              <w:rFonts w:ascii="Times New Roman" w:hAnsi="Times New Roman" w:cs="Times New Roman"/>
              <w:sz w:val="24"/>
              <w:szCs w:val="24"/>
            </w:rPr>
            <w:t>39</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4.2 – Matrizes de confusão (4 × 4) no conjunto de teste (contagens e percentagem por linha)</w:t>
          </w:r>
          <w:r>
            <w:rPr>
              <w:rFonts w:ascii="Times New Roman" w:hAnsi="Times New Roman" w:cs="Times New Roman"/>
              <w:sz w:val="24"/>
              <w:szCs w:val="24"/>
            </w:rPr>
            <w:tab/>
          </w:r>
          <w:r>
            <w:rPr>
              <w:rFonts w:ascii="Times New Roman" w:hAnsi="Times New Roman" w:cs="Times New Roman"/>
              <w:sz w:val="24"/>
              <w:szCs w:val="24"/>
            </w:rPr>
            <w:t>41</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4.3 – F1 por categoria do BERTimbau no corpus público e no piloto angolano (conjunto de teste)</w:t>
          </w:r>
          <w:r>
            <w:rPr>
              <w:rFonts w:ascii="Times New Roman" w:hAnsi="Times New Roman" w:cs="Times New Roman"/>
              <w:sz w:val="24"/>
              <w:szCs w:val="24"/>
            </w:rPr>
            <w:tab/>
          </w:r>
          <w:r>
            <w:rPr>
              <w:rFonts w:ascii="Times New Roman" w:hAnsi="Times New Roman" w:cs="Times New Roman"/>
              <w:sz w:val="24"/>
              <w:szCs w:val="24"/>
            </w:rPr>
            <w:t>45</w:t>
          </w:r>
        </w:p>
        <w:p>
          <w:pPr>
            <w:tabs>
              <w:tab w:val="right" w:leader="dot" w:pos="8221"/>
            </w:tabs>
            <w:spacing w:before="60" w:after="60" w:line="276" w:lineRule="auto"/>
            <w:ind w:left="400" w:right="560" w:hanging="400"/>
            <w:jc w:val="left"/>
          </w:pPr>
          <w:r>
            <w:rPr>
              <w:rFonts w:ascii="Times New Roman" w:hAnsi="Times New Roman" w:cs="Times New Roman"/>
              <w:sz w:val="24"/>
              <w:szCs w:val="24"/>
            </w:rPr>
            <w:t xml:space="preserve">Figura 4.4 – Curva de esforço de revisão: ameaças encontradas em função da fila revista</w:t>
          </w:r>
          <w:r>
            <w:rPr>
              <w:rFonts w:ascii="Times New Roman" w:hAnsi="Times New Roman" w:cs="Times New Roman"/>
              <w:sz w:val="24"/>
              <w:szCs w:val="24"/>
            </w:rPr>
            <w:tab/>
          </w:r>
          <w:r>
            <w:rPr>
              <w:rFonts w:ascii="Times New Roman" w:hAnsi="Times New Roman" w:cs="Times New Roman"/>
              <w:sz w:val="24"/>
              <w:szCs w:val="24"/>
            </w:rPr>
            <w:t>48</w:t>
          </w:r>
        </w:p>
        <w:p>
          <w:r>
            <w:fldChar w:fldCharType="end"/>
          </w:r>
        </w:p>
      </w:sdtContent>
    </w:sdt>
    <w:p>
      <w:pPr>
        <w:sectPr>
          <w:headerReference w:type="default" r:id="rId9"/>
          <w:headerReference w:type="first" r:id="rId10"/>
          <w:footerReference w:type="default" r:id="rId11"/>
          <w:footerReference w:type="first" r:id="rId12"/>
          <w:type w:val="nextPage"/>
          <w:pgSz w:w="11906" w:h="16838" w:orient="portrait"/>
          <w:pgMar w:top="1701" w:right="1701" w:bottom="1417" w:left="1984" w:header="850" w:footer="567" w:gutter="0"/>
          <w:pgNumType w:start="1" w:fmt="lowerRoman"/>
          <w:titlePg/>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1 – INTRODUÇÃO</w:t>
      </w:r>
    </w:p>
    <w:p>
      <w:pPr>
        <w:pStyle w:val="Heading2"/>
        <w:keepNext/>
        <w:keepLines/>
        <w:spacing w:after="160" w:before="360" w:line="300"/>
      </w:pPr>
      <w:r>
        <w:rPr>
          <w:rFonts w:ascii="Times New Roman" w:cs="Times New Roman" w:eastAsia="Times New Roman" w:hAnsi="Times New Roman"/>
          <w:b/>
          <w:bCs/>
          <w:sz w:val="26"/>
          <w:szCs w:val="26"/>
        </w:rPr>
        <w:t xml:space="preserve">1.1 Contextualização</w:t>
      </w:r>
    </w:p>
    <w:p>
      <w:pPr>
        <w:spacing w:after="120" w:before="0" w:line="360"/>
        <w:ind w:firstLine="567"/>
        <w:jc w:val="both"/>
      </w:pPr>
      <w:r>
        <w:rPr>
          <w:rFonts w:ascii="Times New Roman" w:cs="Times New Roman" w:eastAsia="Times New Roman" w:hAnsi="Times New Roman"/>
          <w:sz w:val="24"/>
          <w:szCs w:val="24"/>
        </w:rPr>
        <w:t xml:space="preserve">As redes sociais deixaram de ser apenas lugares de convívio. Hoje é nelas que muitas pessoas se informam, discutem política e combinam encontros, e é também nelas que circulam boatos, insultos dirigidos a grupos e convocatórias que podem pôr em risco a ordem pública. Por isso, em quase todos os países com acesso generalizado à Internet, as plataformas digitais passaram também a ser matéria de segurança nacional.</w:t>
      </w:r>
    </w:p>
    <w:p>
      <w:pPr>
        <w:spacing w:after="120" w:before="0" w:line="360"/>
        <w:ind w:firstLine="567"/>
        <w:jc w:val="both"/>
      </w:pPr>
      <w:r>
        <w:rPr>
          <w:rFonts w:ascii="Times New Roman" w:cs="Times New Roman" w:eastAsia="Times New Roman" w:hAnsi="Times New Roman"/>
          <w:sz w:val="24"/>
          <w:szCs w:val="24"/>
        </w:rPr>
        <w:t xml:space="preserve">Em Angola, o fenómeno tem uma escala considerável. Segundo o relatório </w:t>
      </w:r>
      <w:r>
        <w:rPr>
          <w:rFonts w:ascii="Times New Roman" w:cs="Times New Roman" w:eastAsia="Times New Roman" w:hAnsi="Times New Roman"/>
          <w:i/>
          <w:iCs/>
          <w:sz w:val="24"/>
          <w:szCs w:val="24"/>
        </w:rPr>
        <w:t xml:space="preserve">Digital 2026: Angola</w:t>
      </w:r>
      <w:r>
        <w:rPr>
          <w:rFonts w:ascii="Times New Roman" w:cs="Times New Roman" w:eastAsia="Times New Roman" w:hAnsi="Times New Roman"/>
          <w:sz w:val="24"/>
          <w:szCs w:val="24"/>
        </w:rPr>
        <w:t xml:space="preserve">, o país tinha, em Outubro de 2025, cerca de 17,6 milhões de utilizadores da Internet (44,8% da população) e 5,50 milhões de identidades em redes sociais, o equivalente a 14,0% da população (Kemp, 2025). O telemóvel é o principal ponto de acesso. A Figura 1.1 resume estes indicadores.</w:t>
      </w:r>
    </w:p>
    <w:p>
      <w:pPr>
        <w:keepNext/>
        <w:spacing w:after="40" w:before="160"/>
        <w:jc w:val="center"/>
      </w:pPr>
      <w:r>
        <w:drawing>
          <wp:inline distT="0" distB="0" distL="0" distR="0">
            <wp:extent cx="4495800" cy="2247900"/>
            <wp:effectExtent t="0" r="0" b="0" l="0"/>
            <wp:docPr id="1" name="fig1_1_ecossistema.png" descr="fig1_1_ecossistema.png" title="fig1_1_ecossiste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495800" cy="22479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1.1 – Indicadores do ecossistema digital angolano (Outubro de 2025)</w:t>
      </w:r>
    </w:p>
    <w:p>
      <w:pPr>
        <w:spacing w:after="240" w:before="0" w:line="240"/>
        <w:jc w:val="center"/>
      </w:pPr>
      <w:r>
        <w:rPr>
          <w:rFonts w:ascii="Times New Roman" w:cs="Times New Roman" w:eastAsia="Times New Roman" w:hAnsi="Times New Roman"/>
          <w:i/>
          <w:iCs/>
          <w:sz w:val="18"/>
          <w:szCs w:val="18"/>
        </w:rPr>
        <w:t xml:space="preserve">Fonte: elaborado a partir de Kemp (2025). Os valores de alcance publicitário não correspondem a utilizadores únicos.</w:t>
      </w:r>
    </w:p>
    <w:p>
      <w:pPr>
        <w:spacing w:after="120" w:before="0" w:line="360"/>
        <w:ind w:firstLine="567"/>
        <w:jc w:val="both"/>
      </w:pPr>
      <w:r>
        <w:rPr>
          <w:rFonts w:ascii="Times New Roman" w:cs="Times New Roman" w:eastAsia="Times New Roman" w:hAnsi="Times New Roman"/>
          <w:sz w:val="24"/>
          <w:szCs w:val="24"/>
        </w:rPr>
        <w:t xml:space="preserve">Dois episódios ilustram o peso político deste espaço. A campanha «2022 Vais Gostar» nasceu nas redes sociais e acabou por se traduzir em manifestações em várias províncias (Hassane, 2021, pp. 37–38). A influência das redes no comportamento eleitoral dos jovens nas eleições de 2022 foi também discutida, num estudo qualitativo de base documental (Sambaca &amp; Pessoa, 2026). Em ambos, o que começou na Internet acabou por ter efeitos fora dela.</w:t>
      </w:r>
    </w:p>
    <w:p>
      <w:pPr>
        <w:spacing w:after="120" w:before="0" w:line="360"/>
        <w:ind w:firstLine="567"/>
        <w:jc w:val="both"/>
      </w:pPr>
      <w:r>
        <w:rPr>
          <w:rFonts w:ascii="Times New Roman" w:cs="Times New Roman" w:eastAsia="Times New Roman" w:hAnsi="Times New Roman"/>
          <w:sz w:val="24"/>
          <w:szCs w:val="24"/>
        </w:rPr>
        <w:t xml:space="preserve">A relação entre o que se publica e o que acontece fora da rede não é, contudo, directa. A grande maioria das publicações sobre política, preços, serviços públicos ou desporto é conversa legítima, por vezes dura, e só uma fracção pequena contém falsidades deliberadas, ataques a grupos ou apelos à violência. Esta desproporção tem duas consequências. A primeira é que a procura manual de conteúdos ameaçadores é lenta e cara, porque obriga a ler muito para encontrar pouco. A segunda é que um filtro automático tende a produzir mais falsos alarmes do que acertos quando aquilo que procura é muito raro, salvo se for muito específico, o que torna indispensável a verificação humana.</w:t>
      </w:r>
    </w:p>
    <w:p>
      <w:pPr>
        <w:spacing w:after="120" w:before="0" w:line="360"/>
        <w:ind w:firstLine="567"/>
        <w:jc w:val="both"/>
      </w:pPr>
      <w:r>
        <w:rPr>
          <w:rFonts w:ascii="Times New Roman" w:cs="Times New Roman" w:eastAsia="Times New Roman" w:hAnsi="Times New Roman"/>
          <w:sz w:val="24"/>
          <w:szCs w:val="24"/>
        </w:rPr>
        <w:t xml:space="preserve">Para as estruturas de defesa e segurança, a dificuldade está no volume. Não é possível ler tudo o que se publica, e as ferramentas comerciais de monitorização foram concebidas para outras línguas, outros contextos e outros orçamentos. Há, por isso, espaço para um sistema que ajude o analista a decidir o que ler primeiro, adaptado ao português usado em Angola e assente em princípios claros de protecção de dados.</w:t>
      </w:r>
    </w:p>
    <w:p>
      <w:pPr>
        <w:pStyle w:val="Heading2"/>
        <w:keepNext/>
        <w:keepLines/>
        <w:spacing w:after="160" w:before="360" w:line="300"/>
      </w:pPr>
      <w:r>
        <w:rPr>
          <w:rFonts w:ascii="Times New Roman" w:cs="Times New Roman" w:eastAsia="Times New Roman" w:hAnsi="Times New Roman"/>
          <w:b/>
          <w:bCs/>
          <w:sz w:val="26"/>
          <w:szCs w:val="26"/>
        </w:rPr>
        <w:t xml:space="preserve">1.2 Problema de investigação</w:t>
      </w:r>
    </w:p>
    <w:p>
      <w:pPr>
        <w:spacing w:after="120" w:before="0" w:line="360"/>
        <w:ind w:firstLine="567"/>
        <w:jc w:val="both"/>
      </w:pPr>
      <w:r>
        <w:rPr>
          <w:rFonts w:ascii="Times New Roman" w:cs="Times New Roman" w:eastAsia="Times New Roman" w:hAnsi="Times New Roman"/>
          <w:sz w:val="24"/>
          <w:szCs w:val="24"/>
        </w:rPr>
        <w:t xml:space="preserve">O problema que motiva esta dissertação tem uma dimensão técnica e outra operacional. Do lado técnico, não existe, tanto quanto foi possível apurar, um classificador de conteúdos ameaçadores treinado e avaliado com dados angolanos. Os modelos de linguagem disponíveis para o português, como o BERTimbau (Souza et al., 2020), foram pré-treinados sobretudo com texto brasileiro, e os corpora anotados para discurso de ódio e desinformação em português provêm igualmente do Brasil (Leite et al., 2020; Monteiro et al., 2018; Vargas et al., 2022). Não se sabe, portanto, quanto do desempenho reportado nesses trabalhos se mantém quando o texto é angolano.</w:t>
      </w:r>
    </w:p>
    <w:p>
      <w:pPr>
        <w:spacing w:after="120" w:before="0" w:line="360"/>
        <w:ind w:firstLine="567"/>
        <w:jc w:val="both"/>
      </w:pPr>
      <w:r>
        <w:rPr>
          <w:rFonts w:ascii="Times New Roman" w:cs="Times New Roman" w:eastAsia="Times New Roman" w:hAnsi="Times New Roman"/>
          <w:sz w:val="24"/>
          <w:szCs w:val="24"/>
        </w:rPr>
        <w:t xml:space="preserve">Do lado operacional, mesmo um bom classificador comete erros, e esses erros não custam todos o mesmo. Classificar uma convocatória pacífica como mobilização hostil pode lesar direitos constitucionais; deixar passar uma convocatória para a violência pode ter consequências graves. Um sistema útil para a segurança nacional tem de ser desenhado em função desta assimetria, mantendo o analista humano no centro da decisão.</w:t>
      </w:r>
    </w:p>
    <w:p>
      <w:pPr>
        <w:spacing w:after="120" w:before="0" w:line="360"/>
        <w:ind w:firstLine="567"/>
        <w:jc w:val="both"/>
      </w:pPr>
      <w:r>
        <w:rPr>
          <w:rFonts w:ascii="Times New Roman" w:cs="Times New Roman" w:eastAsia="Times New Roman" w:hAnsi="Times New Roman"/>
          <w:sz w:val="24"/>
          <w:szCs w:val="24"/>
        </w:rPr>
        <w:t xml:space="preserve">A pergunta de partida é, assim, a seguinte: </w:t>
      </w:r>
      <w:r>
        <w:rPr>
          <w:rFonts w:ascii="Times New Roman" w:cs="Times New Roman" w:eastAsia="Times New Roman" w:hAnsi="Times New Roman"/>
          <w:b/>
          <w:bCs/>
          <w:sz w:val="24"/>
          <w:szCs w:val="24"/>
        </w:rPr>
        <w:t xml:space="preserve">em que medida um sistema baseado em aprendizagem automática consegue apoiar, de forma fiável e juridicamente responsável, a triagem de publicações ameaçadoras em redes sociais angolanas?</w:t>
      </w:r>
    </w:p>
    <w:p>
      <w:pPr>
        <w:spacing w:after="120" w:before="0" w:line="360"/>
        <w:ind w:firstLine="567"/>
        <w:jc w:val="both"/>
      </w:pPr>
      <w:r>
        <w:rPr>
          <w:rFonts w:ascii="Times New Roman" w:cs="Times New Roman" w:eastAsia="Times New Roman" w:hAnsi="Times New Roman"/>
          <w:sz w:val="24"/>
          <w:szCs w:val="24"/>
        </w:rPr>
        <w:t xml:space="preserve">Desta pergunta derivam quatro perguntas mais específicas, que orientam a investigação. As hipóteses da Secção 1.3 respondem às três primeiras (H1 à P1, H4 à P2 e H2 à P3); a P4 é respondida pelo desenho do sistema e pelo quadro de uso responsável (OE4 e OE5). A H3 decorre do OE4 (avaliação operacional do protótipo) e não de uma pergunta específica.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P1.</w:t>
      </w:r>
      <w:r>
        <w:rPr>
          <w:rFonts w:ascii="Times New Roman" w:cs="Times New Roman" w:eastAsia="Times New Roman" w:hAnsi="Times New Roman"/>
          <w:sz w:val="24"/>
          <w:szCs w:val="24"/>
        </w:rPr>
        <w:t xml:space="preserve"> Que família de algoritmos classifica melhor as quatro categorias de ameaça, e a diferença entre eles é estatisticamente sólida?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P2.</w:t>
      </w:r>
      <w:r>
        <w:rPr>
          <w:rFonts w:ascii="Times New Roman" w:cs="Times New Roman" w:eastAsia="Times New Roman" w:hAnsi="Times New Roman"/>
          <w:sz w:val="24"/>
          <w:szCs w:val="24"/>
        </w:rPr>
        <w:t xml:space="preserve"> Quanto se perde quando um modelo treinado sobretudo com texto brasileiro é aplicado a comentários angolanos, e onde se concentra essa perda?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P3.</w:t>
      </w:r>
      <w:r>
        <w:rPr>
          <w:rFonts w:ascii="Times New Roman" w:cs="Times New Roman" w:eastAsia="Times New Roman" w:hAnsi="Times New Roman"/>
          <w:sz w:val="24"/>
          <w:szCs w:val="24"/>
        </w:rPr>
        <w:t xml:space="preserve"> Um sistema construído com recursos modestos consegue processar as publicações recolhidas num tempo compatível com a triagem operacional?</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P4.</w:t>
      </w:r>
      <w:r>
        <w:rPr>
          <w:rFonts w:ascii="Times New Roman" w:cs="Times New Roman" w:eastAsia="Times New Roman" w:hAnsi="Times New Roman"/>
          <w:sz w:val="24"/>
          <w:szCs w:val="24"/>
        </w:rPr>
        <w:t xml:space="preserve"> Como deve ser desenhado o sistema para que os erros do modelo não se transformem em decisões sobre pessoas, e para que o seu uso respeite o quadro jurídico angolano?</w:t>
      </w:r>
    </w:p>
    <w:p>
      <w:pPr>
        <w:pStyle w:val="Heading2"/>
        <w:keepNext/>
        <w:keepLines/>
        <w:spacing w:after="160" w:before="360" w:line="300"/>
      </w:pPr>
      <w:r>
        <w:rPr>
          <w:rFonts w:ascii="Times New Roman" w:cs="Times New Roman" w:eastAsia="Times New Roman" w:hAnsi="Times New Roman"/>
          <w:b/>
          <w:bCs/>
          <w:sz w:val="26"/>
          <w:szCs w:val="26"/>
        </w:rPr>
        <w:t xml:space="preserve">1.3 Hipóteses de investigação</w:t>
      </w:r>
    </w:p>
    <w:p>
      <w:pPr>
        <w:spacing w:after="120" w:before="0" w:line="360"/>
        <w:ind w:firstLine="567"/>
        <w:jc w:val="both"/>
      </w:pPr>
      <w:r>
        <w:rPr>
          <w:rFonts w:ascii="Times New Roman" w:cs="Times New Roman" w:eastAsia="Times New Roman" w:hAnsi="Times New Roman"/>
          <w:sz w:val="24"/>
          <w:szCs w:val="24"/>
        </w:rPr>
        <w:t xml:space="preserve">Formularam-se as hipóteses de modo a serem refutáveis e a terem um critério quantitativo de decisão. Cada uma responde a um ou mais objectivos específicos (Secção 1.4).</w:t>
      </w:r>
    </w:p>
    <w:p>
      <w:pPr>
        <w:spacing w:after="120" w:before="0" w:line="360"/>
        <w:ind w:firstLine="567"/>
        <w:jc w:val="both"/>
      </w:pPr>
      <w:r>
        <w:rPr>
          <w:rFonts w:ascii="Times New Roman" w:cs="Times New Roman" w:eastAsia="Times New Roman" w:hAnsi="Times New Roman"/>
          <w:b/>
          <w:bCs/>
          <w:sz w:val="24"/>
          <w:szCs w:val="24"/>
        </w:rPr>
        <w:t xml:space="preserve">H1.</w:t>
      </w:r>
      <w:r>
        <w:rPr>
          <w:rFonts w:ascii="Times New Roman" w:cs="Times New Roman" w:eastAsia="Times New Roman" w:hAnsi="Times New Roman"/>
          <w:sz w:val="24"/>
          <w:szCs w:val="24"/>
        </w:rPr>
        <w:t xml:space="preserve"> Os modelos de aprendizagem profunda (BERTimbau e Bi-LSTM) superam os modelos clássicos (SVM e Floresta Aleatória) na classificação das quatro categorias, com diferença de F1-macro de pelo menos 5 pontos percentuais e significância estatística (p &lt; 0,05 no teste de McNemar com correcção de Bonferroni).</w:t>
      </w:r>
    </w:p>
    <w:p>
      <w:pPr>
        <w:spacing w:after="120" w:before="0" w:line="360"/>
        <w:ind w:firstLine="567"/>
        <w:jc w:val="both"/>
      </w:pPr>
      <w:r>
        <w:rPr>
          <w:rFonts w:ascii="Times New Roman" w:cs="Times New Roman" w:eastAsia="Times New Roman" w:hAnsi="Times New Roman"/>
          <w:b/>
          <w:bCs/>
          <w:sz w:val="24"/>
          <w:szCs w:val="24"/>
        </w:rPr>
        <w:t xml:space="preserve">H2.</w:t>
      </w:r>
      <w:r>
        <w:rPr>
          <w:rFonts w:ascii="Times New Roman" w:cs="Times New Roman" w:eastAsia="Times New Roman" w:hAnsi="Times New Roman"/>
          <w:sz w:val="24"/>
          <w:szCs w:val="24"/>
        </w:rPr>
        <w:t xml:space="preserve"> O sistema processa cada publicação recolhida (importação, anonimização, classificação e entrada na fila de revisão) em menos de 60 segundos.</w:t>
      </w:r>
    </w:p>
    <w:p>
      <w:pPr>
        <w:spacing w:after="120" w:before="0" w:line="360"/>
        <w:ind w:firstLine="567"/>
        <w:jc w:val="both"/>
      </w:pPr>
      <w:r>
        <w:rPr>
          <w:rFonts w:ascii="Times New Roman" w:cs="Times New Roman" w:eastAsia="Times New Roman" w:hAnsi="Times New Roman"/>
          <w:b/>
          <w:bCs/>
          <w:sz w:val="24"/>
          <w:szCs w:val="24"/>
        </w:rPr>
        <w:t xml:space="preserve">H3.</w:t>
      </w:r>
      <w:r>
        <w:rPr>
          <w:rFonts w:ascii="Times New Roman" w:cs="Times New Roman" w:eastAsia="Times New Roman" w:hAnsi="Times New Roman"/>
          <w:sz w:val="24"/>
          <w:szCs w:val="24"/>
        </w:rPr>
        <w:t xml:space="preserve"> O sistema detecta padrões de risco com pelo menos 48 horas de antecedência em relação a eventos de segurança documentados, numa validação retrospectiva com divisão cronológica dos dados.</w:t>
      </w:r>
    </w:p>
    <w:p>
      <w:pPr>
        <w:spacing w:after="120" w:before="0" w:line="360"/>
        <w:ind w:firstLine="567"/>
        <w:jc w:val="both"/>
      </w:pPr>
      <w:r>
        <w:rPr>
          <w:rFonts w:ascii="Times New Roman" w:cs="Times New Roman" w:eastAsia="Times New Roman" w:hAnsi="Times New Roman"/>
          <w:b/>
          <w:bCs/>
          <w:sz w:val="24"/>
          <w:szCs w:val="24"/>
        </w:rPr>
        <w:t xml:space="preserve">H4.</w:t>
      </w:r>
      <w:r>
        <w:rPr>
          <w:rFonts w:ascii="Times New Roman" w:cs="Times New Roman" w:eastAsia="Times New Roman" w:hAnsi="Times New Roman"/>
          <w:sz w:val="24"/>
          <w:szCs w:val="24"/>
        </w:rPr>
        <w:t xml:space="preserve"> O desempenho do modelo seleccionado degrada-se significativamente (pelo menos 5 pontos percentuais de F1-macro) em conteúdo angolano, quando comparado com o conteúdo dos corpora públicos usados no treino.</w:t>
      </w:r>
    </w:p>
    <w:p>
      <w:pPr>
        <w:pStyle w:val="Heading2"/>
        <w:keepNext/>
        <w:keepLines/>
        <w:spacing w:after="160" w:before="360" w:line="300"/>
      </w:pPr>
      <w:r>
        <w:rPr>
          <w:rFonts w:ascii="Times New Roman" w:cs="Times New Roman" w:eastAsia="Times New Roman" w:hAnsi="Times New Roman"/>
          <w:b/>
          <w:bCs/>
          <w:sz w:val="26"/>
          <w:szCs w:val="26"/>
        </w:rPr>
        <w:t xml:space="preserve">1.4 Objectivos</w:t>
      </w:r>
    </w:p>
    <w:p>
      <w:pPr>
        <w:pStyle w:val="Heading3"/>
        <w:keepNext/>
        <w:spacing w:after="100" w:before="200"/>
      </w:pPr>
      <w:r>
        <w:rPr>
          <w:rFonts w:ascii="Times New Roman" w:cs="Times New Roman" w:eastAsia="Times New Roman" w:hAnsi="Times New Roman"/>
          <w:b/>
          <w:bCs/>
          <w:sz w:val="26"/>
          <w:szCs w:val="26"/>
        </w:rPr>
        <w:t xml:space="preserve">1.4.1 Objectivo geral</w:t>
      </w:r>
    </w:p>
    <w:p>
      <w:pPr>
        <w:spacing w:after="120" w:before="0" w:line="360"/>
        <w:ind w:firstLine="567"/>
        <w:jc w:val="both"/>
      </w:pPr>
      <w:r>
        <w:rPr>
          <w:rFonts w:ascii="Times New Roman" w:cs="Times New Roman" w:eastAsia="Times New Roman" w:hAnsi="Times New Roman"/>
          <w:sz w:val="24"/>
          <w:szCs w:val="24"/>
        </w:rPr>
        <w:t xml:space="preserve">Desenvolver e avaliar um sistema de apoio à triagem de publicações ameaçadoras em redes sociais angolanas, que combine um classificador de linguagem natural adaptado ao português com revisão humana obrigatória e com protecção de dados pessoais desde a concepção.</w:t>
      </w:r>
    </w:p>
    <w:p>
      <w:pPr>
        <w:pStyle w:val="Heading3"/>
        <w:keepNext/>
        <w:spacing w:after="100" w:before="200"/>
      </w:pPr>
      <w:r>
        <w:rPr>
          <w:rFonts w:ascii="Times New Roman" w:cs="Times New Roman" w:eastAsia="Times New Roman" w:hAnsi="Times New Roman"/>
          <w:b/>
          <w:bCs/>
          <w:sz w:val="26"/>
          <w:szCs w:val="26"/>
        </w:rPr>
        <w:t xml:space="preserve">1.4.2 Objectivos específicos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OE1.</w:t>
      </w:r>
      <w:r>
        <w:rPr>
          <w:rFonts w:ascii="Times New Roman" w:cs="Times New Roman" w:eastAsia="Times New Roman" w:hAnsi="Times New Roman"/>
          <w:sz w:val="24"/>
          <w:szCs w:val="24"/>
        </w:rPr>
        <w:t xml:space="preserve"> Construir um corpus de publicações públicas angolanas anotado em quatro categorias por três anotadores, medindo o acordo entre anotadores e registando a proveniência de cada lote de dados.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OE2.</w:t>
      </w:r>
      <w:r>
        <w:rPr>
          <w:rFonts w:ascii="Times New Roman" w:cs="Times New Roman" w:eastAsia="Times New Roman" w:hAnsi="Times New Roman"/>
          <w:sz w:val="24"/>
          <w:szCs w:val="24"/>
        </w:rPr>
        <w:t xml:space="preserve"> Comparar quatro algoritmos de classificação (SVM, Floresta Aleatória, Bi-LSTM e BERTimbau) com intervalos de confiança e testes estatísticos emparelhados.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OE3.</w:t>
      </w:r>
      <w:r>
        <w:rPr>
          <w:rFonts w:ascii="Times New Roman" w:cs="Times New Roman" w:eastAsia="Times New Roman" w:hAnsi="Times New Roman"/>
          <w:sz w:val="24"/>
          <w:szCs w:val="24"/>
        </w:rPr>
        <w:t xml:space="preserve"> Quantificar a diferença de desempenho entre o conteúdo angolano e o dos corpora públicos e identificar as suas causas prováveis.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OE4.</w:t>
      </w:r>
      <w:r>
        <w:rPr>
          <w:rFonts w:ascii="Times New Roman" w:cs="Times New Roman" w:eastAsia="Times New Roman" w:hAnsi="Times New Roman"/>
          <w:sz w:val="24"/>
          <w:szCs w:val="24"/>
        </w:rPr>
        <w:t xml:space="preserve"> Desenvolver um protótipo de sistema de triagem com fila de revisão, painel do analista, serviço de inferência, alertas e mapa por província, e definir o protocolo da sua avaliação operacional.</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OE5.</w:t>
      </w:r>
      <w:r>
        <w:rPr>
          <w:rFonts w:ascii="Times New Roman" w:cs="Times New Roman" w:eastAsia="Times New Roman" w:hAnsi="Times New Roman"/>
          <w:sz w:val="24"/>
          <w:szCs w:val="24"/>
        </w:rPr>
        <w:t xml:space="preserve"> Propor um quadro de uso responsável do sistema, conforme a Lei n.º 22/11 de Protecção de Dados Pessoais e os direitos consagrados na Constituição da República de Angola.</w:t>
      </w:r>
    </w:p>
    <w:p>
      <w:pPr>
        <w:spacing w:after="120" w:before="120" w:line="360"/>
        <w:ind w:firstLine="567"/>
        <w:jc w:val="both"/>
      </w:pPr>
      <w:r>
        <w:rPr>
          <w:rFonts w:ascii="Times New Roman" w:cs="Times New Roman" w:eastAsia="Times New Roman" w:hAnsi="Times New Roman"/>
          <w:sz w:val="24"/>
          <w:szCs w:val="24"/>
        </w:rPr>
        <w:t xml:space="preserve">A Tabela 1.1 relaciona os objectivos específicos com as hipóteses.</w:t>
      </w:r>
    </w:p>
    <w:p>
      <w:pPr>
        <w:pStyle w:val="LegendaTabela"/>
        <w:keepNext/>
        <w:spacing w:after="80" w:before="240" w:line="240"/>
        <w:jc w:val="center"/>
      </w:pPr>
      <w:r>
        <w:rPr>
          <w:rFonts w:ascii="Times New Roman" w:cs="Times New Roman" w:eastAsia="Times New Roman" w:hAnsi="Times New Roman"/>
          <w:b/>
          <w:bCs/>
          <w:sz w:val="20"/>
          <w:szCs w:val="20"/>
        </w:rPr>
        <w:t xml:space="preserve">Tabela 1.1 – Correspondência entre objectivos específicos e hipóteses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3020"/>
      </w:tblGrid>
      <w:tr>
        <w:trPr>
          <w:cantSplit/>
          <w:tblHeader/>
        </w:trPr>
        <w:tc>
          <w:tcPr>
            <w:tcW w:type="dxa" w:w="3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Objectivo</w:t>
            </w:r>
          </w:p>
        </w:tc>
        <w:tc>
          <w:tcPr>
            <w:tcW w:type="dxa" w:w="1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Hipótese</w:t>
            </w:r>
          </w:p>
        </w:tc>
        <w:tc>
          <w:tcPr>
            <w:tcW w:type="dxa" w:w="30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Natureza</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OE1. Corpus angolano anotado</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n.a.</w:t>
            </w:r>
          </w:p>
        </w:tc>
        <w:tc>
          <w:tcPr>
            <w:tcW w:type="dxa" w:w="3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Construção de dados</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OE2. Comparação de algoritmos</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H1</w:t>
            </w:r>
          </w:p>
        </w:tc>
        <w:tc>
          <w:tcPr>
            <w:tcW w:type="dxa" w:w="3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Testável estatisticamente</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OE3. Lacuna de domínio</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H4</w:t>
            </w:r>
          </w:p>
        </w:tc>
        <w:tc>
          <w:tcPr>
            <w:tcW w:type="dxa" w:w="3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Testável estatisticamente</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OE4. Protótipo do sistema</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H2, H3</w:t>
            </w:r>
          </w:p>
        </w:tc>
        <w:tc>
          <w:tcPr>
            <w:tcW w:type="dxa" w:w="3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H2 testável; H3 com protocolo esboçado, não aplicado</w:t>
            </w:r>
          </w:p>
        </w:tc>
      </w:tr>
      <w:tr>
        <w:trPr>
          <w:cantSplit/>
          <w:tblHeader w:val="false"/>
        </w:trPr>
        <w:tc>
          <w:tcPr>
            <w:tcW w:type="dxa" w:w="3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OE5. Quadro ético e legal</w:t>
            </w:r>
          </w:p>
        </w:tc>
        <w:tc>
          <w:tcPr>
            <w:tcW w:type="dxa" w:w="1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n.a.</w:t>
            </w:r>
          </w:p>
        </w:tc>
        <w:tc>
          <w:tcPr>
            <w:tcW w:type="dxa" w:w="30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Normativo</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1.5 Justificação e relevância</w:t>
      </w:r>
    </w:p>
    <w:p>
      <w:pPr>
        <w:spacing w:after="120" w:before="0" w:line="360"/>
        <w:ind w:firstLine="567"/>
        <w:jc w:val="both"/>
      </w:pPr>
      <w:r>
        <w:rPr>
          <w:rFonts w:ascii="Times New Roman" w:cs="Times New Roman" w:eastAsia="Times New Roman" w:hAnsi="Times New Roman"/>
          <w:sz w:val="24"/>
          <w:szCs w:val="24"/>
        </w:rPr>
        <w:t xml:space="preserve">A investigação justifica-se por três razões. Do ponto de vista científico, o português de Angola continua pouco representado nos recursos de processamento de linguagem natural (PLN). Um corpus anotado de comentários angolanos, mesmo de dimensão modesta, permite medir pela primeira vez quanto se perde ao aplicar modelos brasileiros a este domínio, e serve de base a trabalhos futuros.</w:t>
      </w:r>
    </w:p>
    <w:p>
      <w:pPr>
        <w:spacing w:after="120" w:before="0" w:line="360"/>
        <w:ind w:firstLine="567"/>
        <w:jc w:val="both"/>
      </w:pPr>
      <w:r>
        <w:rPr>
          <w:rFonts w:ascii="Times New Roman" w:cs="Times New Roman" w:eastAsia="Times New Roman" w:hAnsi="Times New Roman"/>
          <w:sz w:val="24"/>
          <w:szCs w:val="24"/>
        </w:rPr>
        <w:t xml:space="preserve">Em termos operacionais, uma ferramenta que ordene as publicações por probabilidade de serem problemáticas pode reduzir o tempo que o analista gasta com conteúdo irrelevante, sem lhe retirar a decisão, hipótese que esta dissertação avalia apenas em laboratório. A arquitectura proposta usa apenas software livre e pode funcionar num único servidor, o que a torna compatível com os recursos disponíveis e com a soberania sobre os dados.</w:t>
      </w:r>
    </w:p>
    <w:p>
      <w:pPr>
        <w:spacing w:after="120" w:before="0" w:line="360"/>
        <w:ind w:firstLine="567"/>
        <w:jc w:val="both"/>
      </w:pPr>
      <w:r>
        <w:rPr>
          <w:rFonts w:ascii="Times New Roman" w:cs="Times New Roman" w:eastAsia="Times New Roman" w:hAnsi="Times New Roman"/>
          <w:sz w:val="24"/>
          <w:szCs w:val="24"/>
        </w:rPr>
        <w:t xml:space="preserve">No plano institucional e jurídico, o trabalho mostra que é possível conceber estes sistemas com salvaguardas concretas: anonimização à entrada, registo de proveniência, prazos de conservação, auditoria e proibição de decisões automáticas sobre pessoas. Sem elas, um sistema deste tipo dificilmente seria aceitável num Estado de direito.</w:t>
      </w:r>
    </w:p>
    <w:p>
      <w:pPr>
        <w:pStyle w:val="Heading2"/>
        <w:keepNext/>
        <w:keepLines/>
        <w:spacing w:after="160" w:before="360" w:line="300"/>
      </w:pPr>
      <w:r>
        <w:rPr>
          <w:rFonts w:ascii="Times New Roman" w:cs="Times New Roman" w:eastAsia="Times New Roman" w:hAnsi="Times New Roman"/>
          <w:b/>
          <w:bCs/>
          <w:sz w:val="26"/>
          <w:szCs w:val="26"/>
        </w:rPr>
        <w:t xml:space="preserve">1.6 Delimitação do estudo</w:t>
      </w:r>
    </w:p>
    <w:p>
      <w:pPr>
        <w:spacing w:after="120" w:before="0" w:line="360"/>
        <w:ind w:firstLine="567"/>
        <w:jc w:val="both"/>
      </w:pPr>
      <w:r>
        <w:rPr>
          <w:rFonts w:ascii="Times New Roman" w:cs="Times New Roman" w:eastAsia="Times New Roman" w:hAnsi="Times New Roman"/>
          <w:sz w:val="24"/>
          <w:szCs w:val="24"/>
        </w:rPr>
        <w:t xml:space="preserve">O estudo limita-se a texto em português publicado em espaços públicos. O corpus angolano é formado sobretudo por comentários públicos do YouTube, recolhidos pela interface oficial da plataforma, e por um conjunto menor de publicações recolhidas manualmente em páginas públicas. Não se recolheram mensagens privadas, grupos fechados nem conteúdo que exija autenticação. Imagens, áudio e vídeo ficam fora do âmbito, assim como textos escritos integralmente em línguas nacionais. A avaliação incide sobre o classificador e sobre o funcionamento do protótipo; a integração com sistemas institucionais e a avaliação com analistas em contexto real ficam para trabalho futuro.</w:t>
      </w:r>
    </w:p>
    <w:p>
      <w:pPr>
        <w:pStyle w:val="Heading2"/>
        <w:keepNext/>
        <w:keepLines/>
        <w:spacing w:after="160" w:before="360" w:line="300"/>
      </w:pPr>
      <w:r>
        <w:rPr>
          <w:rFonts w:ascii="Times New Roman" w:cs="Times New Roman" w:eastAsia="Times New Roman" w:hAnsi="Times New Roman"/>
          <w:b/>
          <w:bCs/>
          <w:sz w:val="26"/>
          <w:szCs w:val="26"/>
        </w:rPr>
        <w:t xml:space="preserve">1.7 Estrutura da dissertação</w:t>
      </w:r>
    </w:p>
    <w:p>
      <w:pPr>
        <w:spacing w:after="120" w:before="0" w:line="360"/>
        <w:ind w:firstLine="567"/>
        <w:jc w:val="both"/>
      </w:pPr>
      <w:r>
        <w:rPr>
          <w:rFonts w:ascii="Times New Roman" w:cs="Times New Roman" w:eastAsia="Times New Roman" w:hAnsi="Times New Roman"/>
          <w:sz w:val="24"/>
          <w:szCs w:val="24"/>
        </w:rPr>
        <w:t xml:space="preserve">Para além desta introdução, a dissertação tem quatro capítulos. O Capítulo 2 revê a literatura sobre ameaças digitais, modelos para o português, avaliação e enquadramento legal. O Capítulo 3 descreve a metodologia: a construção do corpus, a anotação, os modelos, o protocolo de avaliação e a arquitectura do sistema. O Capítulo 4 apresenta e discute os resultados e testa as hipóteses. O Capítulo 5 sintetiza as conclusões e as limitações, e o Capítulo 6 apresenta as recomendações. Os apêndices reúnem excertos de código, o guia de anotação, os dados de acordo entre anotadores, a declaração dos anotadores, uma amostra anotada do corpus e o manual do protótipo.</w:t>
      </w:r>
    </w:p>
    <w:p>
      <w:pPr>
        <w:sectPr>
          <w:headerReference w:type="default" r:id="rId13"/>
          <w:footerReference w:type="default" r:id="rId14"/>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2 – REVISÃO DA LITERATURA</w:t>
      </w:r>
    </w:p>
    <w:p>
      <w:pPr>
        <w:spacing w:after="120" w:before="0" w:line="360"/>
        <w:ind w:firstLine="567"/>
        <w:jc w:val="both"/>
      </w:pPr>
      <w:r>
        <w:rPr>
          <w:rFonts w:ascii="Times New Roman" w:cs="Times New Roman" w:eastAsia="Times New Roman" w:hAnsi="Times New Roman"/>
          <w:sz w:val="24"/>
          <w:szCs w:val="24"/>
        </w:rPr>
        <w:t xml:space="preserve">Este capítulo situa o trabalho em relação ao que já se conhece. Começa pelas redes sociais e pelo contexto angolano, define as categorias de ameaça usadas na dissertação e revê os sistemas de monitorização existentes. Depois trata dos recursos e modelos de linguagem para o português, dos métodos de avaliação de classificadores, incluindo a qualidade das probabilidades e da ordenação, e do problema da generalização entre domínios. Segue-se o enquadramento ético e legal, a revisão humana e a segurança da informação. Termina com uma síntese da lacuna que a investigação procura preencher.</w:t>
      </w:r>
    </w:p>
    <w:p>
      <w:pPr>
        <w:pStyle w:val="Heading2"/>
        <w:keepNext/>
        <w:keepLines/>
        <w:spacing w:after="160" w:before="360" w:line="300"/>
      </w:pPr>
      <w:r>
        <w:rPr>
          <w:rFonts w:ascii="Times New Roman" w:cs="Times New Roman" w:eastAsia="Times New Roman" w:hAnsi="Times New Roman"/>
          <w:b/>
          <w:bCs/>
          <w:sz w:val="26"/>
          <w:szCs w:val="26"/>
        </w:rPr>
        <w:t xml:space="preserve">2.1 Redes sociais: conceito, evolução e dimensão securitária</w:t>
      </w:r>
    </w:p>
    <w:p>
      <w:pPr>
        <w:pStyle w:val="Heading3"/>
        <w:keepNext/>
        <w:spacing w:after="100" w:before="200"/>
      </w:pPr>
      <w:r>
        <w:rPr>
          <w:rFonts w:ascii="Times New Roman" w:cs="Times New Roman" w:eastAsia="Times New Roman" w:hAnsi="Times New Roman"/>
          <w:b/>
          <w:bCs/>
          <w:sz w:val="26"/>
          <w:szCs w:val="26"/>
        </w:rPr>
        <w:t xml:space="preserve">2.1.1 Conceito e evolução</w:t>
      </w:r>
    </w:p>
    <w:p>
      <w:pPr>
        <w:spacing w:after="120" w:before="0" w:line="360"/>
        <w:ind w:firstLine="567"/>
        <w:jc w:val="both"/>
      </w:pPr>
      <w:r>
        <w:rPr>
          <w:rFonts w:ascii="Times New Roman" w:cs="Times New Roman" w:eastAsia="Times New Roman" w:hAnsi="Times New Roman"/>
          <w:sz w:val="24"/>
          <w:szCs w:val="24"/>
        </w:rPr>
        <w:t xml:space="preserve">Boyd e Ellison (2007) definem as redes sociais como serviços que permitem construir um perfil público, articular uma lista de contactos e percorrer as ligações dentro do sistema. A definição capta a estrutura das plataformas, mas não o papel que vieram a ter na vida pública. Ao longo de três décadas passou-se de redes de perfis e ligações declaradas (SixDegrees, Friendster, MySpace) para plataformas de conteúdo gerado pelos utilizadores e de seguimento assimétrico (Facebook, YouTube, Twitter) e, finalmente, para serviços móveis em que o que cada pessoa vê é decidido por algoritmos de recomendação (Instagram, TikTok, Telegram).</w:t>
      </w:r>
    </w:p>
    <w:p>
      <w:pPr>
        <w:spacing w:after="120" w:before="0" w:line="360"/>
        <w:ind w:firstLine="567"/>
        <w:jc w:val="both"/>
      </w:pPr>
      <w:r>
        <w:rPr>
          <w:rFonts w:ascii="Times New Roman" w:cs="Times New Roman" w:eastAsia="Times New Roman" w:hAnsi="Times New Roman"/>
          <w:sz w:val="24"/>
          <w:szCs w:val="24"/>
        </w:rPr>
        <w:t xml:space="preserve">Esta última mudança é relevante para a segurança. Quando a recomendação privilegia o envolvimento, o conteúdo que provoca indignação, medo ou raiva tende a circular mais, independentemente da intenção de quem o publica. Castells (2013) mostrou, a propósito da Primavera Árabe, como redes horizontais permitem coordenar acções políticas sem passar pelos meios de comunicação tradicionais.</w:t>
      </w:r>
    </w:p>
    <w:p>
      <w:pPr>
        <w:pStyle w:val="Heading3"/>
        <w:keepNext/>
        <w:spacing w:after="100" w:before="200"/>
      </w:pPr>
      <w:r>
        <w:rPr>
          <w:rFonts w:ascii="Times New Roman" w:cs="Times New Roman" w:eastAsia="Times New Roman" w:hAnsi="Times New Roman"/>
          <w:b/>
          <w:bCs/>
          <w:sz w:val="26"/>
          <w:szCs w:val="26"/>
        </w:rPr>
        <w:t xml:space="preserve">2.1.2 O ecossistema digital angolano</w:t>
      </w:r>
    </w:p>
    <w:p>
      <w:pPr>
        <w:spacing w:after="120" w:before="0" w:line="360"/>
        <w:ind w:firstLine="567"/>
        <w:jc w:val="both"/>
      </w:pPr>
      <w:r>
        <w:rPr>
          <w:rFonts w:ascii="Times New Roman" w:cs="Times New Roman" w:eastAsia="Times New Roman" w:hAnsi="Times New Roman"/>
          <w:sz w:val="24"/>
          <w:szCs w:val="24"/>
        </w:rPr>
        <w:t xml:space="preserve">Os dados de Kemp (2025) mostram um ecossistema em crescimento, mas ainda concentrado: 5,50 milhões de identidades em redes sociais numa população de 39,3 milhões, com o Facebook à frente em alcance e o TikTok em segundo lugar. A concentração urbana dos utilizadores, em especial em Luanda, significa que o que se discute nas redes chega rapidamente às zonas de maior densidade populacional, e daí, por contacto pessoal, a quem não está ligado.</w:t>
      </w:r>
    </w:p>
    <w:p>
      <w:pPr>
        <w:spacing w:after="120" w:before="0" w:line="360"/>
        <w:ind w:firstLine="567"/>
        <w:jc w:val="both"/>
      </w:pPr>
      <w:r>
        <w:rPr>
          <w:rFonts w:ascii="Times New Roman" w:cs="Times New Roman" w:eastAsia="Times New Roman" w:hAnsi="Times New Roman"/>
          <w:sz w:val="24"/>
          <w:szCs w:val="24"/>
        </w:rPr>
        <w:t xml:space="preserve">A campanha «2022 Vais Gostar», que começou nas redes sociais e resultou em manifestações simultâneas em várias províncias (Hassane, 2021, pp. 37–38), e a influência das redes na participação política dos jovens em 2022, discutida num estudo qualitativo (Sambaca &amp; Pessoa, 2026), mostram o peso destes espaços na vida política angolana. Acresce que a desinformação ganhou novas ferramentas: conteúdos sintéticos criados com inteligência artificial (</w:t>
      </w:r>
      <w:r>
        <w:rPr>
          <w:rFonts w:ascii="Times New Roman" w:cs="Times New Roman" w:eastAsia="Times New Roman" w:hAnsi="Times New Roman"/>
          <w:i/>
          <w:iCs/>
          <w:sz w:val="24"/>
          <w:szCs w:val="24"/>
        </w:rPr>
        <w:t xml:space="preserve">deepfakes</w:t>
      </w:r>
      <w:r>
        <w:rPr>
          <w:rFonts w:ascii="Times New Roman" w:cs="Times New Roman" w:eastAsia="Times New Roman" w:hAnsi="Times New Roman"/>
          <w:sz w:val="24"/>
          <w:szCs w:val="24"/>
        </w:rPr>
        <w:t xml:space="preserve">), contas automatizadas e campanhas coordenadas são hoje usados para influenciar eleições e dividir sociedades (Cintra, 2025, p. 101). Marcon (2019) descreve, numa perspectiva sociológica, como os jovens angolanos se mobilizam através das redes sociais digitais, com formas de protesto cada vez mais estéticas (imagem, som, escrita e performance), o que reforça a necessidade de distinguir com cuidado o protesto legítimo da mobilização hostil.</w:t>
      </w:r>
    </w:p>
    <w:p>
      <w:pPr>
        <w:pStyle w:val="Heading3"/>
        <w:keepNext/>
        <w:spacing w:after="100" w:before="200"/>
      </w:pPr>
      <w:r>
        <w:rPr>
          <w:rFonts w:ascii="Times New Roman" w:cs="Times New Roman" w:eastAsia="Times New Roman" w:hAnsi="Times New Roman"/>
          <w:b/>
          <w:bCs/>
          <w:sz w:val="26"/>
          <w:szCs w:val="26"/>
        </w:rPr>
        <w:t xml:space="preserve">2.1.3 Inteligência de fontes abertas e de redes sociais</w:t>
      </w:r>
    </w:p>
    <w:p>
      <w:pPr>
        <w:spacing w:after="120" w:before="0" w:line="360"/>
        <w:ind w:firstLine="567"/>
        <w:jc w:val="both"/>
      </w:pPr>
      <w:r>
        <w:rPr>
          <w:rFonts w:ascii="Times New Roman" w:cs="Times New Roman" w:eastAsia="Times New Roman" w:hAnsi="Times New Roman"/>
          <w:sz w:val="24"/>
          <w:szCs w:val="24"/>
        </w:rPr>
        <w:t xml:space="preserve">A recolha e a análise de informação publicada abertamente chamam-se, na literatura de segurança, inteligência de fontes abertas (OSINT). Na sua segunda geração, a fonte principal passou a ser o conteúdo gerado pelos utilizadores, e o problema deixou de ser o acesso e passou a ser a selecção (Williams &amp; Blum, 2018). Omand, Bartlett e Miller (2012) chamam inteligência de redes sociais (SOCMINT) à aplicação destas práticas às plataformas digitais e propõem que obedeça aos princípios de outras formas de recolha de informações: causa suficiente, integridade do motivo, proporcionalidade e necessidade dos métodos, autoridade competente sujeita a supervisão, perspectiva razoável de sucesso e recurso a meios encobertos só quando as fontes abertas não bastam. Estes princípios traduzem-se no desenho do sistema: trabalhar com publicações e agregados e não com pessoas, recolher só o que serve a finalidade declarada e registar quem faz o quê (Secções 3.2 e 3.8).</w:t>
      </w:r>
    </w:p>
    <w:p>
      <w:pPr>
        <w:pStyle w:val="Heading2"/>
        <w:keepNext/>
        <w:keepLines/>
        <w:spacing w:after="160" w:before="360" w:line="300"/>
      </w:pPr>
      <w:r>
        <w:rPr>
          <w:rFonts w:ascii="Times New Roman" w:cs="Times New Roman" w:eastAsia="Times New Roman" w:hAnsi="Times New Roman"/>
          <w:b/>
          <w:bCs/>
          <w:sz w:val="26"/>
          <w:szCs w:val="26"/>
        </w:rPr>
        <w:t xml:space="preserve">2.2 Categorias de ameaças digitais</w:t>
      </w:r>
    </w:p>
    <w:p>
      <w:pPr>
        <w:spacing w:after="120" w:before="0" w:line="360"/>
        <w:ind w:firstLine="567"/>
        <w:jc w:val="both"/>
      </w:pPr>
      <w:r>
        <w:rPr>
          <w:rFonts w:ascii="Times New Roman" w:cs="Times New Roman" w:eastAsia="Times New Roman" w:hAnsi="Times New Roman"/>
          <w:sz w:val="24"/>
          <w:szCs w:val="24"/>
        </w:rPr>
        <w:t xml:space="preserve">A taxonomia adoptada tem quatro categorias: Normal, Desinformação, Discurso de Ódio e Mobilização Hostil. A escolha procurou equilibrar três critérios: cobrir as ameaças documentadas no contexto angolano, ter categorias suficientemente distintas para treinar classificadores supervisionados e ser compreensível por analistas sem formação em processamento de linguagem natural.</w:t>
      </w:r>
    </w:p>
    <w:p>
      <w:pPr>
        <w:spacing w:after="120" w:before="0" w:line="360"/>
        <w:ind w:firstLine="567"/>
        <w:jc w:val="both"/>
      </w:pPr>
      <w:r>
        <w:rPr>
          <w:rFonts w:ascii="Times New Roman" w:cs="Times New Roman" w:eastAsia="Times New Roman" w:hAnsi="Times New Roman"/>
          <w:b/>
          <w:bCs/>
          <w:sz w:val="24"/>
          <w:szCs w:val="24"/>
        </w:rPr>
        <w:t xml:space="preserve">Desinformação</w:t>
      </w:r>
      <w:r>
        <w:rPr>
          <w:rFonts w:ascii="Times New Roman" w:cs="Times New Roman" w:eastAsia="Times New Roman" w:hAnsi="Times New Roman"/>
          <w:sz w:val="24"/>
          <w:szCs w:val="24"/>
        </w:rPr>
        <w:t xml:space="preserve"> é informação falsa ou enganosa partilhada com intenção de causar dano, distinta do erro involuntário (</w:t>
      </w:r>
      <w:r>
        <w:rPr>
          <w:rFonts w:ascii="Times New Roman" w:cs="Times New Roman" w:eastAsia="Times New Roman" w:hAnsi="Times New Roman"/>
          <w:i/>
          <w:iCs/>
          <w:sz w:val="24"/>
          <w:szCs w:val="24"/>
        </w:rPr>
        <w:t xml:space="preserve">misinformation</w:t>
      </w:r>
      <w:r>
        <w:rPr>
          <w:rFonts w:ascii="Times New Roman" w:cs="Times New Roman" w:eastAsia="Times New Roman" w:hAnsi="Times New Roman"/>
          <w:sz w:val="24"/>
          <w:szCs w:val="24"/>
        </w:rPr>
        <w:t xml:space="preserve">) e da divulgação de informação verdadeira com intenção de prejudicar (</w:t>
      </w:r>
      <w:r>
        <w:rPr>
          <w:rFonts w:ascii="Times New Roman" w:cs="Times New Roman" w:eastAsia="Times New Roman" w:hAnsi="Times New Roman"/>
          <w:i/>
          <w:iCs/>
          <w:sz w:val="24"/>
          <w:szCs w:val="24"/>
        </w:rPr>
        <w:t xml:space="preserve">malinformation</w:t>
      </w:r>
      <w:r>
        <w:rPr>
          <w:rFonts w:ascii="Times New Roman" w:cs="Times New Roman" w:eastAsia="Times New Roman" w:hAnsi="Times New Roman"/>
          <w:sz w:val="24"/>
          <w:szCs w:val="24"/>
        </w:rPr>
        <w:t xml:space="preserve">) (Wardle &amp; Derakhshan, 2017; Ireton &amp; Posetti, 2018). Na prática, a intenção raramente é observável num texto curto; os anotadores apoiam-se em marcadores como a ausência de fonte verificável, o apelo urgente à partilha ou a atribuição de declarações a figuras públicas sem prova.</w:t>
      </w:r>
    </w:p>
    <w:p>
      <w:pPr>
        <w:spacing w:after="120" w:before="0" w:line="360"/>
        <w:ind w:firstLine="567"/>
        <w:jc w:val="both"/>
      </w:pPr>
      <w:r>
        <w:rPr>
          <w:rFonts w:ascii="Times New Roman" w:cs="Times New Roman" w:eastAsia="Times New Roman" w:hAnsi="Times New Roman"/>
          <w:b/>
          <w:bCs/>
          <w:sz w:val="24"/>
          <w:szCs w:val="24"/>
        </w:rPr>
        <w:t xml:space="preserve">Discurso de ódio</w:t>
      </w:r>
      <w:r>
        <w:rPr>
          <w:rFonts w:ascii="Times New Roman" w:cs="Times New Roman" w:eastAsia="Times New Roman" w:hAnsi="Times New Roman"/>
          <w:sz w:val="24"/>
          <w:szCs w:val="24"/>
        </w:rPr>
        <w:t xml:space="preserve"> abrange conteúdos que promovem, incitam ou justificam a discriminação, a hostilidade ou a violência contra pessoas ou grupos com base em características identitárias, como a etnia, a religião, a origem regional, o género ou a orientação sexual (Conselho da Europa, 2022). Fortuna e Nunes (2018) mostram que a categoria inclui tanto o insulto explícito como formas implícitas, por exemplo estereótipos apresentados como factos, que são muito mais difíceis de detectar automaticamente. Criar tensões entre grupos religiosos, raciais ou étnicos é um objectivo habitual de campanhas violentas em sociedades multiculturais (Elias, 2019, p. 85); num país com dezenas de grupos etnolinguísticos, como Angola, o discurso que opõe grupos entre si tem, por isso, relevância securitária própria.</w:t>
      </w:r>
    </w:p>
    <w:p>
      <w:pPr>
        <w:spacing w:after="120" w:before="0" w:line="360"/>
        <w:ind w:firstLine="567"/>
        <w:jc w:val="both"/>
      </w:pPr>
      <w:r>
        <w:rPr>
          <w:rFonts w:ascii="Times New Roman" w:cs="Times New Roman" w:eastAsia="Times New Roman" w:hAnsi="Times New Roman"/>
          <w:b/>
          <w:bCs/>
          <w:sz w:val="24"/>
          <w:szCs w:val="24"/>
        </w:rPr>
        <w:t xml:space="preserve">Mobilização hostil</w:t>
      </w:r>
      <w:r>
        <w:rPr>
          <w:rFonts w:ascii="Times New Roman" w:cs="Times New Roman" w:eastAsia="Times New Roman" w:hAnsi="Times New Roman"/>
          <w:sz w:val="24"/>
          <w:szCs w:val="24"/>
        </w:rPr>
        <w:t xml:space="preserve"> designa publicações que organizam, coordenam ou incitam à participação em acções ilegais ou violentas, ou que ameaçam a ordem pública; a categoria é uma construção desta dissertação, e a mobilização a partir das redes está documentada no caso angolano (Hassane, 2021). O uso das redes sociais para recrutar, incitar e mobilizar para a violência está documentado no caso do terrorismo (Sette Câmara, 2016, pp. 202–209; Elias, 2019). É a categoria mais delicada, porque a fronteira com o exercício legítimo dos direitos de expressão e de manifestação, consagrados nos artigos 40.º e 47.º da Constituição da República de Angola (República de Angola, 2010), é ténue. O guia de anotação (Apêndice B) exige a presença conjunta de coordenação explícita, linguagem coerciva ou de violência e ausência de referência ao carácter pacífico e legal da acção; na falta de algum destes elementos, a publicação é classificada como Normal.</w:t>
      </w:r>
    </w:p>
    <w:p>
      <w:pPr>
        <w:spacing w:after="120" w:before="0" w:line="360"/>
        <w:ind w:firstLine="567"/>
        <w:jc w:val="both"/>
      </w:pPr>
      <w:r>
        <w:rPr>
          <w:rFonts w:ascii="Times New Roman" w:cs="Times New Roman" w:eastAsia="Times New Roman" w:hAnsi="Times New Roman"/>
          <w:sz w:val="24"/>
          <w:szCs w:val="24"/>
        </w:rPr>
        <w:t xml:space="preserve">A noção de </w:t>
      </w:r>
      <w:r>
        <w:rPr>
          <w:rFonts w:ascii="Times New Roman" w:cs="Times New Roman" w:eastAsia="Times New Roman" w:hAnsi="Times New Roman"/>
          <w:b/>
          <w:bCs/>
          <w:sz w:val="24"/>
          <w:szCs w:val="24"/>
        </w:rPr>
        <w:t xml:space="preserve">discurso perigoso</w:t>
      </w:r>
      <w:r>
        <w:rPr>
          <w:rFonts w:ascii="Times New Roman" w:cs="Times New Roman" w:eastAsia="Times New Roman" w:hAnsi="Times New Roman"/>
          <w:sz w:val="24"/>
          <w:szCs w:val="24"/>
        </w:rPr>
        <w:t xml:space="preserve"> (Benesch, 2012) ajuda a situar a Mobilização Hostil: é o discurso que aumenta a probabilidade de o público aceitar ou cometer violência contra outro grupo, avaliado pelo orador, pelo público, pela mensagem, pelo contexto e pelo meio. Um classificador de texto só vê a mensagem; os outros quatro factores cabem ao analista.</w:t>
      </w:r>
    </w:p>
    <w:p>
      <w:pPr>
        <w:spacing w:after="120" w:before="0" w:line="360"/>
        <w:ind w:firstLine="567"/>
        <w:jc w:val="both"/>
      </w:pPr>
      <w:r>
        <w:rPr>
          <w:rFonts w:ascii="Times New Roman" w:cs="Times New Roman" w:eastAsia="Times New Roman" w:hAnsi="Times New Roman"/>
          <w:b/>
          <w:bCs/>
          <w:sz w:val="24"/>
          <w:szCs w:val="24"/>
        </w:rPr>
        <w:t xml:space="preserve">Normal</w:t>
      </w:r>
      <w:r>
        <w:rPr>
          <w:rFonts w:ascii="Times New Roman" w:cs="Times New Roman" w:eastAsia="Times New Roman" w:hAnsi="Times New Roman"/>
          <w:sz w:val="24"/>
          <w:szCs w:val="24"/>
        </w:rPr>
        <w:t xml:space="preserve"> é a categoria residual: tudo o que não cumpre os critérios das restantes, incluindo crítica política, humor, jornalismo e conversa quotidiana. Esta definição por exclusão obriga o anotador a procurar activamente marcadores de ameaça, em vez de se limitar a reconhecer conteúdo inofensivo.</w:t>
      </w:r>
    </w:p>
    <w:p>
      <w:pPr>
        <w:pStyle w:val="Heading2"/>
        <w:keepNext/>
        <w:keepLines/>
        <w:spacing w:after="160" w:before="360" w:line="300"/>
      </w:pPr>
      <w:r>
        <w:rPr>
          <w:rFonts w:ascii="Times New Roman" w:cs="Times New Roman" w:eastAsia="Times New Roman" w:hAnsi="Times New Roman"/>
          <w:b/>
          <w:bCs/>
          <w:sz w:val="26"/>
          <w:szCs w:val="26"/>
        </w:rPr>
        <w:t xml:space="preserve">2.3 Sistemas de monitorização de ameaças</w:t>
      </w:r>
    </w:p>
    <w:p>
      <w:pPr>
        <w:spacing w:after="120" w:before="0" w:line="360"/>
        <w:ind w:firstLine="567"/>
        <w:jc w:val="both"/>
      </w:pPr>
      <w:r>
        <w:rPr>
          <w:rFonts w:ascii="Times New Roman" w:cs="Times New Roman" w:eastAsia="Times New Roman" w:hAnsi="Times New Roman"/>
          <w:sz w:val="24"/>
          <w:szCs w:val="24"/>
        </w:rPr>
        <w:t xml:space="preserve">Os sistemas internacionais de referência mostram o que é tecnicamente possível, mas também porque não se transpõem directamente para Angola. O programa MediFor, da agência norte-americana DARPA, desenvolveu métodos forenses para detectar imagens e vídeos manipulados (Defense Advanced Research Projects Agency, 2016). É um programa de investigação governamental, sem mecanismo de transferência para países terceiros e sem atenção ao português.</w:t>
      </w:r>
    </w:p>
    <w:p>
      <w:pPr>
        <w:spacing w:after="120" w:before="0" w:line="360"/>
        <w:ind w:firstLine="567"/>
        <w:jc w:val="both"/>
      </w:pPr>
      <w:r>
        <w:rPr>
          <w:rFonts w:ascii="Times New Roman" w:cs="Times New Roman" w:eastAsia="Times New Roman" w:hAnsi="Times New Roman"/>
          <w:sz w:val="24"/>
          <w:szCs w:val="24"/>
        </w:rPr>
        <w:t xml:space="preserve">O Palantir Gotham é uma plataforma comercial de planeamento de missões e de investigação sobre dados heterogéneos, desenvolvida com agências militares, de informações e policiais (Palantir Technologies, 2024). O seu custo e, sobretudo, a dependência de um fornecedor e de uma infra-estrutura externos levantam problemas de soberania sobre dados sensíveis. O EU DisinfoLab publica investigações de redes de desinformação baseadas em fontes abertas, com o método documentado (EU DisinfoLab, 2020); são transferíveis em termos de método, mas foram pensadas para o contexto europeu. A INTERPOL acompanha as ciberameaças no continente africano através de relatórios periódicos (INTERPOL, 2023), sem uma componente automática de análise de texto em português.</w:t>
      </w:r>
    </w:p>
    <w:p>
      <w:pPr>
        <w:spacing w:after="120" w:before="0" w:line="360"/>
        <w:ind w:firstLine="567"/>
        <w:jc w:val="both"/>
      </w:pPr>
      <w:r>
        <w:rPr>
          <w:rFonts w:ascii="Times New Roman" w:cs="Times New Roman" w:eastAsia="Times New Roman" w:hAnsi="Times New Roman"/>
          <w:sz w:val="24"/>
          <w:szCs w:val="24"/>
        </w:rPr>
        <w:t xml:space="preserve">A análise de redes sociais oferece um complemento útil à classificação de conteúdos. Medidas como a centralidade de grau, a centralidade de intermediação e a densidade permitem identificar contas influentes, pontes entre comunidades e padrões de publicação coordenada (Thelwall, 2009; Freire, 2015). Woolley e Howard (2017) documentam como a propaganda computacional recorre a contas automatizadas e a publicação sincronizada para simular apoio popular. O protótipo desta dissertação trabalha ao nível da publicação individual e não implementa esta dimensão relacional, que é uma extensão natural discutida no Capítulo 6.</w:t>
      </w:r>
    </w:p>
    <w:p>
      <w:pPr>
        <w:spacing w:after="120" w:before="0" w:line="360"/>
        <w:ind w:firstLine="567"/>
        <w:jc w:val="both"/>
      </w:pPr>
      <w:r>
        <w:rPr>
          <w:rFonts w:ascii="Times New Roman" w:cs="Times New Roman" w:eastAsia="Times New Roman" w:hAnsi="Times New Roman"/>
          <w:sz w:val="24"/>
          <w:szCs w:val="24"/>
        </w:rPr>
        <w:t xml:space="preserve">Monaco e Arnaudo (2020) sublinham que a monitorização de redes sociais por entidades públicas exige, além da tecnologia, regras claras sobre o que se recolhe, quem acede e como se decide.</w:t>
      </w:r>
    </w:p>
    <w:p>
      <w:pPr>
        <w:pStyle w:val="Heading2"/>
        <w:keepNext/>
        <w:keepLines/>
        <w:spacing w:after="160" w:before="360" w:line="300"/>
      </w:pPr>
      <w:r>
        <w:rPr>
          <w:rFonts w:ascii="Times New Roman" w:cs="Times New Roman" w:eastAsia="Times New Roman" w:hAnsi="Times New Roman"/>
          <w:b/>
          <w:bCs/>
          <w:sz w:val="26"/>
          <w:szCs w:val="26"/>
        </w:rPr>
        <w:t xml:space="preserve">2.4 Recursos e modelos de linguagem para o português</w:t>
      </w:r>
    </w:p>
    <w:p>
      <w:pPr>
        <w:pStyle w:val="Heading3"/>
        <w:keepNext/>
        <w:spacing w:after="100" w:before="200"/>
      </w:pPr>
      <w:r>
        <w:rPr>
          <w:rFonts w:ascii="Times New Roman" w:cs="Times New Roman" w:eastAsia="Times New Roman" w:hAnsi="Times New Roman"/>
          <w:b/>
          <w:bCs/>
          <w:sz w:val="26"/>
          <w:szCs w:val="26"/>
        </w:rPr>
        <w:t xml:space="preserve">2.4.1 Corpora anotados</w:t>
      </w:r>
    </w:p>
    <w:p>
      <w:pPr>
        <w:spacing w:after="120" w:before="0" w:line="360"/>
        <w:ind w:firstLine="567"/>
        <w:jc w:val="both"/>
      </w:pPr>
      <w:r>
        <w:rPr>
          <w:rFonts w:ascii="Times New Roman" w:cs="Times New Roman" w:eastAsia="Times New Roman" w:hAnsi="Times New Roman"/>
          <w:sz w:val="24"/>
          <w:szCs w:val="24"/>
        </w:rPr>
        <w:t xml:space="preserve">A detecção automática de discurso de ódio e de desinformação depende de corpora anotados, e a qualidade e o alcance desses corpora condicionam o que os modelos aprendem (Poletto et al., 2021). Para o português existem três recursos públicos relevantes para esta investigação, todos de origem brasileira:</w:t>
      </w:r>
    </w:p>
    <w:p>
      <w:pPr>
        <w:pStyle w:val="ListParagraph"/>
        <w:numPr>
          <w:ilvl w:val="0"/>
          <w:numId w:val="2"/>
        </w:numPr>
        <w:spacing w:after="60" w:line="360"/>
        <w:jc w:val="both"/>
      </w:pPr>
      <w:r>
        <w:rPr>
          <w:rFonts w:ascii="Times New Roman" w:cs="Times New Roman" w:eastAsia="Times New Roman" w:hAnsi="Times New Roman"/>
          <w:sz w:val="24"/>
          <w:szCs w:val="24"/>
        </w:rPr>
        <w:t xml:space="preserve">o </w:t>
      </w:r>
      <w:r>
        <w:rPr>
          <w:rFonts w:ascii="Times New Roman" w:cs="Times New Roman" w:eastAsia="Times New Roman" w:hAnsi="Times New Roman"/>
          <w:b/>
          <w:bCs/>
          <w:sz w:val="24"/>
          <w:szCs w:val="24"/>
        </w:rPr>
        <w:t xml:space="preserve">ToLD-BR</w:t>
      </w:r>
      <w:r>
        <w:rPr>
          <w:rFonts w:ascii="Times New Roman" w:cs="Times New Roman" w:eastAsia="Times New Roman" w:hAnsi="Times New Roman"/>
          <w:sz w:val="24"/>
          <w:szCs w:val="24"/>
        </w:rPr>
        <w:t xml:space="preserve"> reúne cerca de 21 mil publicações do Twitter anotadas para várias formas de linguagem tóxica, incluindo ataques baseados em identidade (Leite et al., 2020);</w:t>
      </w:r>
    </w:p>
    <w:p>
      <w:pPr>
        <w:pStyle w:val="ListParagraph"/>
        <w:numPr>
          <w:ilvl w:val="0"/>
          <w:numId w:val="2"/>
        </w:numPr>
        <w:spacing w:after="60" w:line="360"/>
        <w:jc w:val="both"/>
      </w:pPr>
      <w:r>
        <w:rPr>
          <w:rFonts w:ascii="Times New Roman" w:cs="Times New Roman" w:eastAsia="Times New Roman" w:hAnsi="Times New Roman"/>
          <w:sz w:val="24"/>
          <w:szCs w:val="24"/>
        </w:rPr>
        <w:t xml:space="preserve">o </w:t>
      </w:r>
      <w:r>
        <w:rPr>
          <w:rFonts w:ascii="Times New Roman" w:cs="Times New Roman" w:eastAsia="Times New Roman" w:hAnsi="Times New Roman"/>
          <w:b/>
          <w:bCs/>
          <w:sz w:val="24"/>
          <w:szCs w:val="24"/>
        </w:rPr>
        <w:t xml:space="preserve">HateBR</w:t>
      </w:r>
      <w:r>
        <w:rPr>
          <w:rFonts w:ascii="Times New Roman" w:cs="Times New Roman" w:eastAsia="Times New Roman" w:hAnsi="Times New Roman"/>
          <w:sz w:val="24"/>
          <w:szCs w:val="24"/>
        </w:rPr>
        <w:t xml:space="preserve"> contém 7 mil comentários do Instagram anotados por especialistas para linguagem ofensiva e discurso de ódio (Vargas et al., 2022);</w:t>
      </w:r>
    </w:p>
    <w:p>
      <w:pPr>
        <w:pStyle w:val="ListParagraph"/>
        <w:numPr>
          <w:ilvl w:val="0"/>
          <w:numId w:val="2"/>
        </w:numPr>
        <w:spacing w:after="60" w:line="360"/>
        <w:jc w:val="both"/>
      </w:pPr>
      <w:r>
        <w:rPr>
          <w:rFonts w:ascii="Times New Roman" w:cs="Times New Roman" w:eastAsia="Times New Roman" w:hAnsi="Times New Roman"/>
          <w:sz w:val="24"/>
          <w:szCs w:val="24"/>
        </w:rPr>
        <w:t xml:space="preserve">o </w:t>
      </w:r>
      <w:r>
        <w:rPr>
          <w:rFonts w:ascii="Times New Roman" w:cs="Times New Roman" w:eastAsia="Times New Roman" w:hAnsi="Times New Roman"/>
          <w:b/>
          <w:bCs/>
          <w:sz w:val="24"/>
          <w:szCs w:val="24"/>
        </w:rPr>
        <w:t xml:space="preserve">Fake.br</w:t>
      </w:r>
      <w:r>
        <w:rPr>
          <w:rFonts w:ascii="Times New Roman" w:cs="Times New Roman" w:eastAsia="Times New Roman" w:hAnsi="Times New Roman"/>
          <w:sz w:val="24"/>
          <w:szCs w:val="24"/>
        </w:rPr>
        <w:t xml:space="preserve"> contém 7.200 notícias, metade verdadeiras e metade falsas, com textos completos emparelhados por tema (Monteiro et al., 2018).</w:t>
      </w:r>
    </w:p>
    <w:p>
      <w:pPr>
        <w:spacing w:after="120" w:before="0" w:line="360"/>
        <w:ind w:firstLine="567"/>
        <w:jc w:val="both"/>
      </w:pPr>
      <w:r>
        <w:rPr>
          <w:rFonts w:ascii="Times New Roman" w:cs="Times New Roman" w:eastAsia="Times New Roman" w:hAnsi="Times New Roman"/>
          <w:sz w:val="24"/>
          <w:szCs w:val="24"/>
        </w:rPr>
        <w:t xml:space="preserve">Nenhum destes recursos inclui a categoria de mobilização hostil, e nenhum contém texto angolano. A Desinformação disponível é composta por notícias completas, um género textual muito diferente dos comentários curtos que circulam nas redes sociais, o que terá consequências na interpretação dos resultados (Secção 4.6).</w:t>
      </w:r>
    </w:p>
    <w:p>
      <w:pPr>
        <w:pStyle w:val="Heading3"/>
        <w:keepNext/>
        <w:spacing w:after="100" w:before="200"/>
      </w:pPr>
      <w:r>
        <w:rPr>
          <w:rFonts w:ascii="Times New Roman" w:cs="Times New Roman" w:eastAsia="Times New Roman" w:hAnsi="Times New Roman"/>
          <w:b/>
          <w:bCs/>
          <w:sz w:val="26"/>
          <w:szCs w:val="26"/>
        </w:rPr>
        <w:t xml:space="preserve">2.4.2 Modelos de linguagem</w:t>
      </w:r>
    </w:p>
    <w:p>
      <w:pPr>
        <w:spacing w:after="120" w:before="0" w:line="360"/>
        <w:ind w:firstLine="567"/>
        <w:jc w:val="both"/>
      </w:pPr>
      <w:r>
        <w:rPr>
          <w:rFonts w:ascii="Times New Roman" w:cs="Times New Roman" w:eastAsia="Times New Roman" w:hAnsi="Times New Roman"/>
          <w:sz w:val="24"/>
          <w:szCs w:val="24"/>
        </w:rPr>
        <w:t xml:space="preserve">O BERT (Devlin et al., 2018) introduziu o pré-treino de codificadores </w:t>
      </w:r>
      <w:r>
        <w:rPr>
          <w:rFonts w:ascii="Times New Roman" w:cs="Times New Roman" w:eastAsia="Times New Roman" w:hAnsi="Times New Roman"/>
          <w:i/>
          <w:iCs/>
          <w:sz w:val="24"/>
          <w:szCs w:val="24"/>
        </w:rPr>
        <w:t xml:space="preserve">Transformer</w:t>
      </w:r>
      <w:r>
        <w:rPr>
          <w:rFonts w:ascii="Times New Roman" w:cs="Times New Roman" w:eastAsia="Times New Roman" w:hAnsi="Times New Roman"/>
          <w:sz w:val="24"/>
          <w:szCs w:val="24"/>
        </w:rPr>
        <w:t xml:space="preserve"> (Vaswani et al., 2017) com objectivos de modelação de linguagem mascarada, seguido de ajuste fino para tarefas específicas. O BERTimbau é a versão do BERT pré-treinada com o corpus brWaC, uma colecção de páginas web brasileiras com cerca de 2,7 mil milhões de </w:t>
      </w:r>
      <w:r>
        <w:rPr>
          <w:rFonts w:ascii="Times New Roman" w:cs="Times New Roman" w:eastAsia="Times New Roman" w:hAnsi="Times New Roman"/>
          <w:i/>
          <w:iCs/>
          <w:sz w:val="24"/>
          <w:szCs w:val="24"/>
        </w:rPr>
        <w:t xml:space="preserve">tokens</w:t>
      </w:r>
      <w:r>
        <w:rPr>
          <w:rFonts w:ascii="Times New Roman" w:cs="Times New Roman" w:eastAsia="Times New Roman" w:hAnsi="Times New Roman"/>
          <w:sz w:val="24"/>
          <w:szCs w:val="24"/>
        </w:rPr>
        <w:t xml:space="preserve">, e obteve resultados de referência em várias tarefas de PLN em português (Souza et al., 2020).</w:t>
      </w:r>
    </w:p>
    <w:p>
      <w:pPr>
        <w:spacing w:after="120" w:before="0" w:line="360"/>
        <w:ind w:firstLine="567"/>
        <w:jc w:val="both"/>
      </w:pPr>
      <w:r>
        <w:rPr>
          <w:rFonts w:ascii="Times New Roman" w:cs="Times New Roman" w:eastAsia="Times New Roman" w:hAnsi="Times New Roman"/>
          <w:sz w:val="24"/>
          <w:szCs w:val="24"/>
        </w:rPr>
        <w:t xml:space="preserve">O BERTimbau usa um vocabulário de subpalavras (</w:t>
      </w:r>
      <w:r>
        <w:rPr>
          <w:rFonts w:ascii="Times New Roman" w:cs="Times New Roman" w:eastAsia="Times New Roman" w:hAnsi="Times New Roman"/>
          <w:i/>
          <w:iCs/>
          <w:sz w:val="24"/>
          <w:szCs w:val="24"/>
        </w:rPr>
        <w:t xml:space="preserve">WordPiece</w:t>
      </w:r>
      <w:r>
        <w:rPr>
          <w:rFonts w:ascii="Times New Roman" w:cs="Times New Roman" w:eastAsia="Times New Roman" w:hAnsi="Times New Roman"/>
          <w:sz w:val="24"/>
          <w:szCs w:val="24"/>
        </w:rPr>
        <w:t xml:space="preserve">). Uma palavra que não está no vocabulário não é descartada: é dividida em fragmentos conhecidos. Termos do calão de Luanda, como </w:t>
      </w:r>
      <w:r>
        <w:rPr>
          <w:rFonts w:ascii="Times New Roman" w:cs="Times New Roman" w:eastAsia="Times New Roman" w:hAnsi="Times New Roman"/>
          <w:i/>
          <w:iCs/>
          <w:sz w:val="24"/>
          <w:szCs w:val="24"/>
        </w:rPr>
        <w:t xml:space="preserve">kota</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bué</w:t>
      </w:r>
      <w:r>
        <w:rPr>
          <w:rFonts w:ascii="Times New Roman" w:cs="Times New Roman" w:eastAsia="Times New Roman" w:hAnsi="Times New Roman"/>
          <w:sz w:val="24"/>
          <w:szCs w:val="24"/>
        </w:rPr>
        <w:t xml:space="preserve"> ou </w:t>
      </w:r>
      <w:r>
        <w:rPr>
          <w:rFonts w:ascii="Times New Roman" w:cs="Times New Roman" w:eastAsia="Times New Roman" w:hAnsi="Times New Roman"/>
          <w:i/>
          <w:iCs/>
          <w:sz w:val="24"/>
          <w:szCs w:val="24"/>
        </w:rPr>
        <w:t xml:space="preserve">mujimbo</w:t>
      </w:r>
      <w:r>
        <w:rPr>
          <w:rFonts w:ascii="Times New Roman" w:cs="Times New Roman" w:eastAsia="Times New Roman" w:hAnsi="Times New Roman"/>
          <w:sz w:val="24"/>
          <w:szCs w:val="24"/>
        </w:rPr>
        <w:t xml:space="preserve">, e empréstimos do kimbundu são assim representados por sequências de fragmentos sem significado próprio, o que enfraquece a representação semântica da frase. Gururangan et al. (2020) mostram que continuar o pré-treino com texto do domínio de aplicação (</w:t>
      </w:r>
      <w:r>
        <w:rPr>
          <w:rFonts w:ascii="Times New Roman" w:cs="Times New Roman" w:eastAsia="Times New Roman" w:hAnsi="Times New Roman"/>
          <w:i/>
          <w:iCs/>
          <w:sz w:val="24"/>
          <w:szCs w:val="24"/>
        </w:rPr>
        <w:t xml:space="preserve">domain-adaptive pretraining</w:t>
      </w:r>
      <w:r>
        <w:rPr>
          <w:rFonts w:ascii="Times New Roman" w:cs="Times New Roman" w:eastAsia="Times New Roman" w:hAnsi="Times New Roman"/>
          <w:sz w:val="24"/>
          <w:szCs w:val="24"/>
        </w:rPr>
        <w:t xml:space="preserve">) melhora o desempenho em domínios afastados do original, uma via que fica identificada como trabalho futuro.</w:t>
      </w:r>
    </w:p>
    <w:p>
      <w:pPr>
        <w:spacing w:after="120" w:before="0" w:line="360"/>
        <w:ind w:firstLine="567"/>
        <w:jc w:val="both"/>
      </w:pPr>
      <w:r>
        <w:rPr>
          <w:rFonts w:ascii="Times New Roman" w:cs="Times New Roman" w:eastAsia="Times New Roman" w:hAnsi="Times New Roman"/>
          <w:sz w:val="24"/>
          <w:szCs w:val="24"/>
        </w:rPr>
        <w:t xml:space="preserve">Há duas alternativas ao BERTimbau. Os modelos multilingues, como o XLM-R, partilham conhecimento entre cerca de uma centena de línguas, à custa de menor capacidade para cada uma (Conneau et al., 2020). Os modelos pré-treinados com português europeu, como o Albertina PT-PT (Rodrigues et al., 2023), oferecem uma norma escrita mais próxima da usada em Angola; a hipótese de perderem menos em comentários angolanos fica para trabalho futuro.</w:t>
      </w:r>
    </w:p>
    <w:p>
      <w:pPr>
        <w:pStyle w:val="Heading2"/>
        <w:keepNext/>
        <w:keepLines/>
        <w:spacing w:after="160" w:before="360" w:line="300"/>
      </w:pPr>
      <w:r>
        <w:rPr>
          <w:rFonts w:ascii="Times New Roman" w:cs="Times New Roman" w:eastAsia="Times New Roman" w:hAnsi="Times New Roman"/>
          <w:b/>
          <w:bCs/>
          <w:sz w:val="26"/>
          <w:szCs w:val="26"/>
        </w:rPr>
        <w:t xml:space="preserve">2.5 Algoritmos de classificação de texto</w:t>
      </w:r>
    </w:p>
    <w:p>
      <w:pPr>
        <w:spacing w:after="120" w:before="0" w:line="360"/>
        <w:ind w:firstLine="567"/>
        <w:jc w:val="both"/>
      </w:pPr>
      <w:r>
        <w:rPr>
          <w:rFonts w:ascii="Times New Roman" w:cs="Times New Roman" w:eastAsia="Times New Roman" w:hAnsi="Times New Roman"/>
          <w:sz w:val="24"/>
          <w:szCs w:val="24"/>
        </w:rPr>
        <w:t xml:space="preserve">Foram comparados quatro algoritmos que representam três gerações de métodos. A Tabela 2.1 resume as suas características.</w:t>
      </w:r>
    </w:p>
    <w:p>
      <w:pPr>
        <w:pStyle w:val="LegendaTabela"/>
        <w:keepNext/>
        <w:spacing w:after="80" w:before="240" w:line="240"/>
        <w:jc w:val="center"/>
      </w:pPr>
      <w:r>
        <w:rPr>
          <w:rFonts w:ascii="Times New Roman" w:cs="Times New Roman" w:eastAsia="Times New Roman" w:hAnsi="Times New Roman"/>
          <w:b/>
          <w:bCs/>
          <w:sz w:val="20"/>
          <w:szCs w:val="20"/>
        </w:rPr>
        <w:t xml:space="preserve">Tabela 2.1 – Algoritmos de classificação comparados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2300"/>
        <w:gridCol w:w="2320"/>
      </w:tblGrid>
      <w:tr>
        <w:trPr>
          <w:cantSplit/>
          <w:tblHeader/>
        </w:trPr>
        <w:tc>
          <w:tcPr>
            <w:tcW w:type="dxa" w:w="1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Algoritmo</w:t>
            </w:r>
          </w:p>
        </w:tc>
        <w:tc>
          <w:tcPr>
            <w:tcW w:type="dxa" w:w="2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Representação do texto</w:t>
            </w:r>
          </w:p>
        </w:tc>
        <w:tc>
          <w:tcPr>
            <w:tcW w:type="dxa" w:w="2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Pontos fortes</w:t>
            </w:r>
          </w:p>
        </w:tc>
        <w:tc>
          <w:tcPr>
            <w:tcW w:type="dxa" w:w="23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Limitações</w:t>
            </w:r>
          </w:p>
        </w:tc>
      </w:tr>
      <w:tr>
        <w:trPr>
          <w:cantSplit/>
          <w:tblHeader w:val="false"/>
        </w:trPr>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SVM</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TF-IDF (saco de palavras e n-gramas)</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Eficaz em espaços esparsos de alta dimensão; rápido em CPU</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Ignora a ordem e o contexto das palavras</w:t>
            </w:r>
          </w:p>
        </w:tc>
      </w:tr>
      <w:tr>
        <w:trPr>
          <w:cantSplit/>
          <w:tblHeader w:val="false"/>
        </w:trPr>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Floresta Aleatória</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TF-IDF</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Robusta ao sobreajuste; permite analisar a importância dos termos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Ignora a ordem; menos eficaz em espaços muito esparsos</w:t>
            </w:r>
          </w:p>
        </w:tc>
      </w:tr>
      <w:tr>
        <w:trPr>
          <w:cantSplit/>
          <w:tblHeader w:val="false"/>
        </w:trPr>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Bi-LSTM</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Sequência de </w:t>
            </w:r>
            <w:r>
              <w:rPr>
                <w:rFonts w:ascii="Times New Roman" w:cs="Times New Roman" w:eastAsia="Times New Roman" w:hAnsi="Times New Roman"/>
                <w:b w:val="false"/>
                <w:bCs w:val="false"/>
                <w:i/>
                <w:iCs/>
                <w:sz w:val="18"/>
                <w:szCs w:val="18"/>
              </w:rPr>
              <w:t xml:space="preserve">embeddings</w:t>
            </w:r>
            <w:r>
              <w:rPr>
                <w:rFonts w:ascii="Times New Roman" w:cs="Times New Roman" w:eastAsia="Times New Roman" w:hAnsi="Times New Roman"/>
                <w:b w:val="false"/>
                <w:bCs w:val="false"/>
                <w:sz w:val="18"/>
                <w:szCs w:val="18"/>
              </w:rPr>
              <w:t xml:space="preserve"> aprendidos</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Modela a ordem e dependências nos dois sentidos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Precisa de mais dados; sem pré-treino em grande escala</w:t>
            </w:r>
          </w:p>
        </w:tc>
      </w:tr>
      <w:tr>
        <w:trPr>
          <w:cantSplit/>
          <w:tblHeader w:val="false"/>
        </w:trPr>
        <w:tc>
          <w:tcPr>
            <w:tcW w:type="dxa" w:w="1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BERTimbau</w:t>
            </w:r>
          </w:p>
        </w:tc>
        <w:tc>
          <w:tcPr>
            <w:tcW w:type="dxa" w:w="2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Subpalavras com contexto (</w:t>
            </w:r>
            <w:r>
              <w:rPr>
                <w:rFonts w:ascii="Times New Roman" w:cs="Times New Roman" w:eastAsia="Times New Roman" w:hAnsi="Times New Roman"/>
                <w:b w:val="false"/>
                <w:bCs w:val="false"/>
                <w:i/>
                <w:iCs/>
                <w:sz w:val="18"/>
                <w:szCs w:val="18"/>
              </w:rPr>
              <w:t xml:space="preserve">Transformer</w:t>
            </w:r>
            <w:r>
              <w:rPr>
                <w:rFonts w:ascii="Times New Roman" w:cs="Times New Roman" w:eastAsia="Times New Roman" w:hAnsi="Times New Roman"/>
                <w:b w:val="false"/>
                <w:bCs w:val="false"/>
                <w:sz w:val="18"/>
                <w:szCs w:val="18"/>
              </w:rPr>
              <w:t xml:space="preserve">)</w:t>
            </w:r>
          </w:p>
        </w:tc>
        <w:tc>
          <w:tcPr>
            <w:tcW w:type="dxa" w:w="2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Pré-treino em português; contexto bidireccional</w:t>
            </w:r>
          </w:p>
        </w:tc>
        <w:tc>
          <w:tcPr>
            <w:tcW w:type="dxa" w:w="23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Custo computacional; GPU recomendada para treino</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Elaborado a partir de Cortes e Vapnik (1995), Joachims (1998), Breiman (2001), Hochreiter e Schmidhuber (1997), Schuster e Paliwal (1997) e Souza et al. (2020).</w:t>
      </w:r>
    </w:p>
    <w:p>
      <w:pPr>
        <w:spacing w:after="120" w:before="0" w:line="360"/>
        <w:ind w:firstLine="567"/>
        <w:jc w:val="both"/>
      </w:pPr>
      <w:r>
        <w:rPr>
          <w:rFonts w:ascii="Times New Roman" w:cs="Times New Roman" w:eastAsia="Times New Roman" w:hAnsi="Times New Roman"/>
          <w:sz w:val="24"/>
          <w:szCs w:val="24"/>
        </w:rPr>
        <w:t xml:space="preserve">As Máquinas de Vectores de Suporte (Cortes &amp; Vapnik, 1995) procuram o hiperplano que separa as classes com a maior margem e são, desde Joachims (1998), uma referência sólida para classificação de texto com representações TF-IDF. A Floresta Aleatória (Breiman, 2001) combina muitas árvores de decisão treinadas com amostras e subconjuntos de variáveis diferentes; serve como segunda referência clássica.</w:t>
      </w:r>
    </w:p>
    <w:p>
      <w:pPr>
        <w:spacing w:after="120" w:before="0" w:line="360"/>
        <w:ind w:firstLine="567"/>
        <w:jc w:val="both"/>
      </w:pPr>
      <w:r>
        <w:rPr>
          <w:rFonts w:ascii="Times New Roman" w:cs="Times New Roman" w:eastAsia="Times New Roman" w:hAnsi="Times New Roman"/>
          <w:sz w:val="24"/>
          <w:szCs w:val="24"/>
        </w:rPr>
        <w:t xml:space="preserve">As redes LSTM (Hochreiter &amp; Schmidhuber, 1997) foram concebidas para captar dependências longas em sequências; a versão bidireccional (Schuster &amp; Paliwal, 1997) lê a frase nos dois sentidos. Esta capacidade é relevante para a mobilização hostil, em que a informação decisiva (hora, local, apelo final) pode surgir em qualquer ponto do texto. O BERTimbau, por fim, combina o contexto bidireccional com o conhecimento linguístico adquirido no pré-treino. A comparação entre o Bi-LSTM e o BERTimbau dá, assim, uma indicação sobre o peso do pré-treino, embora não o isole, porque os dois modelos diferem também na tokenização, no comprimento de entrada e na capacidade.</w:t>
      </w:r>
    </w:p>
    <w:p>
      <w:pPr>
        <w:pStyle w:val="Heading2"/>
        <w:keepNext/>
        <w:keepLines/>
        <w:spacing w:after="160" w:before="360" w:line="300"/>
      </w:pPr>
      <w:r>
        <w:rPr>
          <w:rFonts w:ascii="Times New Roman" w:cs="Times New Roman" w:eastAsia="Times New Roman" w:hAnsi="Times New Roman"/>
          <w:b/>
          <w:bCs/>
          <w:sz w:val="26"/>
          <w:szCs w:val="26"/>
        </w:rPr>
        <w:t xml:space="preserve">2.6 Avaliação de classificadores</w:t>
      </w:r>
    </w:p>
    <w:p>
      <w:pPr>
        <w:spacing w:after="120" w:before="0" w:line="360"/>
        <w:ind w:firstLine="567"/>
        <w:jc w:val="both"/>
      </w:pPr>
      <w:r>
        <w:rPr>
          <w:rFonts w:ascii="Times New Roman" w:cs="Times New Roman" w:eastAsia="Times New Roman" w:hAnsi="Times New Roman"/>
          <w:sz w:val="24"/>
          <w:szCs w:val="24"/>
        </w:rPr>
        <w:t xml:space="preserve">Em problemas com classes desequilibradas, a exactidão é enganadora: um modelo que classifique tudo como Normal pode ter exactidão elevada e ser inútil. Sokolova e Lapalme (2009) mostram que a escolha da métrica deve reflectir os custos dos erros. Nesta dissertação, a métrica principal é o </w:t>
      </w:r>
      <w:r>
        <w:rPr>
          <w:rFonts w:ascii="Times New Roman" w:cs="Times New Roman" w:eastAsia="Times New Roman" w:hAnsi="Times New Roman"/>
          <w:b/>
          <w:bCs/>
          <w:sz w:val="24"/>
          <w:szCs w:val="24"/>
        </w:rPr>
        <w:t xml:space="preserve">F1-macro</w:t>
      </w:r>
      <w:r>
        <w:rPr>
          <w:rFonts w:ascii="Times New Roman" w:cs="Times New Roman" w:eastAsia="Times New Roman" w:hAnsi="Times New Roman"/>
          <w:sz w:val="24"/>
          <w:szCs w:val="24"/>
        </w:rPr>
        <w:t xml:space="preserve">, a média simples do F1 de cada categoria, que dá à Mobilização Hostil, a categoria mais rara, o mesmo peso que a categoria Normal. Reportam-se também o F1 ponderado, a exactidão, a área sob a curva ROC (AUC-ROC) e o Kappa de Cohen entre as previsões e a referência (Cohen, 1960).</w:t>
      </w:r>
    </w:p>
    <w:p>
      <w:pPr>
        <w:spacing w:after="120" w:before="0" w:line="360"/>
        <w:ind w:firstLine="567"/>
        <w:jc w:val="both"/>
      </w:pPr>
      <w:r>
        <w:rPr>
          <w:rFonts w:ascii="Times New Roman" w:cs="Times New Roman" w:eastAsia="Times New Roman" w:hAnsi="Times New Roman"/>
          <w:sz w:val="24"/>
          <w:szCs w:val="24"/>
        </w:rPr>
        <w:t xml:space="preserve">Uma diferença de desempenho num conjunto de teste pode resultar do acaso. Para quantificar essa incerteza usam-se intervalos de confiança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que reamostram o conjunto de teste com reposição e recalculam a métrica (Efron &amp; Tibshirani, 1993). Para comparar dois classificadores no mesmo conjunto de teste, Dietterich (1998) recomenda o teste de McNemar (McNemar, 1947), que considera apenas os casos em que um modelo acerta e o outro erra. Quando se fazem várias comparações, a correcção de Bonferroni multiplica cada valor de p pelo número de comparações, controlando a probabilidade de encontrar pelo menos uma diferença espúria.</w:t>
      </w:r>
    </w:p>
    <w:p>
      <w:pPr>
        <w:spacing w:after="120" w:before="0" w:line="360"/>
        <w:ind w:firstLine="567"/>
        <w:jc w:val="both"/>
      </w:pPr>
      <w:r>
        <w:rPr>
          <w:rFonts w:ascii="Times New Roman" w:cs="Times New Roman" w:eastAsia="Times New Roman" w:hAnsi="Times New Roman"/>
          <w:sz w:val="24"/>
          <w:szCs w:val="24"/>
        </w:rPr>
        <w:t xml:space="preserve">O acordo entre anotadores mede a fiabilidade das etiquetas. O Kappa de Cohen (Cohen, 1960) aplica-se a pares de anotadores; o Kappa de Fleiss (Fleiss, 1971) generaliza-o para mais de dois. Ambos corrigem a concordância observada pela concordância esperada ao acaso. A escala de Landis e Koch (1977) é a referência habitual para a sua interpretação.</w:t>
      </w:r>
    </w:p>
    <w:p>
      <w:pPr>
        <w:spacing w:after="120" w:before="0" w:line="360"/>
        <w:ind w:firstLine="567"/>
        <w:jc w:val="both"/>
      </w:pPr>
      <w:r>
        <w:rPr>
          <w:rFonts w:ascii="Times New Roman" w:cs="Times New Roman" w:eastAsia="Times New Roman" w:hAnsi="Times New Roman"/>
          <w:sz w:val="24"/>
          <w:szCs w:val="24"/>
        </w:rPr>
        <w:t xml:space="preserve">Quando as previsões servem para ordenar trabalho humano, interessa também a qualidade das probabilidades. Um classificador está </w:t>
      </w:r>
      <w:r>
        <w:rPr>
          <w:rFonts w:ascii="Times New Roman" w:cs="Times New Roman" w:eastAsia="Times New Roman" w:hAnsi="Times New Roman"/>
          <w:b/>
          <w:bCs/>
          <w:sz w:val="24"/>
          <w:szCs w:val="24"/>
        </w:rPr>
        <w:t xml:space="preserve">calibrado</w:t>
      </w:r>
      <w:r>
        <w:rPr>
          <w:rFonts w:ascii="Times New Roman" w:cs="Times New Roman" w:eastAsia="Times New Roman" w:hAnsi="Times New Roman"/>
          <w:sz w:val="24"/>
          <w:szCs w:val="24"/>
        </w:rPr>
        <w:t xml:space="preserve"> quando, entre as previsões feitas com 80% de confiança, cerca de 80% estão certas; as redes neuronais modernas tendem a ser demasiado confiantes (Guo et al., 2017). A calibração mede-se com o erro de calibração esperado (ECE), a diferença média entre a confiança e a fracção de acertos por intervalo de confiança (Naeini et al., 2015), e com o índice de Brier (Brier, 1950). A ordenação mede-se com a precisão nos primeiros K itens e a precisão média (Manning et al., 2008), ou com a curva de esforço: a fracção das ameaças encontradas em função da fracção da fila revista. Para proporções pequenas, como a de ameaças entre os itens considerados normais, usa-se o intervalo de Wilson (1927).</w:t>
      </w:r>
    </w:p>
    <w:p>
      <w:pPr>
        <w:pStyle w:val="Heading2"/>
        <w:keepNext/>
        <w:keepLines/>
        <w:spacing w:after="160" w:before="360" w:line="300"/>
      </w:pPr>
      <w:r>
        <w:rPr>
          <w:rFonts w:ascii="Times New Roman" w:cs="Times New Roman" w:eastAsia="Times New Roman" w:hAnsi="Times New Roman"/>
          <w:b/>
          <w:bCs/>
          <w:sz w:val="26"/>
          <w:szCs w:val="26"/>
        </w:rPr>
        <w:t xml:space="preserve">2.7 Generalização entre domínios e aprendizagem de atalhos</w:t>
      </w:r>
    </w:p>
    <w:p>
      <w:pPr>
        <w:spacing w:after="120" w:before="0" w:line="360"/>
        <w:ind w:firstLine="567"/>
        <w:jc w:val="both"/>
      </w:pPr>
      <w:r>
        <w:rPr>
          <w:rFonts w:ascii="Times New Roman" w:cs="Times New Roman" w:eastAsia="Times New Roman" w:hAnsi="Times New Roman"/>
          <w:sz w:val="24"/>
          <w:szCs w:val="24"/>
        </w:rPr>
        <w:t xml:space="preserve">Um modelo treinado num corpus pode ter bom desempenho nesse corpus e falhar noutro. Fortuna, Soler-Company e Wanner (2021) mostram que os classificadores de discurso de ódio e de linguagem ofensiva generalizam mal entre conjuntos de dados e que a generalização depende do modelo, das categorias usadas no treino e no teste e da proporção de vocabulário fora do domínio. Geirhos et al. (2020) descrevem o fenómeno mais geral da aprendizagem de atalhos (</w:t>
      </w:r>
      <w:r>
        <w:rPr>
          <w:rFonts w:ascii="Times New Roman" w:cs="Times New Roman" w:eastAsia="Times New Roman" w:hAnsi="Times New Roman"/>
          <w:i/>
          <w:iCs/>
          <w:sz w:val="24"/>
          <w:szCs w:val="24"/>
        </w:rPr>
        <w:t xml:space="preserve">shortcut learning</w:t>
      </w:r>
      <w:r>
        <w:rPr>
          <w:rFonts w:ascii="Times New Roman" w:cs="Times New Roman" w:eastAsia="Times New Roman" w:hAnsi="Times New Roman"/>
          <w:sz w:val="24"/>
          <w:szCs w:val="24"/>
        </w:rPr>
        <w:t xml:space="preserve">): o modelo aprende uma regularidade que separa as classes no conjunto de treino, como o comprimento ou o estilo do texto, em vez da propriedade que se pretende detectar.</w:t>
      </w:r>
    </w:p>
    <w:p>
      <w:pPr>
        <w:spacing w:after="120" w:before="0" w:line="360"/>
        <w:ind w:firstLine="567"/>
        <w:jc w:val="both"/>
      </w:pPr>
      <w:r>
        <w:rPr>
          <w:rFonts w:ascii="Times New Roman" w:cs="Times New Roman" w:eastAsia="Times New Roman" w:hAnsi="Times New Roman"/>
          <w:sz w:val="24"/>
          <w:szCs w:val="24"/>
        </w:rPr>
        <w:t xml:space="preserve">Um caso particular é o enviesamento por variedade linguística: textos escritos numa variedade pouco representada nos dados de treino são marcados como ofensivos com mais frequência (Sap et al., 2019), e a linguagem ofensiva confunde-se facilmente com ódio (Davidson et al., 2017). É de esperar um efeito semelhante entre o português do Brasil e o de Angola.</w:t>
      </w:r>
    </w:p>
    <w:p>
      <w:pPr>
        <w:spacing w:after="120" w:before="0" w:line="360"/>
        <w:ind w:firstLine="567"/>
        <w:jc w:val="both"/>
      </w:pPr>
      <w:r>
        <w:rPr>
          <w:rFonts w:ascii="Times New Roman" w:cs="Times New Roman" w:eastAsia="Times New Roman" w:hAnsi="Times New Roman"/>
          <w:sz w:val="24"/>
          <w:szCs w:val="24"/>
        </w:rPr>
        <w:t xml:space="preserve">Estes trabalhos têm duas consequências para esta investigação. Primeiro, o desempenho medido num teste dominado por dados brasileiros não pode ser tomado como desempenho em Angola. Segundo, quando uma categoria provém de uma única fonte com um estilo muito próprio, como a Desinformação do Fake.br, é de esperar que o modelo aprenda esse estilo. A H4 destina-se a medir directamente o primeiro efeito, e a análise por categoria da Secção 4.6 procura indícios do segundo.</w:t>
      </w:r>
    </w:p>
    <w:p>
      <w:pPr>
        <w:pStyle w:val="Heading2"/>
        <w:keepNext/>
        <w:keepLines/>
        <w:spacing w:after="160" w:before="360" w:line="300"/>
      </w:pPr>
      <w:r>
        <w:rPr>
          <w:rFonts w:ascii="Times New Roman" w:cs="Times New Roman" w:eastAsia="Times New Roman" w:hAnsi="Times New Roman"/>
          <w:b/>
          <w:bCs/>
          <w:sz w:val="26"/>
          <w:szCs w:val="26"/>
        </w:rPr>
        <w:t xml:space="preserve">2.8 Aspectos éticos, legais e de direitos humanos</w:t>
      </w:r>
    </w:p>
    <w:p>
      <w:pPr>
        <w:spacing w:after="120" w:before="0" w:line="360"/>
        <w:ind w:firstLine="567"/>
        <w:jc w:val="both"/>
      </w:pPr>
      <w:r>
        <w:rPr>
          <w:rFonts w:ascii="Times New Roman" w:cs="Times New Roman" w:eastAsia="Times New Roman" w:hAnsi="Times New Roman"/>
          <w:sz w:val="24"/>
          <w:szCs w:val="24"/>
        </w:rPr>
        <w:t xml:space="preserve">A monitorização de redes sociais por entidades de segurança coloca em tensão a protecção da segurança colectiva e os direitos individuais de expressão, reunião e privacidade. A tecnologia, por si, não resolve essa tensão. Resolvem-na regras claras sobre o que se recolhe, sobre o modo como a informação é tratada e sobre quem decide.</w:t>
      </w:r>
    </w:p>
    <w:p>
      <w:pPr>
        <w:spacing w:after="120" w:before="0" w:line="360"/>
        <w:ind w:firstLine="567"/>
        <w:jc w:val="both"/>
      </w:pPr>
      <w:r>
        <w:rPr>
          <w:rFonts w:ascii="Times New Roman" w:cs="Times New Roman" w:eastAsia="Times New Roman" w:hAnsi="Times New Roman"/>
          <w:sz w:val="24"/>
          <w:szCs w:val="24"/>
        </w:rPr>
        <w:t xml:space="preserve">O quadro jurídico angolano relevante inclui a Constituição da República de Angola, que consagra a liberdade de expressão e de informação (artigo 40.º) e a liberdade de reunião e de manifestação (artigo 47.º) (República de Angola, 2010). Inclui também a Lei n.º 22/11, de 17 de Junho, de Protecção de Dados Pessoais, que estabelece os princípios de finalidade, proporcionalidade, minimização e conservação limitada no tratamento de dados (República de Angola, 2011), e a Lei n.º 7/17, de 16 de Fevereiro, de Protecção das Redes e Sistemas Informáticos, relevante para a forma como os dados são obtidos (República de Angola, 2017). A mesma lei trata como sensíveis os dados que revelam, entre outros, convicções políticas, e sujeita o seu tratamento a requisitos acrescidos e ao controlo da autoridade de protecção de dados. Publicações sobre política podem revelar essas convicções mesmo depois de pseudonimizadas, o que torna indispensável um parecer jurídico antes de qualquer uso institucional; a própria investigação tratou estes dados sem esse parecer, apenas com pseudonimização e minimização. Os termos de utilização das plataformas acrescentam uma camada contratual que deve ser respeitada e declarada.</w:t>
      </w:r>
    </w:p>
    <w:p>
      <w:pPr>
        <w:spacing w:after="120" w:before="0" w:line="360"/>
        <w:ind w:firstLine="567"/>
        <w:jc w:val="both"/>
      </w:pPr>
      <w:r>
        <w:rPr>
          <w:rFonts w:ascii="Times New Roman" w:cs="Times New Roman" w:eastAsia="Times New Roman" w:hAnsi="Times New Roman"/>
          <w:sz w:val="24"/>
          <w:szCs w:val="24"/>
        </w:rPr>
        <w:t xml:space="preserve">A Recomendação da UNESCO sobre a Ética da Inteligência Artificial (UNESCO, 2021) pede que os sistemas de inteligência artificial respeitem a proporcionalidade, a transparência, a auditabilidade e a supervisão humana, e que se previnam enviesamentos e resultados discriminatórios. O Regulamento Europeu da Inteligência Artificial (União Europeia, 2024) classifica, de forma semelhante, vários usos de IA em contextos de aplicação da lei como de risco elevado. Destes princípios decorrem as salvaguardas adoptadas no sistema (Secção 3.2): recolha apenas de conteúdo público, anonimização antes do armazenamento, ausência de perfis individuais, revisão humana obrigatória e auditoria de todas as acções.</w:t>
      </w:r>
    </w:p>
    <w:p>
      <w:pPr>
        <w:pStyle w:val="Heading2"/>
        <w:keepNext/>
        <w:keepLines/>
        <w:spacing w:after="160" w:before="360" w:line="300"/>
      </w:pPr>
      <w:r>
        <w:rPr>
          <w:rFonts w:ascii="Times New Roman" w:cs="Times New Roman" w:eastAsia="Times New Roman" w:hAnsi="Times New Roman"/>
          <w:b/>
          <w:bCs/>
          <w:sz w:val="26"/>
          <w:szCs w:val="26"/>
        </w:rPr>
        <w:t xml:space="preserve">2.9 Revisão humana e segurança da informação</w:t>
      </w:r>
    </w:p>
    <w:p>
      <w:pPr>
        <w:spacing w:after="120" w:before="0" w:line="360"/>
        <w:ind w:firstLine="567"/>
        <w:jc w:val="both"/>
      </w:pPr>
      <w:r>
        <w:rPr>
          <w:rFonts w:ascii="Times New Roman" w:cs="Times New Roman" w:eastAsia="Times New Roman" w:hAnsi="Times New Roman"/>
          <w:sz w:val="24"/>
          <w:szCs w:val="24"/>
        </w:rPr>
        <w:t xml:space="preserve">Manter uma pessoa no circuito de decisão não basta. Parasuraman e Manzey (2010) descrevem a complacência e o viés de automação: o operador deixa de verificar o que o sistema faz bem na maior parte das vezes, e a sugestão substitui o seu juízo, sobretudo quando está sobrecarregado. Daí três contramedidas adoptadas no sistema: medir o acordo com a sugestão escondida (revisão cega), rever periodicamente uma amostra do que o sistema considerou inofensivo (amostra de controlo) e mostrar ao analista as limitações do modelo (Mitchell et al., 2019). As decisões dos analistas produzem também etiquetas novas, que podem alimentar novos ciclos de treino (Amershi et al., 2014; Settles, 2009).</w:t>
      </w:r>
    </w:p>
    <w:p>
      <w:pPr>
        <w:spacing w:after="120" w:before="0" w:line="360"/>
        <w:ind w:firstLine="567"/>
        <w:jc w:val="both"/>
      </w:pPr>
      <w:r>
        <w:rPr>
          <w:rFonts w:ascii="Times New Roman" w:cs="Times New Roman" w:eastAsia="Times New Roman" w:hAnsi="Times New Roman"/>
          <w:sz w:val="24"/>
          <w:szCs w:val="24"/>
        </w:rPr>
        <w:t xml:space="preserve">Um sistema que guarda conteúdos sensíveis é, ele próprio, um alvo. As falhas de controlo de acesso, as falhas criptográficas, a injecção e as falhas de autenticação estão entre os riscos mais frequentes das aplicações web (OWASP Foundation, 2021). As orientações do NIST para a autenticação digital pedem palavras-passe longas em vez de regras de composição, limite de tentativas, segredos nunca guardados em claro e mecanismos de recuperação tão cuidados como a própria autenticação (Grassi et al., 2017). Estas regras orientaram a gestão de contas do sistema (Secção 3.8.7).</w:t>
      </w:r>
    </w:p>
    <w:p>
      <w:pPr>
        <w:pStyle w:val="Heading2"/>
        <w:keepNext/>
        <w:keepLines/>
        <w:spacing w:after="160" w:before="360" w:line="300"/>
      </w:pPr>
      <w:r>
        <w:rPr>
          <w:rFonts w:ascii="Times New Roman" w:cs="Times New Roman" w:eastAsia="Times New Roman" w:hAnsi="Times New Roman"/>
          <w:b/>
          <w:bCs/>
          <w:sz w:val="26"/>
          <w:szCs w:val="26"/>
        </w:rPr>
        <w:t xml:space="preserve">2.10 Síntese e lacuna de investigação</w:t>
      </w:r>
    </w:p>
    <w:p>
      <w:pPr>
        <w:spacing w:after="120" w:before="0" w:line="360"/>
        <w:ind w:firstLine="567"/>
        <w:jc w:val="both"/>
      </w:pPr>
      <w:r>
        <w:rPr>
          <w:rFonts w:ascii="Times New Roman" w:cs="Times New Roman" w:eastAsia="Times New Roman" w:hAnsi="Times New Roman"/>
          <w:sz w:val="24"/>
          <w:szCs w:val="24"/>
        </w:rPr>
        <w:t xml:space="preserve">A literatura revista permite três conclusões. Os sistemas internacionais de monitorização não estão disponíveis, não cobrem o português de Angola ou implicam dependência externa. Os recursos de PLN para o português são brasileiros e, no caso da desinformação, pertencem a um género textual diferente do das redes sociais. Por fim, sabe-se que os classificadores de conteúdo nocivo generalizam mal entre domínios e entre variedades linguísticas, embora não exista uma medida dessa perda para Angola.</w:t>
      </w:r>
    </w:p>
    <w:p>
      <w:pPr>
        <w:spacing w:after="120" w:before="0" w:line="360"/>
        <w:ind w:firstLine="567"/>
        <w:jc w:val="both"/>
      </w:pPr>
      <w:r>
        <w:rPr>
          <w:rFonts w:ascii="Times New Roman" w:cs="Times New Roman" w:eastAsia="Times New Roman" w:hAnsi="Times New Roman"/>
          <w:sz w:val="24"/>
          <w:szCs w:val="24"/>
        </w:rPr>
        <w:t xml:space="preserve">Esta dissertação procura, por isso, fazer duas coisas: medir com dados angolanos anotados o desempenho real dos modelos disponíveis e propor um sistema que use esses modelos de forma compatível com as suas limitações, isto é, como apoio à triagem humana e não como mecanismo de decisão.</w:t>
      </w:r>
    </w:p>
    <w:p>
      <w:pPr>
        <w:sectPr>
          <w:headerReference w:type="default" r:id="rId15"/>
          <w:footerReference w:type="default" r:id="rId16"/>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3 – METODOLOGIA</w:t>
      </w:r>
    </w:p>
    <w:p>
      <w:pPr>
        <w:spacing w:after="120" w:before="0" w:line="360"/>
        <w:ind w:firstLine="567"/>
        <w:jc w:val="both"/>
      </w:pPr>
      <w:r>
        <w:rPr>
          <w:rFonts w:ascii="Times New Roman" w:cs="Times New Roman" w:eastAsia="Times New Roman" w:hAnsi="Times New Roman"/>
          <w:sz w:val="24"/>
          <w:szCs w:val="24"/>
        </w:rPr>
        <w:t xml:space="preserve">Este capítulo descreve como se conduziu a investigação: o desenho geral, as salvaguardas éticas, a recolha e a anotação dos dados, a construção do corpus de treino, os modelos, o protocolo de avaliação e, por fim, a arquitectura do sistema que põe o modelo seleccionado ao serviço do analista.</w:t>
      </w:r>
    </w:p>
    <w:p>
      <w:pPr>
        <w:pStyle w:val="Heading2"/>
        <w:keepNext/>
        <w:keepLines/>
        <w:spacing w:after="160" w:before="360" w:line="300"/>
      </w:pPr>
      <w:r>
        <w:rPr>
          <w:rFonts w:ascii="Times New Roman" w:cs="Times New Roman" w:eastAsia="Times New Roman" w:hAnsi="Times New Roman"/>
          <w:b/>
          <w:bCs/>
          <w:sz w:val="26"/>
          <w:szCs w:val="26"/>
        </w:rPr>
        <w:t xml:space="preserve">3.1 Paradigma e desenho da investigação</w:t>
      </w:r>
    </w:p>
    <w:p>
      <w:pPr>
        <w:spacing w:after="120" w:before="0" w:line="360"/>
        <w:ind w:firstLine="567"/>
        <w:jc w:val="both"/>
      </w:pPr>
      <w:r>
        <w:rPr>
          <w:rFonts w:ascii="Times New Roman" w:cs="Times New Roman" w:eastAsia="Times New Roman" w:hAnsi="Times New Roman"/>
          <w:sz w:val="24"/>
          <w:szCs w:val="24"/>
        </w:rPr>
        <w:t xml:space="preserve">A investigação segue um paradigma pragmático e aplicado, com abordagem predominantemente quantitativa. As hipóteses H1 e H4 são testadas com métricas de classificação e testes estatísticos; a H2 e a H3 dependem de medições do sistema em funcionamento, cujo protocolo se define (H2) ou se esboça (H3) neste capítulo. A componente de engenharia (o protótipo) é avaliada por testes automáticos (Secção 4.8.4).</w:t>
      </w:r>
    </w:p>
    <w:p>
      <w:pPr>
        <w:spacing w:after="120" w:before="0" w:line="360"/>
        <w:ind w:firstLine="567"/>
        <w:jc w:val="both"/>
      </w:pPr>
      <w:r>
        <w:rPr>
          <w:rFonts w:ascii="Times New Roman" w:cs="Times New Roman" w:eastAsia="Times New Roman" w:hAnsi="Times New Roman"/>
          <w:sz w:val="24"/>
          <w:szCs w:val="24"/>
        </w:rPr>
        <w:t xml:space="preserve">O trabalho decorreu em três fases, representadas na Figura 3.1. Na fase de dados recolheram-se e anotaram-se comentários angolanos e construiu-se o corpus híbrido. Na fase de modelos treinaram-se e compararam-se os quatro classificadores. Na fase de sistema desenvolveu-se o protótipo, cujas revisões humanas podem alimentar novos ciclos de treino.</w:t>
      </w:r>
    </w:p>
    <w:p>
      <w:pPr>
        <w:keepNext/>
        <w:spacing w:after="40" w:before="160"/>
        <w:jc w:val="center"/>
      </w:pPr>
      <w:r>
        <w:drawing>
          <wp:inline distT="0" distB="0" distL="0" distR="0">
            <wp:extent cx="4676775" cy="2800350"/>
            <wp:effectExtent t="0" r="0" b="0" l="0"/>
            <wp:docPr id="1" name="fig3_1_desenho.png" descr="fig3_1_desenho.png" title="fig3_1_desenh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676775" cy="280035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3.1 – Desenho da investigação</w:t>
      </w:r>
    </w:p>
    <w:p>
      <w:pPr>
        <w:pStyle w:val="Heading2"/>
        <w:keepNext/>
        <w:keepLines/>
        <w:spacing w:after="160" w:before="360" w:line="300"/>
      </w:pPr>
      <w:r>
        <w:rPr>
          <w:rFonts w:ascii="Times New Roman" w:cs="Times New Roman" w:eastAsia="Times New Roman" w:hAnsi="Times New Roman"/>
          <w:b/>
          <w:bCs/>
          <w:sz w:val="26"/>
          <w:szCs w:val="26"/>
        </w:rPr>
        <w:t xml:space="preserve">3.2 Considerações éticas e protecção de dados</w:t>
      </w:r>
    </w:p>
    <w:p>
      <w:pPr>
        <w:spacing w:after="120" w:before="0" w:line="360"/>
        <w:ind w:firstLine="567"/>
        <w:jc w:val="both"/>
      </w:pPr>
      <w:r>
        <w:rPr>
          <w:rFonts w:ascii="Times New Roman" w:cs="Times New Roman" w:eastAsia="Times New Roman" w:hAnsi="Times New Roman"/>
          <w:sz w:val="24"/>
          <w:szCs w:val="24"/>
        </w:rPr>
        <w:t xml:space="preserve">O trabalho com conteúdos de redes sociais para fins de segurança exige salvaguardas definidas antes da recolha. As medidas adoptadas, que decorrem da Lei n.º 22/11 e dos princípios revistos na Secção 2.8, são as seguintes: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Conteúdo público apenas.</w:t>
      </w:r>
      <w:r>
        <w:rPr>
          <w:rFonts w:ascii="Times New Roman" w:cs="Times New Roman" w:eastAsia="Times New Roman" w:hAnsi="Times New Roman"/>
          <w:sz w:val="24"/>
          <w:szCs w:val="24"/>
        </w:rPr>
        <w:t xml:space="preserve"> Recolheram-se apenas conteúdos públicos: comentários do YouTube, obtidos pela interface oficial, e publicações copiadas manualmente de páginas acessíveis sem autenticação. Não se acedeu a mensagens privadas, grupos fechados ou conteúdo que exija autenticação, nem se contornaram protecções técnicas das plataformas.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Anonimização antes do armazenamento.</w:t>
      </w:r>
      <w:r>
        <w:rPr>
          <w:rFonts w:ascii="Times New Roman" w:cs="Times New Roman" w:eastAsia="Times New Roman" w:hAnsi="Times New Roman"/>
          <w:sz w:val="24"/>
          <w:szCs w:val="24"/>
        </w:rPr>
        <w:t xml:space="preserve"> Os nomes dos autores são substituídos por pseudónimos que não são reversíveis sem um segredo guardado fora do código, e os identificadores directos no texto (endereços web, correio electrónico, números de telefone e menções a utilizadores) são mascarados. Para nomes de pessoas privadas referidos no texto, a regra adoptada é a sua substituição por descritores do papel ou da instituição; nomes de instituições e de figuras políticas são mantidos, por serem relevantes para a classificação. No lote temático de vídeos, cinco nomes próprios cuja natureza pública ou privada não foi determinada mantêm-se no corpus v13 e entraram nos dois treinos, incluindo o do modelo do protótipo (Secção 4.5.1); é um desvio à regra, a corrigir antes de um novo treino. Como o lote só entra no treino, as métricas de teste não são afectadas. Em rigor jurídico, a substituição do autor por um pseudónimo é uma pseudonimização: impede a identificação directa, mas permite ligar publicações do mesmo autor. Nesta dissertação, «anonimização à entrada» designa o conjunto destas operações.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Proveniência registada.</w:t>
      </w:r>
      <w:r>
        <w:rPr>
          <w:rFonts w:ascii="Times New Roman" w:cs="Times New Roman" w:eastAsia="Times New Roman" w:hAnsi="Times New Roman"/>
          <w:sz w:val="24"/>
          <w:szCs w:val="24"/>
        </w:rPr>
        <w:t xml:space="preserve"> Cada lote de dados fica associado à plataforma, à via de obtenção, à data e ao volume, o que permite declarar na metodologia a origem exacta de cada parte do corpus.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Sem perfis individuais.</w:t>
      </w:r>
      <w:r>
        <w:rPr>
          <w:rFonts w:ascii="Times New Roman" w:cs="Times New Roman" w:eastAsia="Times New Roman" w:hAnsi="Times New Roman"/>
          <w:sz w:val="24"/>
          <w:szCs w:val="24"/>
        </w:rPr>
        <w:t xml:space="preserve"> O sistema apresenta agregados por categoria, período e plataforma; não existem vistas por autor.</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Revisão humana obrigatória.</w:t>
      </w:r>
      <w:r>
        <w:rPr>
          <w:rFonts w:ascii="Times New Roman" w:cs="Times New Roman" w:eastAsia="Times New Roman" w:hAnsi="Times New Roman"/>
          <w:sz w:val="24"/>
          <w:szCs w:val="24"/>
        </w:rPr>
        <w:t xml:space="preserve"> A classificação serve apenas para ordenar a revisão. Nenhuma acção sobre pessoas pode basear-se apenas no sistema.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Conservação limitada e auditoria.</w:t>
      </w:r>
      <w:r>
        <w:rPr>
          <w:rFonts w:ascii="Times New Roman" w:cs="Times New Roman" w:eastAsia="Times New Roman" w:hAnsi="Times New Roman"/>
          <w:sz w:val="24"/>
          <w:szCs w:val="24"/>
        </w:rPr>
        <w:t xml:space="preserve"> As publicações não revistas são apagadas após um prazo configurável, e todas as acções (importação, classificação, revisão, exportação, limpeza) ficam registadas.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Consentimento dos anotadores.</w:t>
      </w:r>
      <w:r>
        <w:rPr>
          <w:rFonts w:ascii="Times New Roman" w:cs="Times New Roman" w:eastAsia="Times New Roman" w:hAnsi="Times New Roman"/>
          <w:sz w:val="24"/>
          <w:szCs w:val="24"/>
        </w:rPr>
        <w:t xml:space="preserve"> Os anotadores assinaram uma declaração de consentimento e confidencialidade (Apêndice D).</w:t>
      </w:r>
    </w:p>
    <w:p>
      <w:pPr>
        <w:spacing w:after="120" w:before="0" w:line="360"/>
        <w:ind w:firstLine="567"/>
        <w:jc w:val="both"/>
      </w:pPr>
      <w:r>
        <w:rPr>
          <w:rFonts w:ascii="Times New Roman" w:cs="Times New Roman" w:eastAsia="Times New Roman" w:hAnsi="Times New Roman"/>
          <w:sz w:val="24"/>
          <w:szCs w:val="24"/>
        </w:rPr>
        <w:t xml:space="preserve">Os termos de utilização das plataformas e a Lei n.º 7/17 devem ser objecto de parecer jurídico antes de qualquer uso institucional do sistema, como se recomenda no Capítulo 6.</w:t>
      </w:r>
    </w:p>
    <w:p>
      <w:pPr>
        <w:pStyle w:val="Heading2"/>
        <w:keepNext/>
        <w:keepLines/>
        <w:spacing w:after="160" w:before="360" w:line="300"/>
      </w:pPr>
      <w:r>
        <w:rPr>
          <w:rFonts w:ascii="Times New Roman" w:cs="Times New Roman" w:eastAsia="Times New Roman" w:hAnsi="Times New Roman"/>
          <w:b/>
          <w:bCs/>
          <w:sz w:val="26"/>
          <w:szCs w:val="26"/>
        </w:rPr>
        <w:t xml:space="preserve">3.3 Recolha de dados do piloto angolano</w:t>
      </w:r>
    </w:p>
    <w:p>
      <w:pPr>
        <w:spacing w:after="120" w:before="0" w:line="360"/>
        <w:ind w:firstLine="567"/>
        <w:jc w:val="both"/>
      </w:pPr>
      <w:r>
        <w:rPr>
          <w:rFonts w:ascii="Times New Roman" w:cs="Times New Roman" w:eastAsia="Times New Roman" w:hAnsi="Times New Roman"/>
          <w:sz w:val="24"/>
          <w:szCs w:val="24"/>
        </w:rPr>
        <w:t xml:space="preserve">A maior parte dos dados angolanos veio do YouTube, plataforma em que os principais órgãos de comunicação e criadores de conteúdo angolanos publicam vídeos sobre política, economia e sociedade, e cujos comentários são públicos e acessíveis por uma interface oficial (YouTube Data API v3). A recolha seguiu quatro passos, implementados em </w:t>
      </w:r>
      <w:r>
        <w:rPr>
          <w:rFonts w:ascii="Times New Roman" w:cs="Times New Roman" w:eastAsia="Times New Roman" w:hAnsi="Times New Roman"/>
          <w:i/>
          <w:iCs/>
          <w:sz w:val="24"/>
          <w:szCs w:val="24"/>
        </w:rPr>
        <w:t xml:space="preserve">scripts</w:t>
      </w:r>
      <w:r>
        <w:rPr>
          <w:rFonts w:ascii="Times New Roman" w:cs="Times New Roman" w:eastAsia="Times New Roman" w:hAnsi="Times New Roman"/>
          <w:sz w:val="24"/>
          <w:szCs w:val="24"/>
        </w:rPr>
        <w:t xml:space="preserve"> Python: a descoberta de vídeos por termos da actualidade angolana; a sondagem de uma pequena amostra de comentários de cada vídeo, para estimar a proporção de comentários angolanos; a selecção dos vídeos, privilegiando a diversidade de canais e temas; e a recolha dos comentários e respostas, com limite por vídeo e anonimização dos autores antes da gravação.</w:t>
      </w:r>
    </w:p>
    <w:p>
      <w:pPr>
        <w:spacing w:after="120" w:before="0" w:line="360"/>
        <w:ind w:firstLine="567"/>
        <w:jc w:val="both"/>
      </w:pPr>
      <w:r>
        <w:rPr>
          <w:rFonts w:ascii="Times New Roman" w:cs="Times New Roman" w:eastAsia="Times New Roman" w:hAnsi="Times New Roman"/>
          <w:sz w:val="24"/>
          <w:szCs w:val="24"/>
        </w:rPr>
        <w:t xml:space="preserve">A quota diária da interface (10.000 unidades, com 100 unidades por pesquisa e 1 unidade por pedido de comentários) condicionou o ritmo da recolha. Para preservar a validade da comparação com os corpora brasileiros (H4), retiraram-se do piloto os casos explicitamente não angolanos, como comentários em vídeos de outros países ou de autores que se declaram de fora de Angola. Mantiveram-se os casos duvidosos, o que, quando muito, torna conservadora a estimativa da lacuna de domínio.</w:t>
      </w:r>
    </w:p>
    <w:p>
      <w:pPr>
        <w:spacing w:after="120" w:before="0" w:line="360"/>
        <w:ind w:firstLine="567"/>
        <w:jc w:val="both"/>
      </w:pPr>
      <w:r>
        <w:rPr>
          <w:rFonts w:ascii="Times New Roman" w:cs="Times New Roman" w:eastAsia="Times New Roman" w:hAnsi="Times New Roman"/>
          <w:sz w:val="24"/>
          <w:szCs w:val="24"/>
        </w:rPr>
        <w:t xml:space="preserve">Uma parte menor do piloto veio de recolha manual: 180 títulos e entradas de notícias de sete órgãos de comunicação angolanos e 194 publicações e comentários copiados de páginas públicas, incluindo o Facebook. Estes itens passaram pela mesma anonimização e pela mesma anotação que os comentários do YouTube. No corpus, o piloto aparece com três origens, registadas na coluna </w:t>
      </w:r>
      <w:r>
        <w:rPr>
          <w:rFonts w:ascii="Times New Roman" w:cs="Times New Roman" w:eastAsia="Times New Roman" w:hAnsi="Times New Roman"/>
          <w:i/>
          <w:iCs/>
          <w:sz w:val="24"/>
          <w:szCs w:val="24"/>
        </w:rPr>
        <w:t xml:space="preserve">origem</w:t>
      </w:r>
      <w:r>
        <w:rPr>
          <w:rFonts w:ascii="Times New Roman" w:cs="Times New Roman" w:eastAsia="Times New Roman" w:hAnsi="Times New Roman"/>
          <w:sz w:val="24"/>
          <w:szCs w:val="24"/>
        </w:rPr>
        <w:t xml:space="preserv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Base do piloto</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ate_v11</w:t>
      </w:r>
      <w:r>
        <w:rPr>
          <w:rFonts w:ascii="Times New Roman" w:cs="Times New Roman" w:eastAsia="Times New Roman" w:hAnsi="Times New Roman"/>
          <w:sz w:val="24"/>
          <w:szCs w:val="24"/>
        </w:rPr>
        <w:t xml:space="preserve">): 2.352 itens, dos quais 1.978 são comentários seleccionados aleatoriamente dos vídeos recolhidos e 374 vêm da recolha manual; são os únicos dados angolanos usados na validação e no teste. Os 374 itens manuais (180 títulos de notícias e 194 publicações copiadas) não resultam de sorteio, mas de escolha do investigador, o que deve ser tido em conta na leitura dos resultados do piloto.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Lote temático de vídeos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enriquecido_video_tema</w:t>
      </w:r>
      <w:r>
        <w:rPr>
          <w:rFonts w:ascii="Times New Roman" w:cs="Times New Roman" w:eastAsia="Times New Roman" w:hAnsi="Times New Roman"/>
          <w:sz w:val="24"/>
          <w:szCs w:val="24"/>
        </w:rPr>
        <w:t xml:space="preserve">): 284 comentários de vídeos escolhidos por tratarem temas propícios a mobilização ou a discurso de ódio, dos quais se retiraram 90 por não serem angolanos, restando 194.</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Lote orientado por léxico</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enriquecido_lexico</w:t>
      </w:r>
      <w:r>
        <w:rPr>
          <w:rFonts w:ascii="Times New Roman" w:cs="Times New Roman" w:eastAsia="Times New Roman" w:hAnsi="Times New Roman"/>
          <w:sz w:val="24"/>
          <w:szCs w:val="24"/>
        </w:rPr>
        <w:t xml:space="preserve">): 91 comentários priorizados para anotação por conterem termos de um léxico de candidatos.</w:t>
      </w:r>
    </w:p>
    <w:p>
      <w:pPr>
        <w:spacing w:after="120" w:before="0" w:line="360"/>
        <w:ind w:firstLine="567"/>
        <w:jc w:val="both"/>
      </w:pPr>
      <w:r>
        <w:rPr>
          <w:rFonts w:ascii="Times New Roman" w:cs="Times New Roman" w:eastAsia="Times New Roman" w:hAnsi="Times New Roman"/>
          <w:sz w:val="24"/>
          <w:szCs w:val="24"/>
        </w:rPr>
        <w:t xml:space="preserve">Os dois lotes enriquecidos resultam de uma selecção não aleatória e foram anotados pelos mesmos anotadores. Por essa razão, entraram </w:t>
      </w:r>
      <w:r>
        <w:rPr>
          <w:rFonts w:ascii="Times New Roman" w:cs="Times New Roman" w:eastAsia="Times New Roman" w:hAnsi="Times New Roman"/>
          <w:b/>
          <w:bCs/>
          <w:sz w:val="24"/>
          <w:szCs w:val="24"/>
        </w:rPr>
        <w:t xml:space="preserve">apenas no treino</w:t>
      </w:r>
      <w:r>
        <w:rPr>
          <w:rFonts w:ascii="Times New Roman" w:cs="Times New Roman" w:eastAsia="Times New Roman" w:hAnsi="Times New Roman"/>
          <w:sz w:val="24"/>
          <w:szCs w:val="24"/>
        </w:rPr>
        <w:t xml:space="preserve">: incluí-los na avaliação inflacionaria as métricas e enviesaria a comparação da H4.</w:t>
      </w:r>
    </w:p>
    <w:p>
      <w:pPr>
        <w:pStyle w:val="Heading2"/>
        <w:keepNext/>
        <w:keepLines/>
        <w:spacing w:after="160" w:before="360" w:line="300"/>
      </w:pPr>
      <w:r>
        <w:rPr>
          <w:rFonts w:ascii="Times New Roman" w:cs="Times New Roman" w:eastAsia="Times New Roman" w:hAnsi="Times New Roman"/>
          <w:b/>
          <w:bCs/>
          <w:sz w:val="26"/>
          <w:szCs w:val="26"/>
        </w:rPr>
        <w:t xml:space="preserve">3.4 Anotação e acordo entre anotadores</w:t>
      </w:r>
    </w:p>
    <w:p>
      <w:pPr>
        <w:spacing w:after="120" w:before="0" w:line="360"/>
        <w:ind w:firstLine="567"/>
        <w:jc w:val="both"/>
      </w:pPr>
      <w:r>
        <w:rPr>
          <w:rFonts w:ascii="Times New Roman" w:cs="Times New Roman" w:eastAsia="Times New Roman" w:hAnsi="Times New Roman"/>
          <w:sz w:val="24"/>
          <w:szCs w:val="24"/>
        </w:rPr>
        <w:t xml:space="preserve">Três anotadores independentes, dois angolanos e um com formação em processamento de linguagem natural, fizeram a anotação segundo o Guia de Anotação Padronizado (Apêndice B). Cada anotador classificou cada publicação numa das quatro categorias, sem acesso às classificações dos outros nem às previsões de qualquer modelo. Nos casos de desacordo, adoptou-se como regra de agregação a etiqueta mais grave escolhida por qualquer anotador (Mobilização Hostil &gt; Discurso de Ódio &gt; Desinformação &gt; Normal), por analogia com a regra de desempate que o guia dá a cada anotador (Apêndice B.5), e por se considerar que, num contexto de segurança, um falso positivo sujeito a revisão é preferível a um falso negativo.</w:t>
      </w:r>
    </w:p>
    <w:p>
      <w:pPr>
        <w:spacing w:after="120" w:before="0" w:line="360"/>
        <w:ind w:firstLine="567"/>
        <w:jc w:val="both"/>
      </w:pPr>
      <w:r>
        <w:rPr>
          <w:rFonts w:ascii="Times New Roman" w:cs="Times New Roman" w:eastAsia="Times New Roman" w:hAnsi="Times New Roman"/>
          <w:sz w:val="24"/>
          <w:szCs w:val="24"/>
        </w:rPr>
        <w:t xml:space="preserve">Mediu-se o acordo com o Kappa de Fleiss para os três anotadores e com o Kappa de Cohen para cada par. Nos 2.443 itens da base do piloto e do lote orientado por léxico, obteve-se κ de Fleiss de 0,718 (IC 95%: 0,695–0,741), κ de Cohen médio de 0,719 e concordância observada de 81,3%, o que corresponde a acordo substancial na escala de Landis e Koch (1977); só na base do piloto (n = 2.352), o κ de Fleiss é de 0,717. No lote temático de vídeos, o κ de Fleiss foi de 0,818 (IC 95%: 0,763–0,869), calculado sobre os 284 comentários anotados, antes da exclusão dos 90 não angolanos; este valor não é comparável com o anterior, porque uma amostra seleccionada por tema tem uma distribuição de categorias diferente. Os detalhes constam do Apêndice C.</w:t>
      </w:r>
    </w:p>
    <w:p>
      <w:pPr>
        <w:spacing w:after="120" w:before="0" w:line="360"/>
        <w:ind w:firstLine="567"/>
        <w:jc w:val="both"/>
      </w:pPr>
      <w:r>
        <w:rPr>
          <w:rFonts w:ascii="Times New Roman" w:cs="Times New Roman" w:eastAsia="Times New Roman" w:hAnsi="Times New Roman"/>
          <w:sz w:val="24"/>
          <w:szCs w:val="24"/>
        </w:rPr>
        <w:t xml:space="preserve">O corpus anotado final tem 2.637 publicações, com a seguinte distribuição de etiquetas: Normal 1.664, Mobilização Hostil 364, Desinformação 326 e Discurso de Ódio 283. Após a harmonização e a remoção de duplicados (Secção 3.5), entram no corpus híbrido 2.573 registos do piloto.</w:t>
      </w:r>
    </w:p>
    <w:p>
      <w:pPr>
        <w:spacing w:after="120" w:before="0" w:line="360"/>
        <w:ind w:firstLine="567"/>
        <w:jc w:val="both"/>
      </w:pPr>
      <w:r>
        <w:rPr>
          <w:rFonts w:ascii="Times New Roman" w:cs="Times New Roman" w:eastAsia="Times New Roman" w:hAnsi="Times New Roman"/>
          <w:sz w:val="24"/>
          <w:szCs w:val="24"/>
        </w:rPr>
        <w:t xml:space="preserve">A Tabela 3.1 descreve o corpus anotado por categoria. Três características têm consequências para a interpretação dos resultados.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3.1 – Características do corpus angolano anotado, por categoria final</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900"/>
        <w:gridCol w:w="2100"/>
        <w:gridCol w:w="1500"/>
        <w:gridCol w:w="1720"/>
      </w:tblGrid>
      <w:tr>
        <w:trPr>
          <w:cantSplit/>
          <w:tblHeader/>
        </w:trPr>
        <w:tc>
          <w:tcPr>
            <w:tcW w:type="dxa" w:w="2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Categoria final</w:t>
            </w:r>
          </w:p>
        </w:tc>
        <w:tc>
          <w:tcPr>
            <w:tcW w:type="dxa" w:w="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w:t>
            </w:r>
          </w:p>
        </w:tc>
        <w:tc>
          <w:tcPr>
            <w:tcW w:type="dxa" w:w="2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Palavras: mediana [Q1; Q3]</w:t>
            </w:r>
          </w:p>
        </w:tc>
        <w:tc>
          <w:tcPr>
            <w:tcW w:type="dxa" w:w="1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Decisão unânime</w:t>
            </w:r>
          </w:p>
        </w:tc>
        <w:tc>
          <w:tcPr>
            <w:tcW w:type="dxa" w:w="17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Decidida por um só voto</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Normal</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1.664</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8 [4,0; 18,0]</w:t>
            </w:r>
          </w:p>
        </w:tc>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100,0%</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 (0,0%)</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Desinformação</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326</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21 [12,0; 34,0]</w:t>
            </w:r>
          </w:p>
        </w:tc>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44,2%</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106 (32,5%)</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Discurso de Ódio</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283</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16 [8,5; 27,5]</w:t>
            </w:r>
          </w:p>
        </w:tc>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56,9%</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75 (26,5%)</w:t>
            </w:r>
          </w:p>
        </w:tc>
      </w:tr>
      <w:tr>
        <w:trPr>
          <w:cantSplit/>
          <w:tblHeader w:val="false"/>
        </w:trPr>
        <w:tc>
          <w:tcPr>
            <w:tcW w:type="dxa" w:w="2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Mobilização Hostil</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364</w:t>
            </w:r>
          </w:p>
        </w:tc>
        <w:tc>
          <w:tcPr>
            <w:tcW w:type="dxa" w:w="2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16 [7,0; 24,0]</w:t>
            </w:r>
          </w:p>
        </w:tc>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49,7%</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116 (31,9%)</w:t>
            </w:r>
          </w:p>
        </w:tc>
      </w:tr>
      <w:tr>
        <w:trPr>
          <w:cantSplit/>
          <w:tblHeader w:val="false"/>
        </w:trPr>
        <w:tc>
          <w:tcPr>
            <w:tcW w:type="dxa" w:w="2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Total</w:t>
            </w:r>
          </w:p>
        </w:tc>
        <w:tc>
          <w:tcPr>
            <w:tcW w:type="dxa" w:w="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2.637</w:t>
            </w:r>
          </w:p>
        </w:tc>
        <w:tc>
          <w:tcPr>
            <w:tcW w:type="dxa" w:w="2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11 [5,0; 22,0]</w:t>
            </w:r>
          </w:p>
        </w:tc>
        <w:tc>
          <w:tcPr>
            <w:tcW w:type="dxa" w:w="1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81,5%</w:t>
            </w:r>
          </w:p>
        </w:tc>
        <w:tc>
          <w:tcPr>
            <w:tcW w:type="dxa" w:w="17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297 (11,3%)</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«Decidida por um só voto»: só um dos três anotadores escolheu a categoria final, que prevaleceu pela regra da gravidade ascendente. Por construção da regra, um item só é Normal quando os três anotadores o consideram Normal.</w:t>
      </w:r>
    </w:p>
    <w:p>
      <w:pPr>
        <w:spacing w:after="120" w:before="0" w:line="360"/>
        <w:ind w:firstLine="567"/>
        <w:jc w:val="both"/>
      </w:pPr>
      <w:r>
        <w:rPr>
          <w:rFonts w:ascii="Times New Roman" w:cs="Times New Roman" w:eastAsia="Times New Roman" w:hAnsi="Times New Roman"/>
          <w:sz w:val="24"/>
          <w:szCs w:val="24"/>
        </w:rPr>
        <w:t xml:space="preserve">A primeira é o efeito da regra da gravidade ascendente: como basta um anotador escolher uma ameaça para que ela prevaleça, todos os itens Normais são unânimes e o desacordo concentra-se nas categorias de ameaça, onde só 44% a 57% das decisões foram unânimes. Ao todo, 297 itens (11,3% do corpus) são ameaças pelo voto de um único anotador. A regra favorece a sensibilidade, como convém à triagem, mas introduz ruído nas etiquetas, que contribui previsivelmente para os erros do modelo no piloto (Secção 4.6). A segunda é o comprimento: as ameaças têm cerca do dobro das palavras das publicações normais, uma regularidade que um classificador pode aprender como atalho (Secção 2.7). A terceira é a raridade das marcas lexicais da variedade angolana: só 0,3% das publicações contêm algum de 28 termos frequentes no calão de Luanda (como </w:t>
      </w:r>
      <w:r>
        <w:rPr>
          <w:rFonts w:ascii="Times New Roman" w:cs="Times New Roman" w:eastAsia="Times New Roman" w:hAnsi="Times New Roman"/>
          <w:i/>
          <w:iCs/>
          <w:sz w:val="24"/>
          <w:szCs w:val="24"/>
        </w:rPr>
        <w:t xml:space="preserve">bué</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kota</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mujimbo</w:t>
      </w:r>
      <w:r>
        <w:rPr>
          <w:rFonts w:ascii="Times New Roman" w:cs="Times New Roman" w:eastAsia="Times New Roman" w:hAnsi="Times New Roman"/>
          <w:sz w:val="24"/>
          <w:szCs w:val="24"/>
        </w:rPr>
        <w:t xml:space="preserve"> ou </w:t>
      </w:r>
      <w:r>
        <w:rPr>
          <w:rFonts w:ascii="Times New Roman" w:cs="Times New Roman" w:eastAsia="Times New Roman" w:hAnsi="Times New Roman"/>
          <w:i/>
          <w:iCs/>
          <w:sz w:val="24"/>
          <w:szCs w:val="24"/>
        </w:rPr>
        <w:t xml:space="preserve">zungueira</w:t>
      </w:r>
      <w:r>
        <w:rPr>
          <w:rFonts w:ascii="Times New Roman" w:cs="Times New Roman" w:eastAsia="Times New Roman" w:hAnsi="Times New Roman"/>
          <w:sz w:val="24"/>
          <w:szCs w:val="24"/>
        </w:rPr>
        <w:t xml:space="preserve">), e só 96 (3,6%) mencionam uma província ou cidade reconhecida pelo sistema, 65 delas Luanda. O carácter angolano dos comentários está mais nos temas e nas referências do que no vocabulário, o que ajuda a interpretar a lacuna de domínio (Secção 4.6) e a cobertura do mapa (Secção 5.4).</w:t>
      </w:r>
    </w:p>
    <w:p>
      <w:pPr>
        <w:spacing w:after="120" w:before="0" w:line="360"/>
        <w:ind w:firstLine="567"/>
        <w:jc w:val="both"/>
      </w:pPr>
      <w:r>
        <w:rPr>
          <w:rFonts w:ascii="Times New Roman" w:cs="Times New Roman" w:eastAsia="Times New Roman" w:hAnsi="Times New Roman"/>
          <w:sz w:val="24"/>
          <w:szCs w:val="24"/>
        </w:rPr>
        <w:t xml:space="preserve">Os casos de desacordo ilustram a natureza da tarefa. O comentário «Podemos paralizar mais não vandalisar prk faz recuar o país» foi considerado Normal por dois anotadores e Mobilização Hostil por um, e ficou como Mobilização pela regra da gravidade, embora o pedido expresso para não vandalizar o aproxime de um protesto pacífico. «MANOS ANGOLANOS VAMOS TIRAR ESSE FEITICEIRO DO PODER» foi visto como ódio por dois anotadores e como mobilização por um. Críticas duras ao Governo, que o guia classifica como Normais, foram lidas por alguns anotadores como ódio ou desinformação. Um modelo treinado com estas etiquetas herda esta incerteza. Rever as regras de desempate e formar os anotadores em conjunto nestes casos são melhorias simples para futuras rondas. A amostra do Apêndice E mostra, além disso, que os anotadores aplicaram por vezes critérios mais amplos do que os do guia, mesmo em itens unânimes: a Mobilização Hostil incluiu apelos genéricos sem linguagem violenta, o Discurso de Ódio incluiu insultos a partidos e a Desinformação incluiu alegações não verificadas. As categorias do piloto não são, por isso, inteiramente equivalentes às dos corpora públicos, e esta diferença de construto é uma explicação concorrente da lacuna medida na Secção 4.6.</w:t>
      </w:r>
    </w:p>
    <w:p>
      <w:pPr>
        <w:spacing w:after="120" w:before="0" w:line="360"/>
        <w:ind w:firstLine="567"/>
        <w:jc w:val="both"/>
      </w:pPr>
      <w:r>
        <w:rPr>
          <w:rFonts w:ascii="Times New Roman" w:cs="Times New Roman" w:eastAsia="Times New Roman" w:hAnsi="Times New Roman"/>
          <w:sz w:val="24"/>
          <w:szCs w:val="24"/>
        </w:rPr>
        <w:t xml:space="preserve">Avaliou-se nos próprios dados anotados o léxico de candidatos usado para priorizar a anotação. No lote temático, apenas 27% dos comentários que o léxico assinalava como possíveis casos de mobilização (33 em 123) foram classificados pelos anotadores como Mobilização Hostil, contra 61% (17 em 28) no caso do discurso de ódio; num controlo de 45 comentários sem termos do léxico, não houve nenhum caso de mobilização. O léxico é, por isso, útil para encontrar casos raros, mas insuficiente para os rotular, e não serviu de fonte de etiquetas.</w:t>
      </w:r>
    </w:p>
    <w:p>
      <w:pPr>
        <w:pStyle w:val="Heading2"/>
        <w:keepNext/>
        <w:keepLines/>
        <w:spacing w:after="160" w:before="360" w:line="300"/>
      </w:pPr>
      <w:r>
        <w:rPr>
          <w:rFonts w:ascii="Times New Roman" w:cs="Times New Roman" w:eastAsia="Times New Roman" w:hAnsi="Times New Roman"/>
          <w:b/>
          <w:bCs/>
          <w:sz w:val="26"/>
          <w:szCs w:val="26"/>
        </w:rPr>
        <w:t xml:space="preserve">3.5 Construção do corpus híbrido</w:t>
      </w:r>
    </w:p>
    <w:p>
      <w:pPr>
        <w:spacing w:after="120" w:before="0" w:line="360"/>
        <w:ind w:firstLine="567"/>
        <w:jc w:val="both"/>
      </w:pPr>
      <w:r>
        <w:rPr>
          <w:rFonts w:ascii="Times New Roman" w:cs="Times New Roman" w:eastAsia="Times New Roman" w:hAnsi="Times New Roman"/>
          <w:sz w:val="24"/>
          <w:szCs w:val="24"/>
        </w:rPr>
        <w:t xml:space="preserve">O piloto angolano, por si só, é demasiado pequeno para treinar um classificador de quatro categorias. Combinou-se, por isso, com os três corpora públicos descritos na Secção 2.4.1. Mapearam-se as etiquetas originais de cada corpus para as quatro categorias da dissertação no </w:t>
      </w:r>
      <w:r>
        <w:rPr>
          <w:rFonts w:ascii="Times New Roman" w:cs="Times New Roman" w:eastAsia="Times New Roman" w:hAnsi="Times New Roman"/>
          <w:i/>
          <w:iCs/>
          <w:sz w:val="24"/>
          <w:szCs w:val="24"/>
        </w:rPr>
        <w:t xml:space="preserve">script</w:t>
      </w:r>
      <w:r>
        <w:rPr>
          <w:rFonts w:ascii="Times New Roman" w:cs="Times New Roman" w:eastAsia="Times New Roman" w:hAnsi="Times New Roman"/>
          <w:sz w:val="24"/>
          <w:szCs w:val="24"/>
        </w:rPr>
        <w:t xml:space="preserve"> de construção do corpus. No ToLD-BR, os tweets com marcação de ataque a uma identidade passaram a Discurso de Ódio, os tweets sem qualquer marcação a Normal, e os tweets tóxicos apenas por obscenidade ou insulto sem alvo identitário foram excluídos. No HateBR, os comentários marcados como linguagem ofensiva passaram a Discurso de Ódio e os restantes a Normal, porque a versão usada fornece apenas essa etiqueta binária. Dos três corpora usou-se a partição de treino disponibilizada no Hugging Face, o que, com as exclusões do ToLD-BR e a remoção de duplicados, explica que os totais da Tabela 4.1 fiquem abaixo das dimensões originais (cerca de 21 mil no ToLD-BR e 7 mil no HateBR). No Fake.br, as notícias falsas passaram a Desinformação e as verdadeiras a Normal. Depois da junção (27.097 registos), removeram-se os duplicados exactos.</w:t>
      </w:r>
    </w:p>
    <w:p>
      <w:pPr>
        <w:spacing w:after="120" w:before="0" w:line="360"/>
        <w:ind w:firstLine="567"/>
        <w:jc w:val="both"/>
      </w:pPr>
      <w:r>
        <w:rPr>
          <w:rFonts w:ascii="Times New Roman" w:cs="Times New Roman" w:eastAsia="Times New Roman" w:hAnsi="Times New Roman"/>
          <w:sz w:val="24"/>
          <w:szCs w:val="24"/>
        </w:rPr>
        <w:t xml:space="preserve">O resultado é um corpus de 26.859 registos (238 duplicados removidos), cuja composição se apresenta na Tabela 4.1. A Figura 3.2 resume o processo e a divisão em treino, validação e teste.</w:t>
      </w:r>
    </w:p>
    <w:p>
      <w:pPr>
        <w:keepNext/>
        <w:spacing w:after="40" w:before="160"/>
        <w:jc w:val="center"/>
      </w:pPr>
      <w:r>
        <w:drawing>
          <wp:inline distT="0" distB="0" distL="0" distR="0">
            <wp:extent cx="4495800" cy="2419350"/>
            <wp:effectExtent t="0" r="0" b="0" l="0"/>
            <wp:docPr id="1" name="fig3_2_corpus.png" descr="fig3_2_corpus.png" title="fig3_2_corpu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495800" cy="241935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3.2 – Construção do corpus híbrido e divisão em treino, validação e teste</w:t>
      </w:r>
    </w:p>
    <w:p>
      <w:pPr>
        <w:spacing w:after="120" w:before="0" w:line="360"/>
        <w:ind w:firstLine="567"/>
        <w:jc w:val="both"/>
      </w:pPr>
      <w:r>
        <w:rPr>
          <w:rFonts w:ascii="Times New Roman" w:cs="Times New Roman" w:eastAsia="Times New Roman" w:hAnsi="Times New Roman"/>
          <w:sz w:val="24"/>
          <w:szCs w:val="24"/>
        </w:rPr>
        <w:t xml:space="preserve">A divisão foi estratificada por categoria, com cerca de 70% dos dados para treino e 15% para cada um dos conjuntos de validação (3.986) e de teste (3.987). Os 285 itens dos lotes enriquecidos ficaram, por construção, no treino. Usou-se o conjunto de teste uma única vez, no fim, para cada modelo e variante.</w:t>
      </w:r>
    </w:p>
    <w:p>
      <w:pPr>
        <w:spacing w:after="120" w:before="0" w:line="360"/>
        <w:ind w:firstLine="567"/>
        <w:jc w:val="both"/>
      </w:pPr>
      <w:r>
        <w:rPr>
          <w:rFonts w:ascii="Times New Roman" w:cs="Times New Roman" w:eastAsia="Times New Roman" w:hAnsi="Times New Roman"/>
          <w:sz w:val="24"/>
          <w:szCs w:val="24"/>
        </w:rPr>
        <w:t xml:space="preserve">Note-se que, no HateBR, a etiqueta usada é a de linguagem ofensiva, que é mais ampla do que o discurso de ódio tal como definido no guia de anotação; parte dos exemplos públicos de Discurso de Ódio são, por isso, insultos sem alvo identitário. Dois desequilíbrios estruturais condicionam a interpretação dos resultados. A Mobilização Hostil existe apenas no piloto e conta com 47 exemplos no teste, o que torna as estimativas desta categoria instáveis. E cerca de 91% do teste provém de corpora brasileiros, de modo que as métricas globais descrevem sobretudo o desempenho em conteúdo brasileiro. A H4 foi formulada para separar estes dois domínios.</w:t>
      </w:r>
    </w:p>
    <w:p>
      <w:pPr>
        <w:pStyle w:val="Heading2"/>
        <w:keepNext/>
        <w:keepLines/>
        <w:spacing w:after="160" w:before="360" w:line="300"/>
      </w:pPr>
      <w:r>
        <w:rPr>
          <w:rFonts w:ascii="Times New Roman" w:cs="Times New Roman" w:eastAsia="Times New Roman" w:hAnsi="Times New Roman"/>
          <w:b/>
          <w:bCs/>
          <w:sz w:val="26"/>
          <w:szCs w:val="26"/>
        </w:rPr>
        <w:t xml:space="preserve">3.6 Modelos e treino</w:t>
      </w:r>
    </w:p>
    <w:p>
      <w:pPr>
        <w:pStyle w:val="Heading3"/>
        <w:keepNext/>
        <w:spacing w:after="100" w:before="200"/>
      </w:pPr>
      <w:r>
        <w:rPr>
          <w:rFonts w:ascii="Times New Roman" w:cs="Times New Roman" w:eastAsia="Times New Roman" w:hAnsi="Times New Roman"/>
          <w:b/>
          <w:bCs/>
          <w:sz w:val="26"/>
          <w:szCs w:val="26"/>
        </w:rPr>
        <w:t xml:space="preserve">3.6.1 Pré-processamento e representação</w:t>
      </w:r>
    </w:p>
    <w:p>
      <w:pPr>
        <w:spacing w:after="120" w:before="0" w:line="360"/>
        <w:ind w:firstLine="567"/>
        <w:jc w:val="both"/>
      </w:pPr>
      <w:r>
        <w:rPr>
          <w:rFonts w:ascii="Times New Roman" w:cs="Times New Roman" w:eastAsia="Times New Roman" w:hAnsi="Times New Roman"/>
          <w:sz w:val="24"/>
          <w:szCs w:val="24"/>
        </w:rPr>
        <w:t xml:space="preserve">O pré-processamento foi deliberadamente ligeiro. O BERTimbau recebe o texto original, com pontuação e capitalização, e usa o seu próprio tokenizador de subpalavras. O Bi-LSTM converte o texto em minúsculas, divide-o em palavras e aprende as suas representações durante o treino. Os modelos clássicos usam uma representação TF-IDF limitada aos 5.000 termos mais frequentes do treino.</w:t>
      </w:r>
    </w:p>
    <w:p>
      <w:pPr>
        <w:pStyle w:val="Heading3"/>
        <w:keepNext/>
        <w:spacing w:after="100" w:before="200"/>
      </w:pPr>
      <w:r>
        <w:rPr>
          <w:rFonts w:ascii="Times New Roman" w:cs="Times New Roman" w:eastAsia="Times New Roman" w:hAnsi="Times New Roman"/>
          <w:b/>
          <w:bCs/>
          <w:sz w:val="26"/>
          <w:szCs w:val="26"/>
        </w:rPr>
        <w:t xml:space="preserve">3.6.2 Configuração dos modelos</w:t>
      </w:r>
    </w:p>
    <w:p>
      <w:pPr>
        <w:spacing w:after="120" w:before="0" w:line="360"/>
        <w:ind w:firstLine="567"/>
        <w:jc w:val="both"/>
      </w:pPr>
      <w:r>
        <w:rPr>
          <w:rFonts w:ascii="Times New Roman" w:cs="Times New Roman" w:eastAsia="Times New Roman" w:hAnsi="Times New Roman"/>
          <w:sz w:val="24"/>
          <w:szCs w:val="24"/>
        </w:rPr>
        <w:t xml:space="preserve">Tratou-se o desequilíbrio entre classes de duas formas, consoante o tipo de modelo. Nos modelos clássicos, aplicou-se SMOTE (Chawla et al., 2002) ao espaço TF-IDF do conjunto de treino, gerando exemplos sintéticos das classes minoritárias; a validação e o teste mantêm a distribuição original. Nos modelos neuronais, em vez de criar exemplos, usaram-se pesos na função de perda inversamente proporcionais à frequência de cada classe. A Tabela 3.2 resume a configuração.</w:t>
      </w:r>
    </w:p>
    <w:p>
      <w:pPr>
        <w:pStyle w:val="LegendaTabela"/>
        <w:keepNext/>
        <w:spacing w:after="80" w:before="240" w:line="240"/>
        <w:jc w:val="center"/>
      </w:pPr>
      <w:r>
        <w:rPr>
          <w:rFonts w:ascii="Times New Roman" w:cs="Times New Roman" w:eastAsia="Times New Roman" w:hAnsi="Times New Roman"/>
          <w:b/>
          <w:bCs/>
          <w:sz w:val="20"/>
          <w:szCs w:val="20"/>
        </w:rPr>
        <w:t xml:space="preserve">Tabela 3.2 – Configuração dos modelos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6420"/>
      </w:tblGrid>
      <w:tr>
        <w:trPr>
          <w:cantSplit/>
          <w:tblHeader/>
        </w:trPr>
        <w:tc>
          <w:tcPr>
            <w:tcW w:type="dxa" w:w="1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Modelo</w:t>
            </w:r>
          </w:p>
        </w:tc>
        <w:tc>
          <w:tcPr>
            <w:tcW w:type="dxa" w:w="64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Configuração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SVM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TF-IDF (5.000 termos); SVM linear (LinearSVC); SMOTE no treino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Floresta Aleatória</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TF-IDF (5.000 termos); 300 árvores; SMOTE no treino</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w:t>
            </w:r>
          </w:p>
        </w:tc>
        <w:tc>
          <w:tcPr>
            <w:tcW w:type="dxa" w:w="64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i/>
                <w:iCs/>
                <w:sz w:val="19"/>
                <w:szCs w:val="19"/>
              </w:rPr>
              <w:t xml:space="preserve">Embeddings</w:t>
            </w:r>
            <w:r>
              <w:rPr>
                <w:rFonts w:ascii="Times New Roman" w:cs="Times New Roman" w:eastAsia="Times New Roman" w:hAnsi="Times New Roman"/>
                <w:b w:val="false"/>
                <w:bCs w:val="false"/>
                <w:sz w:val="19"/>
                <w:szCs w:val="19"/>
              </w:rPr>
              <w:t xml:space="preserve"> de dimensão 100 treinados de raiz; LSTM bidireccional com 128 unidades; até 128 palavras por texto; lote 32; taxa de aprendizagem 10</w:t>
            </w:r>
            <w:r>
              <w:rPr>
                <w:rFonts w:ascii="Times New Roman" w:cs="Times New Roman" w:eastAsia="Times New Roman" w:hAnsi="Times New Roman"/>
                <w:b w:val="false"/>
                <w:bCs w:val="false"/>
                <w:sz w:val="19"/>
                <w:szCs w:val="19"/>
                <w:vertAlign w:val="superscript"/>
              </w:rPr>
              <w:t xml:space="preserve">-3</w:t>
            </w:r>
            <w:r>
              <w:rPr>
                <w:rFonts w:ascii="Times New Roman" w:cs="Times New Roman" w:eastAsia="Times New Roman" w:hAnsi="Times New Roman"/>
                <w:b w:val="false"/>
                <w:bCs w:val="false"/>
                <w:sz w:val="19"/>
                <w:szCs w:val="19"/>
              </w:rPr>
              <w:t xml:space="preserve">; até 15 épocas com paragem antecipada (3 épocas sem melhoria do F1-macro de validação); entropia cruzada ponderada</w:t>
            </w:r>
          </w:p>
        </w:tc>
      </w:tr>
      <w:tr>
        <w:trPr>
          <w:cantSplit/>
          <w:tblHeader w:val="false"/>
        </w:trPr>
        <w:tc>
          <w:tcPr>
            <w:tcW w:type="dxa" w:w="1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w:t>
            </w:r>
          </w:p>
        </w:tc>
        <w:tc>
          <w:tcPr>
            <w:tcW w:type="dxa" w:w="64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neuralmind/bert-base-portuguese-cased com ajuste fino completo e cabeça de 4 saídas; até 256 subpalavras; lote 16; taxa de aprendizagem 2 × 10</w:t>
            </w:r>
            <w:r>
              <w:rPr>
                <w:rFonts w:ascii="Times New Roman" w:cs="Times New Roman" w:eastAsia="Times New Roman" w:hAnsi="Times New Roman"/>
                <w:b w:val="false"/>
                <w:bCs w:val="false"/>
                <w:sz w:val="19"/>
                <w:szCs w:val="19"/>
                <w:vertAlign w:val="superscript"/>
              </w:rPr>
              <w:t xml:space="preserve">-5</w:t>
            </w:r>
            <w:r>
              <w:rPr>
                <w:rFonts w:ascii="Times New Roman" w:cs="Times New Roman" w:eastAsia="Times New Roman" w:hAnsi="Times New Roman"/>
                <w:b w:val="false"/>
                <w:bCs w:val="false"/>
                <w:sz w:val="19"/>
                <w:szCs w:val="19"/>
              </w:rPr>
              <w:t xml:space="preserve">; 3 épocas, retendo a época com melhor F1-macro de validação; entropia cruzada ponderada</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Valores por omissão dos </w:t>
      </w:r>
      <w:r>
        <w:rPr>
          <w:rFonts w:ascii="Times New Roman" w:cs="Times New Roman" w:eastAsia="Times New Roman" w:hAnsi="Times New Roman"/>
          <w:i/>
          <w:iCs/>
          <w:sz w:val="18"/>
          <w:szCs w:val="18"/>
        </w:rPr>
        <w:t xml:space="preserve">scripts</w:t>
      </w:r>
      <w:r>
        <w:rPr>
          <w:rFonts w:ascii="Times New Roman" w:cs="Times New Roman" w:eastAsia="Times New Roman" w:hAnsi="Times New Roman"/>
          <w:sz w:val="18"/>
          <w:szCs w:val="18"/>
        </w:rPr>
        <w:t xml:space="preserve"> train_baseline.py, train_bilstm.py e train_bertimbau.py, usados sem alteração na corrida de referência. A semente aleatória é 42 em todos os modelos.</w:t>
      </w:r>
    </w:p>
    <w:p>
      <w:pPr>
        <w:spacing w:after="120" w:before="0" w:line="360"/>
        <w:ind w:firstLine="567"/>
        <w:jc w:val="both"/>
      </w:pPr>
      <w:r>
        <w:rPr>
          <w:rFonts w:ascii="Times New Roman" w:cs="Times New Roman" w:eastAsia="Times New Roman" w:hAnsi="Times New Roman"/>
          <w:sz w:val="24"/>
          <w:szCs w:val="24"/>
        </w:rPr>
        <w:t xml:space="preserve">Treinou-se o BERTimbau três vezes, com as sementes 42, 43 e 44, para medir a variabilidade devida à inicialização. A execução com a semente 42 ficou definida, antes das restantes, como configuração de referência. Testaram-se ainda três variantes: a média das probabilidades das três sementes (</w:t>
      </w:r>
      <w:r>
        <w:rPr>
          <w:rFonts w:ascii="Times New Roman" w:cs="Times New Roman" w:eastAsia="Times New Roman" w:hAnsi="Times New Roman"/>
          <w:i/>
          <w:iCs/>
          <w:sz w:val="24"/>
          <w:szCs w:val="24"/>
        </w:rPr>
        <w:t xml:space="preserve">ensemble</w:t>
      </w:r>
      <w:r>
        <w:rPr>
          <w:rFonts w:ascii="Times New Roman" w:cs="Times New Roman" w:eastAsia="Times New Roman" w:hAnsi="Times New Roman"/>
          <w:sz w:val="24"/>
          <w:szCs w:val="24"/>
        </w:rPr>
        <w:t xml:space="preserve">), o treino sem o lote temático de vídeos (ablação) e pesos de classe suavizados (expoente 0,5 sobre o inverso da frequência). Os modelos de referência foram também treinados com as sementes 43 e 44, num caderno que reconstrói a divisão e confirma, pela impressão digital das etiquetas, que o conjunto de teste é o mesmo.</w:t>
      </w:r>
    </w:p>
    <w:p>
      <w:pPr>
        <w:pStyle w:val="Heading3"/>
        <w:keepNext/>
        <w:spacing w:after="100" w:before="200"/>
      </w:pPr>
      <w:r>
        <w:rPr>
          <w:rFonts w:ascii="Times New Roman" w:cs="Times New Roman" w:eastAsia="Times New Roman" w:hAnsi="Times New Roman"/>
          <w:b/>
          <w:bCs/>
          <w:sz w:val="26"/>
          <w:szCs w:val="26"/>
        </w:rPr>
        <w:t xml:space="preserve">3.6.3 Ambiente de desenvolvimento</w:t>
      </w:r>
    </w:p>
    <w:p>
      <w:pPr>
        <w:spacing w:after="120" w:before="0" w:line="360"/>
        <w:ind w:firstLine="567"/>
        <w:jc w:val="both"/>
      </w:pPr>
      <w:r>
        <w:rPr>
          <w:rFonts w:ascii="Times New Roman" w:cs="Times New Roman" w:eastAsia="Times New Roman" w:hAnsi="Times New Roman"/>
          <w:sz w:val="24"/>
          <w:szCs w:val="24"/>
        </w:rPr>
        <w:t xml:space="preserve">A Tabela 3.3 resume as ferramentas usadas em cada fase do trabalho.</w:t>
      </w:r>
    </w:p>
    <w:p>
      <w:pPr>
        <w:pStyle w:val="LegendaTabela"/>
        <w:keepNext/>
        <w:spacing w:after="80" w:before="240" w:line="240"/>
        <w:jc w:val="center"/>
      </w:pPr>
      <w:r>
        <w:rPr>
          <w:rFonts w:ascii="Times New Roman" w:cs="Times New Roman" w:eastAsia="Times New Roman" w:hAnsi="Times New Roman"/>
          <w:b/>
          <w:bCs/>
          <w:sz w:val="20"/>
          <w:szCs w:val="20"/>
        </w:rPr>
        <w:t xml:space="preserve">Tabela 3.3 – Ambiente de desenvolvimento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200"/>
        <w:gridCol w:w="5020"/>
      </w:tblGrid>
      <w:tr>
        <w:trPr>
          <w:cantSplit/>
          <w:tblHeader/>
        </w:trPr>
        <w:tc>
          <w:tcPr>
            <w:tcW w:type="dxa" w:w="32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Componente</w:t>
            </w:r>
          </w:p>
        </w:tc>
        <w:tc>
          <w:tcPr>
            <w:tcW w:type="dxa" w:w="50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Especificação</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Sistema operativo (desenvolvimento)</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Windows 11, 64 bits</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Linguagem</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Python 3.11</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Treino dos modelos profundos</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Google Colab com GPU NVIDIA T4 (16 GB)</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Aprendizagem automática</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PyTorch, Hugging Face Transformers, scikit-learn</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Recolha de dados</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YouTube Data API v3; leitura de páginas web e feeds RSS públicos (biblioteca padrão do Python, com respeito pelo robots.txt); recolha manual</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Sistema</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FastAPI, Jinja2 e Uvicorn (aplicação web sem dependências de compilação)</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Armazenamento</w:t>
            </w:r>
          </w:p>
        </w:tc>
        <w:tc>
          <w:tcPr>
            <w:tcW w:type="dxa" w:w="5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SQLite 3 (base de dados num único ficheiro, com transacções e chaves estrangeiras)</w:t>
            </w:r>
          </w:p>
        </w:tc>
      </w:tr>
      <w:tr>
        <w:trPr>
          <w:cantSplit/>
          <w:tblHeader w:val="false"/>
        </w:trPr>
        <w:tc>
          <w:tcPr>
            <w:tcW w:type="dxa" w:w="32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Controlo de versões</w:t>
            </w:r>
          </w:p>
        </w:tc>
        <w:tc>
          <w:tcPr>
            <w:tcW w:type="dxa" w:w="50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Git e GitHub (repositório dissertacao-uan-angola)</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As versões exactas das bibliotecas do sistema constam do ficheiro requirements.txt do protótipo.</w:t>
      </w:r>
    </w:p>
    <w:p>
      <w:pPr>
        <w:pStyle w:val="Heading2"/>
        <w:keepNext/>
        <w:keepLines/>
        <w:spacing w:after="160" w:before="360" w:line="300"/>
      </w:pPr>
      <w:r>
        <w:rPr>
          <w:rFonts w:ascii="Times New Roman" w:cs="Times New Roman" w:eastAsia="Times New Roman" w:hAnsi="Times New Roman"/>
          <w:b/>
          <w:bCs/>
          <w:sz w:val="26"/>
          <w:szCs w:val="26"/>
        </w:rPr>
        <w:t xml:space="preserve">3.7 Protocolo de avaliação</w:t>
      </w:r>
    </w:p>
    <w:p>
      <w:pPr>
        <w:spacing w:after="120" w:before="0" w:line="360"/>
        <w:ind w:firstLine="567"/>
        <w:jc w:val="both"/>
      </w:pPr>
      <w:r>
        <w:rPr>
          <w:rFonts w:ascii="Times New Roman" w:cs="Times New Roman" w:eastAsia="Times New Roman" w:hAnsi="Times New Roman"/>
          <w:sz w:val="24"/>
          <w:szCs w:val="24"/>
        </w:rPr>
        <w:t xml:space="preserve">Definiu-se a avaliação antes de se conhecerem os resultados de teste, segundo as regras seguintes.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Métrica principal:</w:t>
      </w:r>
      <w:r>
        <w:rPr>
          <w:rFonts w:ascii="Times New Roman" w:cs="Times New Roman" w:eastAsia="Times New Roman" w:hAnsi="Times New Roman"/>
          <w:sz w:val="24"/>
          <w:szCs w:val="24"/>
        </w:rPr>
        <w:t xml:space="preserve"> F1-macro no conjunto de teste, com IC 95%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não paramétrico (2.000 reamostragens).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Métricas complementares:</w:t>
      </w:r>
      <w:r>
        <w:rPr>
          <w:rFonts w:ascii="Times New Roman" w:cs="Times New Roman" w:eastAsia="Times New Roman" w:hAnsi="Times New Roman"/>
          <w:sz w:val="24"/>
          <w:szCs w:val="24"/>
        </w:rPr>
        <w:t xml:space="preserve"> F1 ponderado, exactidão, Kappa de Cohen entre previsões e referência, AUC-ROC média das quatro curvas um-contra-todos, e precisão, sensibilidade e F1 por categoria.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Comparação de modelos (H1):</w:t>
      </w:r>
      <w:r>
        <w:rPr>
          <w:rFonts w:ascii="Times New Roman" w:cs="Times New Roman" w:eastAsia="Times New Roman" w:hAnsi="Times New Roman"/>
          <w:sz w:val="24"/>
          <w:szCs w:val="24"/>
        </w:rPr>
        <w:t xml:space="preserve"> teste de McNemar com correcção de continuidade para cada um dos seis pares de modelos, com correcção de Bonferroni (α = 0,05/6 ≈ 0,0083), e IC 95% da diferença de F1-macro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emparelhado.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Selecção de variantes:</w:t>
      </w:r>
      <w:r>
        <w:rPr>
          <w:rFonts w:ascii="Times New Roman" w:cs="Times New Roman" w:eastAsia="Times New Roman" w:hAnsi="Times New Roman"/>
          <w:sz w:val="24"/>
          <w:szCs w:val="24"/>
        </w:rPr>
        <w:t xml:space="preserve"> feita no conjunto de validação. Uma variante só substitui a referência se se distinguir dela; caso contrário, mantém-se a referência. Os resultados de teste são reportados para todas as variantes, sem selecção pelo teste.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Ajuste de limiares:</w:t>
      </w:r>
      <w:r>
        <w:rPr>
          <w:rFonts w:ascii="Times New Roman" w:cs="Times New Roman" w:eastAsia="Times New Roman" w:hAnsi="Times New Roman"/>
          <w:sz w:val="24"/>
          <w:szCs w:val="24"/>
        </w:rPr>
        <w:t xml:space="preserve"> vieses por classe escolhidos na validação, com o ganho esperado estimado por validação cruzada dentro da validação; o resultado principal é sempre reportado sem ajuste.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Lacuna de domínio (H4):</w:t>
      </w:r>
      <w:r>
        <w:rPr>
          <w:rFonts w:ascii="Times New Roman" w:cs="Times New Roman" w:eastAsia="Times New Roman" w:hAnsi="Times New Roman"/>
          <w:sz w:val="24"/>
          <w:szCs w:val="24"/>
        </w:rPr>
        <w:t xml:space="preserve"> o teste é dividido em subconjunto do piloto angolano e subconjunto dos corpora públicos; compara-se o F1-macro (com IC 95%) e o Kappa do modelo seleccionado em cada um, e repete-se a comparação nas três categorias comuns para controlar a ausência de Mobilização Hostil no corpus público.</w:t>
      </w:r>
    </w:p>
    <w:p>
      <w:pPr>
        <w:spacing w:after="120" w:before="0" w:line="360"/>
        <w:ind w:firstLine="567"/>
        <w:jc w:val="both"/>
      </w:pPr>
      <w:r>
        <w:rPr>
          <w:rFonts w:ascii="Times New Roman" w:cs="Times New Roman" w:eastAsia="Times New Roman" w:hAnsi="Times New Roman"/>
          <w:sz w:val="24"/>
          <w:szCs w:val="24"/>
        </w:rPr>
        <w:t xml:space="preserve">O protocolo das hipóteses H2 e H3, que dependem do sistema, é descrito na Secção 3.9.</w:t>
      </w:r>
    </w:p>
    <w:p>
      <w:pPr>
        <w:pStyle w:val="Heading2"/>
        <w:keepNext/>
        <w:keepLines/>
        <w:spacing w:after="160" w:before="360" w:line="300"/>
      </w:pPr>
      <w:r>
        <w:rPr>
          <w:rFonts w:ascii="Times New Roman" w:cs="Times New Roman" w:eastAsia="Times New Roman" w:hAnsi="Times New Roman"/>
          <w:b/>
          <w:bCs/>
          <w:sz w:val="26"/>
          <w:szCs w:val="26"/>
        </w:rPr>
        <w:t xml:space="preserve">3.8 Arquitectura do sistema</w:t>
      </w:r>
    </w:p>
    <w:p>
      <w:pPr>
        <w:pStyle w:val="Heading3"/>
        <w:keepNext/>
        <w:spacing w:after="100" w:before="200"/>
      </w:pPr>
      <w:r>
        <w:rPr>
          <w:rFonts w:ascii="Times New Roman" w:cs="Times New Roman" w:eastAsia="Times New Roman" w:hAnsi="Times New Roman"/>
          <w:b/>
          <w:bCs/>
          <w:sz w:val="26"/>
          <w:szCs w:val="26"/>
        </w:rPr>
        <w:t xml:space="preserve">3.8.1 Requisitos</w:t>
      </w:r>
    </w:p>
    <w:p>
      <w:pPr>
        <w:spacing w:after="120" w:before="0" w:line="360"/>
        <w:ind w:firstLine="567"/>
        <w:jc w:val="both"/>
      </w:pPr>
      <w:r>
        <w:rPr>
          <w:rFonts w:ascii="Times New Roman" w:cs="Times New Roman" w:eastAsia="Times New Roman" w:hAnsi="Times New Roman"/>
          <w:sz w:val="24"/>
          <w:szCs w:val="24"/>
        </w:rPr>
        <w:t xml:space="preserve">Desenhou-se a arquitectura depois de conhecidos os resultados do Capítulo 4. Um classificador com F1-macro de cerca de 0,80 no teste global, de cerca de 0,53 em conteúdo angolano e com precisão de cerca de 0,51 na Mobilização Hostil não deve tomar decisões, mas pode ajudar a ordenar o trabalho de quem decide. É desta constatação que partem os requisitos da Tabela 3.4.</w:t>
      </w:r>
    </w:p>
    <w:p>
      <w:pPr>
        <w:pStyle w:val="LegendaTabela"/>
        <w:keepNext/>
        <w:spacing w:after="80" w:before="240" w:line="240"/>
        <w:jc w:val="center"/>
      </w:pPr>
      <w:r>
        <w:rPr>
          <w:rFonts w:ascii="Times New Roman" w:cs="Times New Roman" w:eastAsia="Times New Roman" w:hAnsi="Times New Roman"/>
          <w:b/>
          <w:bCs/>
          <w:sz w:val="20"/>
          <w:szCs w:val="20"/>
        </w:rPr>
        <w:t xml:space="preserve">Tabela 3.4 – Requisitos do sistema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100"/>
        <w:gridCol w:w="7120"/>
      </w:tblGrid>
      <w:tr>
        <w:trPr>
          <w:cantSplit/>
          <w:tblHeader/>
        </w:trPr>
        <w:tc>
          <w:tcPr>
            <w:tcW w:type="dxa" w:w="1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Código</w:t>
            </w:r>
          </w:p>
        </w:tc>
        <w:tc>
          <w:tcPr>
            <w:tcW w:type="dxa" w:w="71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Requisito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Recolher publicações de fontes públicas registadas: comentários do YouTube pela interface oficial e artigos de sítios de notícias e feeds RSS que não exigem conta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RF2</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Importar lotes de ficheiros de outras vias, registando a proveniência de cada lote</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RF3</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Anonimizar autores e identificadores directos antes de gravar</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RF4</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Guardar lotes, publicações, classificações, revisões e auditoria numa base de dados relacional</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RF5</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Classificar as publicações em lote com o modelo seleccionado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RF6</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Apresentar uma fila de revisão ordenada por prioridade</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RF7</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Registar a decisão do analista e exportá-la para novo treino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RF8</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Calcular métricas operacionais: precisão nos primeiros K, κ analista–sistema e entre analistas, sensibilidade estimada, latência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RF9</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Controlar o acesso por contas individuais com dois papéis (analista e supervisor)</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RF10</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Permitir a avaliação independente por vários analistas, com revisão cega e amostra de controlo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RF11</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Gerar alertas a partir de ameaças confirmadas por analistas e de tendências de crescimento, na aplicação e por e-mail</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RF12</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Mostrar num mapa, por província, a concentração e a evolução das ameaças no período escolhido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RF13</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Produzir o relatório de alertas de ameaças de um período, para impressão, exportação e envio por e-mail</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RF14</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Mostrar a ficha do modelo em uso: desempenho global, por categoria e em conteúdo angolano, limitações e acordo observado com os analistas</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RF15</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Oferecer um modo de demonstração com dados fictícios, numa base de dados separada da real, e permitir passar de um modo para o outro sem fechar o sistema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RF16</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Percorrer periodicamente as fontes activas, recolhendo apenas publicações novas, com estimativa do consumo da quota do YouTube</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RF17</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Permitir recuperar o acesso a uma conta sem serviços externos: código pessoal de uso único, pedido ao supervisor com palavra-passe temporária e reposição local pelo administrador</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RNF1</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Funcionar num único servidor, com software livre e sem serviços externos obrigatórios</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RNF2</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Conformidade com a Lei n.º 22/11: minimização, pseudonimização, conservação limitada, auditoria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RNF3</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Substituir o modelo sem alterar o resto do sistema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RNF4</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Código modular, testado e documentado, para replicação e manutenção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RNF5</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Recolher apenas conteúdo público, sem contornar protecções técnicas nem condições de acesso dos sítios</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RNF6</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Interface utilizável sem acesso à Internet, sem bibliotecas nem recursos externos, operável por teclado e legível em ecrãs estreitos e em papel</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RNF7</w:t>
            </w:r>
          </w:p>
        </w:tc>
        <w:tc>
          <w:tcPr>
            <w:tcW w:type="dxa" w:w="7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Proteger contas e sessões segundo práticas reconhecidas: palavras-passe derivadas com sal, bloqueio após tentativas falhadas, sessões no servidor que terminam quando a janela é fechada, protecção contra pedidos forjados e nunca mostrar segredos em mensagens de erro</w:t>
            </w:r>
          </w:p>
        </w:tc>
      </w:tr>
      <w:tr>
        <w:trPr>
          <w:cantSplit/>
          <w:tblHeader w:val="false"/>
        </w:trPr>
        <w:tc>
          <w:tcPr>
            <w:tcW w:type="dxa" w:w="1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RNF8</w:t>
            </w:r>
          </w:p>
        </w:tc>
        <w:tc>
          <w:tcPr>
            <w:tcW w:type="dxa" w:w="71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Permitir a cada utilizador ajustar o aspecto da interface (tema, cores, tamanho da letra e densidade) sem afectar os outros</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RF: requisito funcional; RNF: requisito não funcional.</w:t>
      </w:r>
    </w:p>
    <w:p>
      <w:pPr>
        <w:pStyle w:val="Heading3"/>
        <w:keepNext/>
        <w:spacing w:after="100" w:before="200"/>
      </w:pPr>
      <w:r>
        <w:rPr>
          <w:rFonts w:ascii="Times New Roman" w:cs="Times New Roman" w:eastAsia="Times New Roman" w:hAnsi="Times New Roman"/>
          <w:b/>
          <w:bCs/>
          <w:sz w:val="26"/>
          <w:szCs w:val="26"/>
        </w:rPr>
        <w:t xml:space="preserve">3.8.2 Alternativas e decisão</w:t>
      </w:r>
    </w:p>
    <w:p>
      <w:pPr>
        <w:spacing w:after="120" w:before="0" w:line="360"/>
        <w:ind w:firstLine="567"/>
        <w:jc w:val="both"/>
      </w:pPr>
      <w:r>
        <w:rPr>
          <w:rFonts w:ascii="Times New Roman" w:cs="Times New Roman" w:eastAsia="Times New Roman" w:hAnsi="Times New Roman"/>
          <w:sz w:val="24"/>
          <w:szCs w:val="24"/>
        </w:rPr>
        <w:t xml:space="preserve">Consideraram-se duas arquitecturas. A primeira, de processamento distribuído em fluxo contínuo, combinaria recolha massiva por automatização de navegadores, uma fila de mensagens (Kafka), processamento distribuído (Spark), uma base de dados documental na nuvem e um painel comercial de inteligência empresarial. A segunda, adoptada, é uma arquitectura em camadas, leve, que corre num único servidor e cresce por substituição de componentes. A Tabela 3.5 compara as duas.</w:t>
      </w:r>
    </w:p>
    <w:p>
      <w:pPr>
        <w:pStyle w:val="LegendaTabela"/>
        <w:keepNext/>
        <w:spacing w:after="80" w:before="240" w:line="240"/>
        <w:jc w:val="center"/>
      </w:pPr>
      <w:r>
        <w:rPr>
          <w:rFonts w:ascii="Times New Roman" w:cs="Times New Roman" w:eastAsia="Times New Roman" w:hAnsi="Times New Roman"/>
          <w:b/>
          <w:bCs/>
          <w:sz w:val="20"/>
          <w:szCs w:val="20"/>
        </w:rPr>
        <w:t xml:space="preserve">Tabela 3.5 – Comparação das arquitecturas consideradas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3100"/>
        <w:gridCol w:w="3320"/>
      </w:tblGrid>
      <w:tr>
        <w:trPr>
          <w:cantSplit/>
          <w:tblHeader/>
        </w:trPr>
        <w:tc>
          <w:tcPr>
            <w:tcW w:type="dxa" w:w="1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Critério</w:t>
            </w:r>
          </w:p>
        </w:tc>
        <w:tc>
          <w:tcPr>
            <w:tcW w:type="dxa" w:w="3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Distribuída em fluxo contínuo</w:t>
            </w:r>
          </w:p>
        </w:tc>
        <w:tc>
          <w:tcPr>
            <w:tcW w:type="dxa" w:w="33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Em camadas, leve (adoptada)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Volume suportado</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Muito elevado</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Adequado ao volume de recolha pela via oficial; escalável por substituição de componentes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Infra-estrutura</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Vários serviços em cluster; operação especializada</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Um servidor; Python, SQLite (ou PostgreSQL)</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Custo e dependências</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Licenças e/ou serviços em nuvem</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Apenas software livre</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Soberania dos dados</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Depende do fornecedor de nuvem</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Dados em infra-estrutura própria</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Vias de recolha</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Tendência para automatizar páginas que exigem contornar protecções</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Interfaces oficiais, sítios públicos sem conta (respeitando o robots.txt), recolha manual e exportações</w:t>
            </w:r>
          </w:p>
        </w:tc>
      </w:tr>
      <w:tr>
        <w:trPr>
          <w:cantSplit/>
          <w:tblHeader w:val="false"/>
        </w:trPr>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Adequação ao modelo</w:t>
            </w:r>
          </w:p>
        </w:tc>
        <w:tc>
          <w:tcPr>
            <w:tcW w:type="dxa" w:w="3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Pressupõe decisões em tempo real</w:t>
            </w:r>
          </w:p>
        </w:tc>
        <w:tc>
          <w:tcPr>
            <w:tcW w:type="dxa" w:w="3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Pensada para triagem com revisão humana</w:t>
            </w:r>
          </w:p>
        </w:tc>
      </w:tr>
      <w:tr>
        <w:trPr>
          <w:cantSplit/>
          <w:tblHeader w:val="false"/>
        </w:trPr>
        <w:tc>
          <w:tcPr>
            <w:tcW w:type="dxa" w:w="1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Reprodutibilidade</w:t>
            </w:r>
          </w:p>
        </w:tc>
        <w:tc>
          <w:tcPr>
            <w:tcW w:type="dxa" w:w="3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Difícil fora do ambiente original</w:t>
            </w:r>
          </w:p>
        </w:tc>
        <w:tc>
          <w:tcPr>
            <w:tcW w:type="dxa" w:w="33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Instalação com um ficheiro de dependências; testes automáticos</w:t>
            </w:r>
          </w:p>
        </w:tc>
      </w:tr>
    </w:tbl>
    <w:p>
      <w:pPr>
        <w:spacing w:after="240" w:before="60" w:line="240"/>
        <w:jc w:val="both"/>
      </w:pPr>
    </w:p>
    <w:p>
      <w:pPr>
        <w:spacing w:after="120" w:before="0" w:line="360"/>
        <w:ind w:firstLine="567"/>
        <w:jc w:val="both"/>
      </w:pPr>
      <w:r>
        <w:rPr>
          <w:rFonts w:ascii="Times New Roman" w:cs="Times New Roman" w:eastAsia="Times New Roman" w:hAnsi="Times New Roman"/>
          <w:sz w:val="24"/>
          <w:szCs w:val="24"/>
        </w:rPr>
        <w:t xml:space="preserve">A arquitectura distribuída faria sentido se o problema fosse o volume de dados. Aqui, o que limita o sistema é a capacidade humana de rever o que o modelo sinaliza e a fiabilidade do modelo em conteúdo angolano: processar milhões de publicações por hora produziria alertas que ninguém conseguiria rever. Com a arquitectura leve, o esforço vai para a qualidade da fila, para a protecção dos dados e para a facilidade de trocar o modelo; se o volume crescer, a base de dados pode passar para PostgreSQL e a inferência pode ser replicada, sem alterar o desenho.</w:t>
      </w:r>
    </w:p>
    <w:p>
      <w:pPr>
        <w:pStyle w:val="Heading3"/>
        <w:keepNext/>
        <w:spacing w:after="100" w:before="200"/>
      </w:pPr>
      <w:r>
        <w:rPr>
          <w:rFonts w:ascii="Times New Roman" w:cs="Times New Roman" w:eastAsia="Times New Roman" w:hAnsi="Times New Roman"/>
          <w:b/>
          <w:bCs/>
          <w:sz w:val="26"/>
          <w:szCs w:val="26"/>
        </w:rPr>
        <w:t xml:space="preserve">3.8.3 Camadas e componentes</w:t>
      </w:r>
    </w:p>
    <w:p>
      <w:pPr>
        <w:spacing w:after="120" w:before="0" w:line="360"/>
        <w:ind w:firstLine="567"/>
        <w:jc w:val="both"/>
      </w:pPr>
      <w:r>
        <w:rPr>
          <w:rFonts w:ascii="Times New Roman" w:cs="Times New Roman" w:eastAsia="Times New Roman" w:hAnsi="Times New Roman"/>
          <w:sz w:val="24"/>
          <w:szCs w:val="24"/>
        </w:rPr>
        <w:t xml:space="preserve">A Figura 3.3 apresenta a arquitectura adoptada, organizada em seis camadas.</w:t>
      </w:r>
    </w:p>
    <w:p>
      <w:pPr>
        <w:keepNext/>
        <w:spacing w:after="40" w:before="160"/>
        <w:jc w:val="center"/>
      </w:pPr>
      <w:r>
        <w:drawing>
          <wp:inline distT="0" distB="0" distL="0" distR="0">
            <wp:extent cx="4495800" cy="3533775"/>
            <wp:effectExtent t="0" r="0" b="0" l="0"/>
            <wp:docPr id="1" name="fig3_3_arquitectura.png" descr="fig3_3_arquitectura.png" title="fig3_3_arquitectu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495800" cy="353377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3.3 – Arquitectura em camadas do sistema de triagem</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Fontes públicas.</w:t>
      </w:r>
      <w:r>
        <w:rPr>
          <w:rFonts w:ascii="Times New Roman" w:cs="Times New Roman" w:eastAsia="Times New Roman" w:hAnsi="Times New Roman"/>
          <w:sz w:val="24"/>
          <w:szCs w:val="24"/>
        </w:rPr>
        <w:t xml:space="preserve"> O sistema recolhe ele próprio do YouTube, pela interface oficial (comentários de vídeos e dos vídeos recentes de canais, listas e pesquisas). Recolhe também de sítios de acesso livre que não exigem conta, como os portais dos órgãos de comunicação angolanos (feeds RSS, artigos e páginas de secção, a partir das quais segue ligações do mesmo sítio). O conteúdo público de redes que exigem conta, como o Facebook, entra por importação de ficheiros. Cada fonte e cada via ficam registadas com o lote.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Recolha.</w:t>
      </w:r>
      <w:r>
        <w:rPr>
          <w:rFonts w:ascii="Times New Roman" w:cs="Times New Roman" w:eastAsia="Times New Roman" w:hAnsi="Times New Roman"/>
          <w:sz w:val="24"/>
          <w:szCs w:val="24"/>
        </w:rPr>
        <w:t xml:space="preserve"> O supervisor regista as fontes na aplicação, várias de cada vez se quiser, e o sistema detecta o tipo de cada endereço (vídeo, canal, lista ou pesquisa do YouTube, feed, página ou sítio). A recolha corre a pedido, por tarefa agendada do sistema operativo ou de forma periódica pelo próprio servidor (Secção 3.8.6). O módulo de recolha respeita o robots.txt, identifica-se como ferramenta de investigação, espera entre pedidos ao mesmo sítio e ignora páginas que pedem palavra-passe; não há rotação de endereços IP, identidades falsas nem resolução de </w:t>
      </w:r>
      <w:r>
        <w:rPr>
          <w:rFonts w:ascii="Times New Roman" w:cs="Times New Roman" w:eastAsia="Times New Roman" w:hAnsi="Times New Roman"/>
          <w:i/>
          <w:iCs/>
          <w:sz w:val="24"/>
          <w:szCs w:val="24"/>
        </w:rPr>
        <w:t xml:space="preserve">captchas</w:t>
      </w:r>
      <w:r>
        <w:rPr>
          <w:rFonts w:ascii="Times New Roman" w:cs="Times New Roman" w:eastAsia="Times New Roman" w:hAnsi="Times New Roman"/>
          <w:sz w:val="24"/>
          <w:szCs w:val="24"/>
        </w:rPr>
        <w:t xml:space="preserve">. De cada artigo guarda-se o título, a data e os primeiros parágrafos. Cada recolha cria um lote.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Ingestão.</w:t>
      </w:r>
      <w:r>
        <w:rPr>
          <w:rFonts w:ascii="Times New Roman" w:cs="Times New Roman" w:eastAsia="Times New Roman" w:hAnsi="Times New Roman"/>
          <w:sz w:val="24"/>
          <w:szCs w:val="24"/>
        </w:rPr>
        <w:t xml:space="preserve"> Os registos recolhidos e os ficheiros importados passam pelo mesmo módulo. Este lê ficheiros CSV ou JSON, reconhece os nomes de colunas habituais dos </w:t>
      </w:r>
      <w:r>
        <w:rPr>
          <w:rFonts w:ascii="Times New Roman" w:cs="Times New Roman" w:eastAsia="Times New Roman" w:hAnsi="Times New Roman"/>
          <w:i/>
          <w:iCs/>
          <w:sz w:val="24"/>
          <w:szCs w:val="24"/>
        </w:rPr>
        <w:t xml:space="preserve">scripts</w:t>
      </w:r>
      <w:r>
        <w:rPr>
          <w:rFonts w:ascii="Times New Roman" w:cs="Times New Roman" w:eastAsia="Times New Roman" w:hAnsi="Times New Roman"/>
          <w:sz w:val="24"/>
          <w:szCs w:val="24"/>
        </w:rPr>
        <w:t xml:space="preserve"> de recolha, mascara identificadores no texto e substitui o autor por um pseudónimo HMAC-SHA-256 (código de autenticação de mensagens baseado em </w:t>
      </w:r>
      <w:r>
        <w:rPr>
          <w:rFonts w:ascii="Times New Roman" w:cs="Times New Roman" w:eastAsia="Times New Roman" w:hAnsi="Times New Roman"/>
          <w:i/>
          <w:iCs/>
          <w:sz w:val="24"/>
          <w:szCs w:val="24"/>
        </w:rPr>
        <w:t xml:space="preserve">hash</w:t>
      </w:r>
      <w:r>
        <w:rPr>
          <w:rFonts w:ascii="Times New Roman" w:cs="Times New Roman" w:eastAsia="Times New Roman" w:hAnsi="Times New Roman"/>
          <w:sz w:val="24"/>
          <w:szCs w:val="24"/>
        </w:rPr>
        <w:t xml:space="preserve">) com um segredo guardado fora do código. Sem esse segredo, o </w:t>
      </w:r>
      <w:r>
        <w:rPr>
          <w:rFonts w:ascii="Times New Roman" w:cs="Times New Roman" w:eastAsia="Times New Roman" w:hAnsi="Times New Roman"/>
          <w:i/>
          <w:iCs/>
          <w:sz w:val="24"/>
          <w:szCs w:val="24"/>
        </w:rPr>
        <w:t xml:space="preserve">hash</w:t>
      </w:r>
      <w:r>
        <w:rPr>
          <w:rFonts w:ascii="Times New Roman" w:cs="Times New Roman" w:eastAsia="Times New Roman" w:hAnsi="Times New Roman"/>
          <w:sz w:val="24"/>
          <w:szCs w:val="24"/>
        </w:rPr>
        <w:t xml:space="preserve"> de um nome de utilizador poderia ser revertido por dicionário. O ficheiro original não é guardado.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Dados.</w:t>
      </w:r>
      <w:r>
        <w:rPr>
          <w:rFonts w:ascii="Times New Roman" w:cs="Times New Roman" w:eastAsia="Times New Roman" w:hAnsi="Times New Roman"/>
          <w:sz w:val="24"/>
          <w:szCs w:val="24"/>
        </w:rPr>
        <w:t xml:space="preserve"> O armazenamento usa SQLite, um motor de base de dados relacional que guarda tudo num único ficheiro (por omissão, dados\sistema.db), não precisa de servidor próprio e suporta transacções e chaves estrangeiras. A base de dados guarda as fontes de recolha, os lotes, as publicações, as classificações, as revisões (uma por analista e publicação), a amostra de controlo, os utilizadores e as sessões, as definições e o registo de auditoria (Figura 3.4). Duas tabelas servem os alertas: uma liga cada publicação às províncias que menciona e outra guarda os alertas e quem já os viu. O modo de diário WAL permite que a classificação em segundo plano grave enquanto os analistas consultam a fila. A cópia de segurança é feita em linha, sem parar o serviço.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Inferência.</w:t>
      </w:r>
      <w:r>
        <w:rPr>
          <w:rFonts w:ascii="Times New Roman" w:cs="Times New Roman" w:eastAsia="Times New Roman" w:hAnsi="Times New Roman"/>
          <w:sz w:val="24"/>
          <w:szCs w:val="24"/>
        </w:rPr>
        <w:t xml:space="preserve"> O serviço carrega o BERTimbau afinado uma única vez e classifica as publicações pendentes em segundo plano, gravando os resultados por sublotes de 32, para que as primeiras publicações cheguem à fila sem esperar pelo lote inteiro. A prioridade de cada publicação é a probabilidade de não ser Normal, 1 − P(Normal). Como a fila mostra por omissão apenas os itens cuja categoria mais provável não é Normal, esta ordenação só actua sobre esses itens; os restantes só chegam ao analista pela amostra de controlo (Secção 4.7.2).</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Apresentação.</w:t>
      </w:r>
      <w:r>
        <w:rPr>
          <w:rFonts w:ascii="Times New Roman" w:cs="Times New Roman" w:eastAsia="Times New Roman" w:hAnsi="Times New Roman"/>
          <w:sz w:val="24"/>
          <w:szCs w:val="24"/>
        </w:rPr>
        <w:t xml:space="preserve"> Uma aplicação web, acedida pelo navegador, mostra a fila de revisão, a amostra de controlo, o panorama agregado, os alertas, o mapa por província, o relatório de alertas, a ficha do modelo e os lotes e, para o supervisor, as métricas, as contas e a auditoria. As métricas podem ser exportadas para relatórios, incluindo ferramentas como o Power BI, sem que estas tenham acesso aos textos.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Alertas e relatório.</w:t>
      </w:r>
      <w:r>
        <w:rPr>
          <w:rFonts w:ascii="Times New Roman" w:cs="Times New Roman" w:eastAsia="Times New Roman" w:hAnsi="Times New Roman"/>
          <w:sz w:val="24"/>
          <w:szCs w:val="24"/>
        </w:rPr>
        <w:t xml:space="preserve"> Os alertas nascem apenas de decisões humanas. Um alerta de ameaça confirmada surge quando o número de analistas definido pelo supervisor (um, por omissão) escolhe uma categoria de ameaça e há mais decisões de ameaça do que de Normal. Um alerta de tendência surge quando as ameaças confirmadas numa província, ou no país, chegam a um mínimo de casos numa janela (cinco em sete dias, por omissão), crescem pelo menos 50% face à janela anterior e ganham peso no total de publicações recolhidas. Esta última condição impede que um simples aumento da recolha pareça um aumento de ameaça. Os alertas aparecem na aplicação e são enviados por e-mail aos destinatários definidos pelo supervisor, sem o texto da publicação nem o pseudónimo do autor, apenas com a categoria, a província, a data e a ligação para o sistema. Nunca são enviados automaticamente a terceiros. O relatório de alertas de ameaças de um período pode ser impresso, guardado em PDF, exportado em CSV ou enviado por e-mail.</w:t>
      </w:r>
    </w:p>
    <w:p>
      <w:pPr>
        <w:spacing w:after="120" w:before="0" w:line="360"/>
        <w:ind w:firstLine="567"/>
        <w:jc w:val="both"/>
      </w:pPr>
      <w:r>
        <w:rPr>
          <w:rFonts w:ascii="Times New Roman" w:cs="Times New Roman" w:eastAsia="Times New Roman" w:hAnsi="Times New Roman"/>
          <w:sz w:val="24"/>
          <w:szCs w:val="24"/>
        </w:rPr>
        <w:t xml:space="preserve">A localização usada nos alertas e no mapa é o lugar mencionado na publicação, não a localização de quem a escreveu, que os dados públicos não revelam. À entrada, o texto e o contexto são comparados com uma lista de topónimos (nomes das províncias, capitais e municípios mais citados), da qual se excluíram nomes com outro significado corrente, como Belas ou Cela, e termos ambíguos, como Kwanza sem Norte ou Sul. A localização fica ao nível da província, para não se aproximar de um perfil de pessoas, e as publicações sem lugar mencionado contam como «sem localização». O mapa usa as 18 províncias com os limites em vigor de 2011 a 2024, anteriores à divisão político-administrativa que entrou em vigor em Janeiro de 2025, a partir dos limites do geoBoundaries, de domínio público (Runfola et al., 2020). A cor de cada província é a taxa de ameaças confirmadas sobre as publicações que a mencionam, de modo que falar muito de Luanda não a torne, por si só, a província mais ameaçada; abaixo de cinco publicações, a taxa não é calculada. Setas indicam a variação face ao período anterior com a mesma duração (Figura 3.8).</w:t>
      </w:r>
    </w:p>
    <w:p>
      <w:pPr>
        <w:spacing w:after="120" w:before="0" w:line="360"/>
        <w:ind w:firstLine="567"/>
        <w:jc w:val="both"/>
      </w:pPr>
      <w:r>
        <w:rPr>
          <w:rFonts w:ascii="Times New Roman" w:cs="Times New Roman" w:eastAsia="Times New Roman" w:hAnsi="Times New Roman"/>
          <w:sz w:val="24"/>
          <w:szCs w:val="24"/>
        </w:rPr>
        <w:t xml:space="preserve">As revisões do analista são exportadas com a origem </w:t>
      </w:r>
      <w:r>
        <w:rPr>
          <w:rFonts w:ascii="Times New Roman" w:cs="Times New Roman" w:eastAsia="Times New Roman" w:hAnsi="Times New Roman"/>
          <w:i/>
          <w:iCs/>
          <w:sz w:val="24"/>
          <w:szCs w:val="24"/>
        </w:rPr>
        <w:t xml:space="preserve">revisao_sistema</w:t>
      </w:r>
      <w:r>
        <w:rPr>
          <w:rFonts w:ascii="Times New Roman" w:cs="Times New Roman" w:eastAsia="Times New Roman" w:hAnsi="Times New Roman"/>
          <w:sz w:val="24"/>
          <w:szCs w:val="24"/>
        </w:rPr>
        <w:t xml:space="preserve"> e podem ser usadas num novo ciclo de treino. Como são etiquetas de um só analista sobre itens escolhidos pelo modelo, entram apenas no treino e nunca no teste.</w:t>
      </w:r>
    </w:p>
    <w:p>
      <w:pPr>
        <w:keepNext/>
        <w:spacing w:after="40" w:before="160"/>
        <w:jc w:val="center"/>
      </w:pPr>
      <w:r>
        <w:drawing>
          <wp:inline distT="0" distB="0" distL="0" distR="0">
            <wp:extent cx="3962400" cy="3429000"/>
            <wp:effectExtent t="0" r="0" b="0" l="0"/>
            <wp:docPr id="1" name="fig3_4_dados.png" descr="fig3_4_dados.png" title="fig3_4_dad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3962400" cy="34290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3.4 – Modelo de dados do sistema</w:t>
      </w:r>
    </w:p>
    <w:p>
      <w:pPr>
        <w:pStyle w:val="Heading3"/>
        <w:keepNext/>
        <w:spacing w:after="100" w:before="200"/>
      </w:pPr>
      <w:r>
        <w:rPr>
          <w:rFonts w:ascii="Times New Roman" w:cs="Times New Roman" w:eastAsia="Times New Roman" w:hAnsi="Times New Roman"/>
          <w:b/>
          <w:bCs/>
          <w:sz w:val="26"/>
          <w:szCs w:val="26"/>
        </w:rPr>
        <w:t xml:space="preserve">3.8.4 Casos de uso e fluxo de processamento</w:t>
      </w:r>
    </w:p>
    <w:p>
      <w:pPr>
        <w:spacing w:after="120" w:before="0" w:line="360"/>
        <w:ind w:firstLine="567"/>
        <w:jc w:val="both"/>
      </w:pPr>
      <w:r>
        <w:rPr>
          <w:rFonts w:ascii="Times New Roman" w:cs="Times New Roman" w:eastAsia="Times New Roman" w:hAnsi="Times New Roman"/>
          <w:sz w:val="24"/>
          <w:szCs w:val="24"/>
        </w:rPr>
        <w:t xml:space="preserve">O sistema tem cinco actores (Figura 3.5). O analista revê a sua fila e a amostra de controlo, consulta o panorama, os alertas e o mapa e gera o relatório de alertas. O supervisor, que também pode rever, regista as fontes públicas e lança a recolha, importa lotes, define as regras e os destinatários dos alertas, envia o relatório por e-mail, sorteia a amostra de controlo, gere as contas, consulta métricas e auditoria, activa a revisão cega e aplica o prazo de conservação. O serviço de inferência classifica em segundo plano cada lote recolhido ou importado. O investigador exporta as revisões e treina novas versões do modelo. O destinatário do e-mail, designado pelo supervisor, recebe os alertas e o resumo do relatório sem ter acesso ao sistema.</w:t>
      </w:r>
    </w:p>
    <w:p>
      <w:pPr>
        <w:keepNext/>
        <w:spacing w:after="40" w:before="160"/>
        <w:jc w:val="center"/>
      </w:pPr>
      <w:r>
        <w:drawing>
          <wp:inline distT="0" distB="0" distL="0" distR="0">
            <wp:extent cx="3600450" cy="3076575"/>
            <wp:effectExtent t="0" r="0" b="0" l="0"/>
            <wp:docPr id="1" name="fig3_5_casos_uso.png" descr="fig3_5_casos_uso.png" title="fig3_5_casos_us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3600450" cy="307657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3.5 – Diagrama de casos de uso (UML)</w:t>
      </w:r>
    </w:p>
    <w:p>
      <w:pPr>
        <w:spacing w:after="120" w:before="0" w:line="360"/>
        <w:ind w:firstLine="567"/>
        <w:jc w:val="both"/>
      </w:pPr>
      <w:r>
        <w:rPr>
          <w:rFonts w:ascii="Times New Roman" w:cs="Times New Roman" w:eastAsia="Times New Roman" w:hAnsi="Times New Roman"/>
          <w:sz w:val="24"/>
          <w:szCs w:val="24"/>
        </w:rPr>
        <w:t xml:space="preserve">A Figura 3.6 mostra a sequência de operações desde a recolha ou importação de um lote até à gravação da decisão do analista e aos alertas que dela resultam.</w:t>
      </w:r>
    </w:p>
    <w:p>
      <w:pPr>
        <w:keepNext/>
        <w:spacing w:after="40" w:before="160"/>
        <w:jc w:val="center"/>
      </w:pPr>
      <w:r>
        <w:drawing>
          <wp:inline distT="0" distB="0" distL="0" distR="0">
            <wp:extent cx="4324350" cy="3086100"/>
            <wp:effectExtent t="0" r="0" b="0" l="0"/>
            <wp:docPr id="1" name="fig3_6_sequencia.png" descr="fig3_6_sequencia.png" title="fig3_6_sequenc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324350" cy="30861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3.6 – Diagrama de sequência (UML): da recolha à revisão</w:t>
      </w:r>
    </w:p>
    <w:p>
      <w:pPr>
        <w:pStyle w:val="Heading3"/>
        <w:keepNext/>
        <w:spacing w:after="100" w:before="200"/>
      </w:pPr>
      <w:r>
        <w:rPr>
          <w:rFonts w:ascii="Times New Roman" w:cs="Times New Roman" w:eastAsia="Times New Roman" w:hAnsi="Times New Roman"/>
          <w:b/>
          <w:bCs/>
          <w:sz w:val="26"/>
          <w:szCs w:val="26"/>
        </w:rPr>
        <w:t xml:space="preserve">3.8.5 Interface do analista</w:t>
      </w:r>
    </w:p>
    <w:p>
      <w:pPr>
        <w:spacing w:after="120" w:before="0" w:line="360"/>
        <w:ind w:firstLine="567"/>
        <w:jc w:val="both"/>
      </w:pPr>
      <w:r>
        <w:rPr>
          <w:rFonts w:ascii="Times New Roman" w:cs="Times New Roman" w:eastAsia="Times New Roman" w:hAnsi="Times New Roman"/>
          <w:sz w:val="24"/>
          <w:szCs w:val="24"/>
        </w:rPr>
        <w:t xml:space="preserve">A interface é uma aplicação web servida pelo próprio sistema (FastAPI com modelos Jinja2), acedida pelo navegador, sem instalação nos postos dos analistas nem dependências de compilação. Cada pessoa entra com uma conta individual (Secção 3.8.7). Há dois papéis: o analista revê; o supervisor importa lotes, gere contas, consulta métricas e auditoria e define as opções de avaliação.</w:t>
      </w:r>
    </w:p>
    <w:p>
      <w:pPr>
        <w:spacing w:after="120" w:before="0" w:line="360"/>
        <w:ind w:firstLine="567"/>
        <w:jc w:val="both"/>
      </w:pPr>
      <w:r>
        <w:rPr>
          <w:rFonts w:ascii="Times New Roman" w:cs="Times New Roman" w:eastAsia="Times New Roman" w:hAnsi="Times New Roman"/>
          <w:sz w:val="24"/>
          <w:szCs w:val="24"/>
        </w:rPr>
        <w:t xml:space="preserve">O desenho da interface obedeceu a quatro princípios. O primeiro é a autonomia: a folha de estilo, o código JavaScript, os ícones e as ilustrações são próprios do sistema, sem bibliotecas, tipos de letra ou serviços externos, e a política de segurança de conteúdo do navegador (CSP) só admite recursos do próprio servidor. A aplicação funciona, por isso, numa rede sem acesso à Internet, e nenhum terceiro fica a saber que páginas são consultadas. O segundo é a melhoria progressiva: todas as páginas são geradas no servidor e funcionam sem JavaScript; o código do navegador apenas acrescenta rapidez e conforto. O terceiro é a acessibilidade: todas as acções têm atalho de teclado, o foco é sempre visível, os números usam algarismos de largura fixa para se alinharem nas tabelas, as animações são desligadas quando o sistema operativo o pede, há um tema escuro, automático ou escolhido pelo utilizador, e as páginas adaptam-se a ecrãs estreitos e à impressão em A4. O quarto é a honestidade sobre o modelo: as probabilidades estão sempre visíveis e a ficha do modelo explica onde ele falha.</w:t>
      </w:r>
    </w:p>
    <w:p>
      <w:pPr>
        <w:spacing w:after="120" w:before="0" w:line="360"/>
        <w:ind w:firstLine="567"/>
        <w:jc w:val="both"/>
      </w:pPr>
      <w:r>
        <w:rPr>
          <w:rFonts w:ascii="Times New Roman" w:cs="Times New Roman" w:eastAsia="Times New Roman" w:hAnsi="Times New Roman"/>
          <w:sz w:val="24"/>
          <w:szCs w:val="24"/>
        </w:rPr>
        <w:t xml:space="preserve">Na fila (Figura 3.7), cada publicação aparece com a categoria prevista, as probabilidades das quatro categorias e quatro botões de decisão, que respondem também às teclas 1 a 4; os lugares reconhecidos e os dados anonimizados aparecem realçados no texto. A decisão grava-se sem recarregar a página, com a posição que o item ocupava, e pode ser desfeita durante cinco segundos, antes de qualquer e-mail de alerta sair do sistema. Cada analista tem a sua própria fila, o que permite medir o acordo entre analistas de forma independente. Duas funções servem a avaliação da Secção 3.9: a revisão cega, que esconde a sugestão do modelo para que a concordância não seja inflacionada por ela, e a amostra de controlo, que sorteia, com semente registada, publicações classificadas como Normal para os analistas reverem sem sugestão e estimarem o que a fila deixa passar.</w:t>
      </w:r>
    </w:p>
    <w:p>
      <w:pPr>
        <w:keepNext/>
        <w:spacing w:after="40" w:before="160"/>
        <w:jc w:val="center"/>
      </w:pPr>
      <w:r>
        <w:drawing>
          <wp:inline distT="0" distB="0" distL="0" distR="0">
            <wp:extent cx="4495800" cy="2400300"/>
            <wp:effectExtent t="0" r="0" b="0" l="0"/>
            <wp:docPr id="1" name="fig3_7_painel.png" descr="fig3_7_painel.png" title="fig3_7_pai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495800" cy="24003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3.7 – Fila de revisão na aplicação web</w:t>
      </w:r>
    </w:p>
    <w:p>
      <w:pPr>
        <w:spacing w:after="240" w:before="0" w:line="240"/>
        <w:jc w:val="center"/>
      </w:pPr>
      <w:r>
        <w:rPr>
          <w:rFonts w:ascii="Times New Roman" w:cs="Times New Roman" w:eastAsia="Times New Roman" w:hAnsi="Times New Roman"/>
          <w:i/>
          <w:iCs/>
          <w:sz w:val="18"/>
          <w:szCs w:val="18"/>
        </w:rPr>
        <w:t xml:space="preserve">Nota. Modo de demonstração, com dados fictícios e classificador simulado.</w:t>
      </w:r>
    </w:p>
    <w:p>
      <w:pPr>
        <w:spacing w:after="120" w:before="0" w:line="360"/>
        <w:ind w:firstLine="567"/>
        <w:jc w:val="both"/>
      </w:pPr>
      <w:r>
        <w:rPr>
          <w:rFonts w:ascii="Times New Roman" w:cs="Times New Roman" w:eastAsia="Times New Roman" w:hAnsi="Times New Roman"/>
          <w:sz w:val="24"/>
          <w:szCs w:val="24"/>
        </w:rPr>
        <w:t xml:space="preserve">Os alertas chegam sem recarregar a página: o navegador consulta o servidor a cada 20 segundos, enquanto a página está visível, e actualiza o contador do menu e o sino. Uma paleta de comandos, aberta com Ctrl+K, permite chegar a qualquer página ou acção escrevendo parte do nome.</w:t>
      </w:r>
    </w:p>
    <w:p>
      <w:pPr>
        <w:spacing w:after="120" w:before="0" w:line="360"/>
        <w:ind w:firstLine="567"/>
        <w:jc w:val="both"/>
      </w:pPr>
      <w:r>
        <w:rPr>
          <w:rFonts w:ascii="Times New Roman" w:cs="Times New Roman" w:eastAsia="Times New Roman" w:hAnsi="Times New Roman"/>
          <w:sz w:val="24"/>
          <w:szCs w:val="24"/>
        </w:rPr>
        <w:t xml:space="preserve">O mapa (Figura 3.8) é interactivo. Ao passar o cursor sobre uma província, um cartão mostra o número de publicações que a mencionam, as ameaças, a taxa, o valor do período anterior e a variação; um clique destaca a linha correspondente na tabela por província e um clique na tabela destaca a província no mapa. O botão de reprodução percorre o período semana a semana (dia a dia em períodos até 14 dias), colorindo cada província pelo número de ameaças nessa semana, o que mostra onde e quando a concentração cresceu. O mapa pode ser descarregado em SVG ou em PNG, já com título, período, legenda e fonte dos limites, para ser usado em relatórios.</w:t>
      </w:r>
    </w:p>
    <w:p>
      <w:pPr>
        <w:keepNext/>
        <w:spacing w:after="40" w:before="160"/>
        <w:jc w:val="center"/>
      </w:pPr>
      <w:r>
        <w:drawing>
          <wp:inline distT="0" distB="0" distL="0" distR="0">
            <wp:extent cx="3600450" cy="2800350"/>
            <wp:effectExtent t="0" r="0" b="0" l="0"/>
            <wp:docPr id="1" name="fig3_8_mapa.png" descr="fig3_8_mapa.png" title="fig3_8_map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600450" cy="280035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3.8 – Mapa por província na aplicação web</w:t>
      </w:r>
    </w:p>
    <w:p>
      <w:pPr>
        <w:spacing w:after="240" w:before="0" w:line="240"/>
        <w:jc w:val="center"/>
      </w:pPr>
      <w:r>
        <w:rPr>
          <w:rFonts w:ascii="Times New Roman" w:cs="Times New Roman" w:eastAsia="Times New Roman" w:hAnsi="Times New Roman"/>
          <w:i/>
          <w:iCs/>
          <w:sz w:val="18"/>
          <w:szCs w:val="18"/>
        </w:rPr>
        <w:t xml:space="preserve">Nota. Modo de demonstração, com dados fictícios, últimos 90 dias; cartão de Benguela ao passar o cursor.</w:t>
      </w:r>
    </w:p>
    <w:p>
      <w:pPr>
        <w:spacing w:after="120" w:before="0" w:line="360"/>
        <w:ind w:firstLine="567"/>
        <w:jc w:val="both"/>
      </w:pPr>
      <w:r>
        <w:rPr>
          <w:rFonts w:ascii="Times New Roman" w:cs="Times New Roman" w:eastAsia="Times New Roman" w:hAnsi="Times New Roman"/>
          <w:sz w:val="24"/>
          <w:szCs w:val="24"/>
        </w:rPr>
        <w:t xml:space="preserve">A página Sobre o modelo é a ficha do modelo em uso, no espírito das fichas de modelo propostas por Mitchell et al. (2019). Mostra a identificação, a data de treino e a configuração, o desempenho no teste por categoria ao lado do desempenho em conteúdo angolano (Secção 4.6) e as limitações conhecidas, escritas em linguagem corrente: a queda de cerca de 39 pontos percentuais em conteúdo angolano, a falha quase sistemática na Desinformação em comentários e a baixa precisão na Mobilização Hostil. Abaixo, a mesma página calcula o acordo observado entre analistas e modelo nessa instalação. A ficha é lida de um ficheiro que acompanha o modelo, de modo que um modelo novo traz a sua própria ficha. O objectivo é que o analista leia cada sugestão com a confiança que ela merece, e não com a que um número global de 0,81 sugeriria.</w:t>
      </w:r>
    </w:p>
    <w:p>
      <w:pPr>
        <w:spacing w:after="120" w:before="0" w:line="360"/>
        <w:ind w:firstLine="567"/>
        <w:jc w:val="both"/>
      </w:pPr>
      <w:r>
        <w:rPr>
          <w:rFonts w:ascii="Times New Roman" w:cs="Times New Roman" w:eastAsia="Times New Roman" w:hAnsi="Times New Roman"/>
          <w:sz w:val="24"/>
          <w:szCs w:val="24"/>
        </w:rPr>
        <w:t xml:space="preserve">Duas funções servem a formação e a apresentação do sistema. Na primeira entrada, uma visita guiada de até dezoito passos percorre as partes do sistema a que o utilizador tem acesso, realçando cada uma. O modo de demonstração usa uma base de dados separada com cerca de 1.300 publicações fictícias de dezasseis semanas, compostas a partir de temas, lugares e registos variados, com casos de fronteira e episódios que dão forma ao mapa e aos alertas, e com sugestões de um classificador simulado que erra como o modelo real. Neste modo, nenhum e-mail é enviado. O supervisor pode passar da demonstração para o sistema real, e vice-versa, sem fechar o programa, e as páginas abertas recarregam-se quando o servidor está pronto. Cada utilizador pode ainda ajustar o aspecto da interface (tema, cores, tamanho da letra, densidade e cores do mapa), sem afectar os outros.</w:t>
      </w:r>
    </w:p>
    <w:p>
      <w:pPr>
        <w:spacing w:after="120" w:before="0" w:line="360"/>
        <w:ind w:firstLine="567"/>
        <w:jc w:val="both"/>
      </w:pPr>
      <w:r>
        <w:rPr>
          <w:rFonts w:ascii="Times New Roman" w:cs="Times New Roman" w:eastAsia="Times New Roman" w:hAnsi="Times New Roman"/>
          <w:sz w:val="24"/>
          <w:szCs w:val="24"/>
        </w:rPr>
        <w:t xml:space="preserve">As principais funções estão também disponíveis numa interface de programação JSON, protegida por chave, para integração com outros componentes, e numa linha de comandos, para tarefas agendadas como a recolha periódica das fontes, a importação, a verificação de tendências, o relatório periódico, a limpeza e as cópias de segurança. O manual de instalação e utilização consta do Apêndice F.</w:t>
      </w:r>
    </w:p>
    <w:p>
      <w:pPr>
        <w:pStyle w:val="Heading3"/>
        <w:keepNext/>
        <w:spacing w:after="100" w:before="200"/>
      </w:pPr>
      <w:r>
        <w:rPr>
          <w:rFonts w:ascii="Times New Roman" w:cs="Times New Roman" w:eastAsia="Times New Roman" w:hAnsi="Times New Roman"/>
          <w:b/>
          <w:bCs/>
          <w:sz w:val="26"/>
          <w:szCs w:val="26"/>
        </w:rPr>
        <w:t xml:space="preserve">3.8.6 Recolha automática e gestão da quota</w:t>
      </w:r>
    </w:p>
    <w:p>
      <w:pPr>
        <w:spacing w:after="120" w:before="0" w:line="360"/>
        <w:ind w:firstLine="567"/>
        <w:jc w:val="both"/>
      </w:pPr>
      <w:r>
        <w:rPr>
          <w:rFonts w:ascii="Times New Roman" w:cs="Times New Roman" w:eastAsia="Times New Roman" w:hAnsi="Times New Roman"/>
          <w:sz w:val="24"/>
          <w:szCs w:val="24"/>
        </w:rPr>
        <w:t xml:space="preserve">Para que o sistema acompanhe as fontes sem intervenção, o servidor verifica de 30 em 30 segundos se chegou a hora da próxima volta, com a frequência escolhida pelo supervisor entre 15 minutos e um dia (Figura 3.9). Em cada volta percorre todas as fontes activas: nos canais, listas e pesquisas do YouTube, vê os vídeos mais recentes e os seus comentários mais recentes; nos feeds e nos sítios, procura artigos novos. Só entra o que ainda não existe na base de dados, as publicações novas são classificadas e entram na fila, e cada volta fica nos lotes e na auditoria. A interface do YouTube tem uma quota diária, habitualmente de 10.000 unidades, e uma pesquisa custa cem vezes mais do que uma página de comentários; a página estima, por isso, o consumo de cada volta e do dia a partir das fontes activas (Tabela 3.6) e avisa quando a estimativa se aproxima do limite.</w:t>
      </w:r>
    </w:p>
    <w:p>
      <w:pPr>
        <w:pStyle w:val="LegendaTabela"/>
        <w:keepNext/>
        <w:spacing w:after="80" w:before="240" w:line="240"/>
        <w:jc w:val="center"/>
      </w:pPr>
      <w:r>
        <w:rPr>
          <w:rFonts w:ascii="Times New Roman" w:cs="Times New Roman" w:eastAsia="Times New Roman" w:hAnsi="Times New Roman"/>
          <w:b/>
          <w:bCs/>
          <w:sz w:val="20"/>
          <w:szCs w:val="20"/>
        </w:rPr>
        <w:t xml:space="preserve">Tabela 3.6 – Tipos de fonte e quota do YouTube por volta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4120"/>
        <w:gridCol w:w="1800"/>
      </w:tblGrid>
      <w:tr>
        <w:trPr>
          <w:cantSplit/>
          <w:tblHeader/>
        </w:trPr>
        <w:tc>
          <w:tcPr>
            <w:tcW w:type="dxa" w:w="2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Tipo de fonte</w:t>
            </w:r>
          </w:p>
        </w:tc>
        <w:tc>
          <w:tcPr>
            <w:tcW w:type="dxa" w:w="41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O que é lido em cada volta</w:t>
            </w:r>
          </w:p>
        </w:tc>
        <w:tc>
          <w:tcPr>
            <w:tcW w:type="dxa" w:w="1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Unidades por volta</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Vídeo do YouTube</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Comentários e respostas mais recentes, até ao máximo definido</w:t>
            </w:r>
          </w:p>
        </w:tc>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 por cada 100 comentários</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Canal do YouTube</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Os 10 vídeos mais recentes e os seus comentários</w:t>
            </w:r>
          </w:p>
        </w:tc>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cerca de 12</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Lista de reprodução do YouTube</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Os 10 vídeos da lista e os seus comentários</w:t>
            </w:r>
          </w:p>
        </w:tc>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cerca de 11</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Pesquisa no YouTube</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Os 10 vídeos mais recentes com os termos indicados (região Angola, língua portuguesa) e os seus comentários</w:t>
            </w:r>
          </w:p>
        </w:tc>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cerca de 110</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Feed RSS ou Atom</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Entradas novas do feed</w:t>
            </w:r>
          </w:p>
        </w:tc>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Página web pública</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Título, data e primeiros parágrafos</w:t>
            </w:r>
          </w:p>
        </w:tc>
        <w:tc>
          <w:tcPr>
            <w:tcW w:type="dxa" w:w="1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w:t>
            </w:r>
          </w:p>
        </w:tc>
      </w:tr>
      <w:tr>
        <w:trPr>
          <w:cantSplit/>
          <w:tblHeader w:val="false"/>
        </w:trPr>
        <w:tc>
          <w:tcPr>
            <w:tcW w:type="dxa" w:w="2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Sítio web público</w:t>
            </w:r>
          </w:p>
        </w:tc>
        <w:tc>
          <w:tcPr>
            <w:tcW w:type="dxa" w:w="41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Página inicial de uma secção e as ligações para artigos do mesmo sítio</w:t>
            </w:r>
          </w:p>
        </w:tc>
        <w:tc>
          <w:tcPr>
            <w:tcW w:type="dxa" w:w="1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0</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Estimativa usada pela aplicação. Os sítios web não gastam quota do YouTube, mas o sistema espera alguns segundos entre pedidos ao mesmo sítio e respeita o robots.txt.</w:t>
      </w:r>
    </w:p>
    <w:p>
      <w:pPr>
        <w:keepNext/>
        <w:spacing w:after="40" w:before="160"/>
        <w:jc w:val="center"/>
      </w:pPr>
      <w:r>
        <w:drawing>
          <wp:inline distT="0" distB="0" distL="0" distR="0">
            <wp:extent cx="4324350" cy="1533525"/>
            <wp:effectExtent t="0" r="0" b="0" l="0"/>
            <wp:docPr id="1" name="fig3_11_recolha_auto.png" descr="fig3_11_recolha_auto.png" title="fig3_11_recolha_au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324350" cy="153352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3.9 – Recolha automática na página das fontes</w:t>
      </w:r>
    </w:p>
    <w:p>
      <w:pPr>
        <w:spacing w:after="240" w:before="0" w:line="240"/>
        <w:jc w:val="center"/>
      </w:pPr>
      <w:r>
        <w:rPr>
          <w:rFonts w:ascii="Times New Roman" w:cs="Times New Roman" w:eastAsia="Times New Roman" w:hAnsi="Times New Roman"/>
          <w:i/>
          <w:iCs/>
          <w:sz w:val="18"/>
          <w:szCs w:val="18"/>
        </w:rPr>
        <w:t xml:space="preserve">Nota. Sistema real numa instalação de teste, com seis fontes de exemplo (um canal, um vídeo, uma lista, uma pesquisa, um feed e um sítio).</w:t>
      </w:r>
    </w:p>
    <w:p>
      <w:pPr>
        <w:spacing w:after="120" w:before="0" w:line="360"/>
        <w:ind w:firstLine="567"/>
        <w:jc w:val="both"/>
      </w:pPr>
      <w:r>
        <w:rPr>
          <w:rFonts w:ascii="Times New Roman" w:cs="Times New Roman" w:eastAsia="Times New Roman" w:hAnsi="Times New Roman"/>
          <w:sz w:val="24"/>
          <w:szCs w:val="24"/>
        </w:rPr>
        <w:t xml:space="preserve">A recolha automática só corre com o servidor em execução; com ele parado, a recolha pode ser agendada no sistema operativo. Como a chave do YouTube viaja no endereço de cada pedido, as mensagens de erro são limpas antes de gravadas, para que a chave nunca apareça no ecrã nem nos registos.</w:t>
      </w:r>
    </w:p>
    <w:p>
      <w:pPr>
        <w:pStyle w:val="Heading3"/>
        <w:keepNext/>
        <w:spacing w:after="100" w:before="200"/>
      </w:pPr>
      <w:r>
        <w:rPr>
          <w:rFonts w:ascii="Times New Roman" w:cs="Times New Roman" w:eastAsia="Times New Roman" w:hAnsi="Times New Roman"/>
          <w:b/>
          <w:bCs/>
          <w:sz w:val="26"/>
          <w:szCs w:val="26"/>
        </w:rPr>
        <w:t xml:space="preserve">3.8.7 Gestão de contas e segurança</w:t>
      </w:r>
    </w:p>
    <w:p>
      <w:pPr>
        <w:spacing w:after="120" w:before="0" w:line="360"/>
        <w:ind w:firstLine="567"/>
        <w:jc w:val="both"/>
      </w:pPr>
      <w:r>
        <w:rPr>
          <w:rFonts w:ascii="Times New Roman" w:cs="Times New Roman" w:eastAsia="Times New Roman" w:hAnsi="Times New Roman"/>
          <w:sz w:val="24"/>
          <w:szCs w:val="24"/>
        </w:rPr>
        <w:t xml:space="preserve">As contas seguem as orientações revistas na Secção 2.9. As palavras-passe têm pelo menos dez caracteres e são guardadas como derivação PBKDF2-SHA-256 com sal e 240.000 iterações; cinco tentativas falhadas bloqueiam a conta durante cinco minutos. A sessão fica no servidor, num cookie sem validade própria, e cada formulário leva um código anti-falsificação. Ao fechar o separador ou a janela, o navegador pergunta se a pessoa quer sair; se a janela fechar e nenhuma página do sistema reabrir em 20 segundos, a sessão termina e fica na auditoria.</w:t>
      </w:r>
    </w:p>
    <w:p>
      <w:pPr>
        <w:spacing w:after="120" w:before="0" w:line="360"/>
        <w:ind w:firstLine="567"/>
        <w:jc w:val="both"/>
      </w:pPr>
      <w:r>
        <w:rPr>
          <w:rFonts w:ascii="Times New Roman" w:cs="Times New Roman" w:eastAsia="Times New Roman" w:hAnsi="Times New Roman"/>
          <w:sz w:val="24"/>
          <w:szCs w:val="24"/>
        </w:rPr>
        <w:t xml:space="preserve">A recuperação do acesso dispensa correio electrónico e serviços externos (Figura 3.10). Cada utilizador pode gerar um código de recuperação pessoal de dezasseis caracteres (cerca de 80 bits), mostrado uma só vez, guardado como derivação e válido uma vez. Sem código, a pessoa pede ajuda ao supervisor na página de entrada, com uma resposta igual exista ou não a conta; o supervisor confirma a identidade e gera uma palavra-passe temporária, que tem de ser mudada no primeiro acesso. Se o único supervisor perder o acesso, um comando local no servidor repõe a palavra-passe. Outro comando mostra a configuração que o sistema está a ler, sem revelar os valores. Todos os passos ficam na auditoria.</w:t>
      </w:r>
    </w:p>
    <w:p>
      <w:pPr>
        <w:keepNext/>
        <w:spacing w:after="40" w:before="160"/>
        <w:jc w:val="center"/>
      </w:pPr>
      <w:r>
        <w:drawing>
          <wp:inline distT="0" distB="0" distL="0" distR="0">
            <wp:extent cx="3962400" cy="2943225"/>
            <wp:effectExtent t="0" r="0" b="0" l="0"/>
            <wp:docPr id="1" name="fig3_12_recuperacao.png" descr="fig3_12_recuperacao.png" title="fig3_12_recuperaca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3962400" cy="2943225"/>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3.10 – Recuperação do acesso a uma conta</w:t>
      </w:r>
    </w:p>
    <w:p>
      <w:pPr>
        <w:spacing w:after="240" w:before="0" w:line="240"/>
        <w:jc w:val="center"/>
      </w:pPr>
      <w:r>
        <w:rPr>
          <w:rFonts w:ascii="Times New Roman" w:cs="Times New Roman" w:eastAsia="Times New Roman" w:hAnsi="Times New Roman"/>
          <w:i/>
          <w:iCs/>
          <w:sz w:val="18"/>
          <w:szCs w:val="18"/>
        </w:rPr>
        <w:t xml:space="preserve">Nota. (a) modo de demonstração; (b) a (d) sistema real numa instalação de teste, com contas de exemplo.</w:t>
      </w:r>
    </w:p>
    <w:p>
      <w:pPr>
        <w:pStyle w:val="Heading2"/>
        <w:keepNext/>
        <w:keepLines/>
        <w:spacing w:after="160" w:before="360" w:line="300"/>
      </w:pPr>
      <w:r>
        <w:rPr>
          <w:rFonts w:ascii="Times New Roman" w:cs="Times New Roman" w:eastAsia="Times New Roman" w:hAnsi="Times New Roman"/>
          <w:b/>
          <w:bCs/>
          <w:sz w:val="26"/>
          <w:szCs w:val="26"/>
        </w:rPr>
        <w:t xml:space="preserve">3.9 Plano de testes e avaliação operacional</w:t>
      </w:r>
    </w:p>
    <w:p>
      <w:pPr>
        <w:spacing w:after="120" w:before="0" w:line="360"/>
        <w:ind w:firstLine="567"/>
        <w:jc w:val="both"/>
      </w:pPr>
      <w:r>
        <w:rPr>
          <w:rFonts w:ascii="Times New Roman" w:cs="Times New Roman" w:eastAsia="Times New Roman" w:hAnsi="Times New Roman"/>
          <w:sz w:val="24"/>
          <w:szCs w:val="24"/>
        </w:rPr>
        <w:t xml:space="preserve">O sistema tem 121 testes automáticos (Secção 4.8.4). Cobrem a anonimização, a importação, a recolha (com um sítio de notícias e um cliente do YouTube simulados localmente, verificando o respeito pelo robots.txt e a exclusão de páginas com início de sessão), a recolha automática, os alertas e os e-mails sem texto nem autor. Cobrem também a detecção de províncias, o mapa e o relatório, o fluxo completo de importação, classificação, revisão, métricas e exportação, a conservação, as cópias de segurança e o carregamento do BERTimbau. Na aplicação web, testam o controlo de acesso, o bloqueio, a protecção CSRF, o escape de texto, a revisão independente e cega, a amostra de controlo, a interface do analista, o modo de demonstração e a gestão de contas, incluindo a recuperação do acesso e o fim da sessão ao fechar a janela. Correm com </w:t>
      </w:r>
      <w:r>
        <w:rPr>
          <w:rFonts w:ascii="Times New Roman" w:cs="Times New Roman" w:eastAsia="Times New Roman" w:hAnsi="Times New Roman"/>
          <w:i/>
          <w:iCs/>
          <w:sz w:val="24"/>
          <w:szCs w:val="24"/>
        </w:rPr>
        <w:t xml:space="preserve">python -m pytest -q</w:t>
      </w:r>
      <w:r>
        <w:rPr>
          <w:rFonts w:ascii="Times New Roman" w:cs="Times New Roman" w:eastAsia="Times New Roman" w:hAnsi="Times New Roman"/>
          <w:sz w:val="24"/>
          <w:szCs w:val="24"/>
        </w:rPr>
        <w:t xml:space="preserve">.</w:t>
      </w:r>
    </w:p>
    <w:p>
      <w:pPr>
        <w:spacing w:after="120" w:before="0" w:line="360"/>
        <w:ind w:firstLine="567"/>
        <w:jc w:val="both"/>
      </w:pPr>
      <w:r>
        <w:rPr>
          <w:rFonts w:ascii="Times New Roman" w:cs="Times New Roman" w:eastAsia="Times New Roman" w:hAnsi="Times New Roman"/>
          <w:sz w:val="24"/>
          <w:szCs w:val="24"/>
        </w:rPr>
        <w:t xml:space="preserve">A avaliação operacional, que corresponde às hipóteses H2 e H3, segue o protocolo seguinte: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Latência (H2).</w:t>
      </w:r>
      <w:r>
        <w:rPr>
          <w:rFonts w:ascii="Times New Roman" w:cs="Times New Roman" w:eastAsia="Times New Roman" w:hAnsi="Times New Roman"/>
          <w:sz w:val="24"/>
          <w:szCs w:val="24"/>
        </w:rPr>
        <w:t xml:space="preserve"> O comando </w:t>
      </w:r>
      <w:r>
        <w:rPr>
          <w:rFonts w:ascii="Times New Roman" w:cs="Times New Roman" w:eastAsia="Times New Roman" w:hAnsi="Times New Roman"/>
          <w:i/>
          <w:iCs/>
          <w:sz w:val="24"/>
          <w:szCs w:val="24"/>
        </w:rPr>
        <w:t xml:space="preserve">medir-latencia</w:t>
      </w:r>
      <w:r>
        <w:rPr>
          <w:rFonts w:ascii="Times New Roman" w:cs="Times New Roman" w:eastAsia="Times New Roman" w:hAnsi="Times New Roman"/>
          <w:sz w:val="24"/>
          <w:szCs w:val="24"/>
        </w:rPr>
        <w:t xml:space="preserve"> importa, anonimiza e classifica um lote numa base de dados temporária e reporta a mediana do tempo total e por publicação; o intervalo entre a publicação original e a recolha deve ser reportado à parte.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Utilidade da fila.</w:t>
      </w:r>
      <w:r>
        <w:rPr>
          <w:rFonts w:ascii="Times New Roman" w:cs="Times New Roman" w:eastAsia="Times New Roman" w:hAnsi="Times New Roman"/>
          <w:sz w:val="24"/>
          <w:szCs w:val="24"/>
        </w:rPr>
        <w:t xml:space="preserve"> Num lote novo, nunca usado no treino, e com a revisão cega activa, pelo menos dois analistas revêem a fila por ordem, de forma independente. Calcula-se a precisão nos primeiros K itens (K = 10, 25, 50, 100), a concordância e o κ entre cada analista e o sistema, e o κ entre analistas. Para estimar a sensibilidade, os analistas revêem também a amostra de controlo de itens classificados como Normal; a fracção considerada ameaça é reportada com IC 95% de Wilson.</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Antecedência (H3).</w:t>
      </w:r>
      <w:r>
        <w:rPr>
          <w:rFonts w:ascii="Times New Roman" w:cs="Times New Roman" w:eastAsia="Times New Roman" w:hAnsi="Times New Roman"/>
          <w:sz w:val="24"/>
          <w:szCs w:val="24"/>
        </w:rPr>
        <w:t xml:space="preserve"> Exige um corpus datado em torno de eventos documentados, dividido cronologicamente, e uma lista de eventos de referência independente do corpus. Um padrão conta como detectado quando o sistema emite um alerta de tendência (Secção 3.8.3) para a província ou para o país, calculado sobre decisões de analistas sem conhecimento dos eventos ou, em alternativa declarada, sobre as previsões do modelo; a antecedência é o intervalo entre esse alerta e a data do evento, e a H3 confirma-se se a mediana for de pelo menos 48 horas. Este protocolo fica esboçado, mas não foi aplicado.</w:t>
      </w:r>
    </w:p>
    <w:p>
      <w:pPr>
        <w:pStyle w:val="Heading2"/>
        <w:keepNext/>
        <w:keepLines/>
        <w:spacing w:after="160" w:before="360" w:line="300"/>
      </w:pPr>
      <w:r>
        <w:rPr>
          <w:rFonts w:ascii="Times New Roman" w:cs="Times New Roman" w:eastAsia="Times New Roman" w:hAnsi="Times New Roman"/>
          <w:b/>
          <w:bCs/>
          <w:sz w:val="26"/>
          <w:szCs w:val="26"/>
        </w:rPr>
        <w:t xml:space="preserve">3.10 Plano de implementação faseada</w:t>
      </w:r>
    </w:p>
    <w:p>
      <w:pPr>
        <w:spacing w:after="120" w:before="0" w:line="360"/>
        <w:ind w:firstLine="567"/>
        <w:jc w:val="both"/>
      </w:pPr>
      <w:r>
        <w:rPr>
          <w:rFonts w:ascii="Times New Roman" w:cs="Times New Roman" w:eastAsia="Times New Roman" w:hAnsi="Times New Roman"/>
          <w:sz w:val="24"/>
          <w:szCs w:val="24"/>
        </w:rPr>
        <w:t xml:space="preserve">A passagem do protótipo a uma ferramenta institucional deve ser gradual e condicionada a resultados. A Tabela 3.7 propõe três fases.</w:t>
      </w:r>
    </w:p>
    <w:p>
      <w:pPr>
        <w:pStyle w:val="LegendaTabela"/>
        <w:keepNext/>
        <w:spacing w:after="80" w:before="240" w:line="240"/>
        <w:jc w:val="center"/>
      </w:pPr>
      <w:r>
        <w:rPr>
          <w:rFonts w:ascii="Times New Roman" w:cs="Times New Roman" w:eastAsia="Times New Roman" w:hAnsi="Times New Roman"/>
          <w:b/>
          <w:bCs/>
          <w:sz w:val="20"/>
          <w:szCs w:val="20"/>
        </w:rPr>
        <w:t xml:space="preserve">Tabela 3.7 – Plano de implementação faseada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2820"/>
      </w:tblGrid>
      <w:tr>
        <w:trPr>
          <w:cantSplit/>
          <w:tblHeader/>
        </w:trPr>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Fase</w:t>
            </w:r>
          </w:p>
        </w:tc>
        <w:tc>
          <w:tcPr>
            <w:tcW w:type="dxa" w:w="3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Actividades</w:t>
            </w:r>
          </w:p>
        </w:tc>
        <w:tc>
          <w:tcPr>
            <w:tcW w:type="dxa" w:w="28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Condição para avançar</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1. Piloto académico</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Novo treino do BERTimbau; medição da latência; avaliação da fila com analistas num lote novo; parecer jurídico</w:t>
            </w:r>
          </w:p>
        </w:tc>
        <w:tc>
          <w:tcPr>
            <w:tcW w:type="dxa" w:w="2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Precisão nos primeiros 50 itens e κ analista–sistema aceites pela instituição; parecer favorável</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2. Piloto institucional</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Instalação em servidor próprio; formação de analistas; recolha agendada; ampliação do corpus angolano com revisões</w:t>
            </w:r>
          </w:p>
        </w:tc>
        <w:tc>
          <w:tcPr>
            <w:tcW w:type="dxa" w:w="2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Auditoria independente; desempenho em conteúdo angolano medido e reportado por categoria</w:t>
            </w:r>
          </w:p>
        </w:tc>
      </w:tr>
      <w:tr>
        <w:trPr>
          <w:cantSplit/>
          <w:tblHeader w:val="false"/>
        </w:trPr>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3. Consolidação</w:t>
            </w:r>
          </w:p>
        </w:tc>
        <w:tc>
          <w:tcPr>
            <w:tcW w:type="dxa" w:w="3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Pré-treino adaptado ao domínio angolano; extensão a outras plataformas por vias oficiais; procedimentos de supervisão</w:t>
            </w:r>
          </w:p>
        </w:tc>
        <w:tc>
          <w:tcPr>
            <w:tcW w:type="dxa" w:w="28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Quadro normativo para uso de IA em segurança; revisão periódica do impacto</w:t>
            </w:r>
          </w:p>
        </w:tc>
      </w:tr>
    </w:tbl>
    <w:p>
      <w:pPr>
        <w:spacing w:after="240" w:before="60" w:line="240"/>
        <w:jc w:val="both"/>
      </w:pPr>
    </w:p>
    <w:p>
      <w:pPr>
        <w:sectPr>
          <w:headerReference w:type="default" r:id="rId17"/>
          <w:footerReference w:type="default" r:id="rId18"/>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4 – RESULTADOS E DISCUSSÃO</w:t>
      </w:r>
    </w:p>
    <w:p>
      <w:pPr>
        <w:spacing w:after="120" w:before="0" w:line="360"/>
        <w:ind w:firstLine="567"/>
        <w:jc w:val="both"/>
      </w:pPr>
      <w:r>
        <w:rPr>
          <w:rFonts w:ascii="Times New Roman" w:cs="Times New Roman" w:eastAsia="Times New Roman" w:hAnsi="Times New Roman"/>
          <w:sz w:val="24"/>
          <w:szCs w:val="24"/>
        </w:rPr>
        <w:t xml:space="preserve">Este capítulo apresenta os resultados experimentais obtidos com o corpus híbrido harmonizado e verifica formalmente as hipóteses formuladas na Secção 1.3. Todos os valores foram recalculados a partir das previsões guardadas de cada modelo no conjunto de teste e coincidem com os ficheiros de métricas gerados pelo pipeline. A Secção 4.1 descreve o protocolo de avaliação. As Secções 4.2 a 4.5 tratam do desempenho global, da significância estatística, do desempenho por categoria e da estabilidade dos resultados. A Secção 4.6 testa a lacuna de domínio entre o piloto angolano e o corpus público (H4). A Secção 4.7 analisa a qualidade das probabilidades e a utilidade da ordenação que o sistema faz com elas. A Secção 4.8 trata da avaliação operacional (H2 e H3) e da verificação funcional do sistema, e a Secção 4.9 reúne a verificação das hipóteses.</w:t>
      </w:r>
    </w:p>
    <w:p>
      <w:pPr>
        <w:spacing w:after="120" w:before="0" w:line="360"/>
        <w:ind w:firstLine="567"/>
        <w:jc w:val="both"/>
      </w:pPr>
      <w:r>
        <w:rPr>
          <w:rFonts w:ascii="Times New Roman" w:cs="Times New Roman" w:eastAsia="Times New Roman" w:hAnsi="Times New Roman"/>
          <w:sz w:val="24"/>
          <w:szCs w:val="24"/>
        </w:rPr>
        <w:t xml:space="preserve">Nas tabelas, por economia de espaço, as categorias Discurso de Ódio e Mobilização Hostil aparecem abreviadas como Ódio e Mobilização.</w:t>
      </w:r>
    </w:p>
    <w:p>
      <w:pPr>
        <w:pStyle w:val="Heading2"/>
        <w:keepNext/>
        <w:keepLines/>
        <w:spacing w:after="160" w:before="360" w:line="300"/>
      </w:pPr>
      <w:r>
        <w:rPr>
          <w:rFonts w:ascii="Times New Roman" w:cs="Times New Roman" w:eastAsia="Times New Roman" w:hAnsi="Times New Roman"/>
          <w:b/>
          <w:bCs/>
          <w:sz w:val="26"/>
          <w:szCs w:val="26"/>
        </w:rPr>
        <w:t xml:space="preserve">4.1 Corpus de avaliação e protocolo experimental</w:t>
      </w:r>
    </w:p>
    <w:p>
      <w:pPr>
        <w:spacing w:after="120" w:before="0" w:line="360"/>
        <w:ind w:firstLine="567"/>
        <w:jc w:val="both"/>
      </w:pPr>
      <w:r>
        <w:rPr>
          <w:rFonts w:ascii="Times New Roman" w:cs="Times New Roman" w:eastAsia="Times New Roman" w:hAnsi="Times New Roman"/>
          <w:sz w:val="24"/>
          <w:szCs w:val="24"/>
        </w:rPr>
        <w:t xml:space="preserve">O corpus de treino e avaliação resulta da harmonização de três corpora públicos em português (ToLD-BR, Fake.br e HateBR) com o piloto angolano anotado nesta investigação. Após a remoção de 238 duplicados, o corpus contém 26.859 registos, distribuídos conforme a Tabela 4.1.</w:t>
      </w:r>
    </w:p>
    <w:p>
      <w:pPr>
        <w:pStyle w:val="LegendaTabela"/>
        <w:keepNext/>
        <w:spacing w:after="80" w:before="240" w:line="240"/>
        <w:jc w:val="center"/>
      </w:pPr>
      <w:r>
        <w:rPr>
          <w:rFonts w:ascii="Times New Roman" w:cs="Times New Roman" w:eastAsia="Times New Roman" w:hAnsi="Times New Roman"/>
          <w:b/>
          <w:bCs/>
          <w:sz w:val="20"/>
          <w:szCs w:val="20"/>
        </w:rPr>
        <w:t xml:space="preserve">Tabela 4.1 – Composição do corpus harmonizado por fonte e categoria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1400"/>
        <w:gridCol w:w="1100"/>
        <w:gridCol w:w="1300"/>
        <w:gridCol w:w="1220"/>
      </w:tblGrid>
      <w:tr>
        <w:trPr>
          <w:cantSplit/>
          <w:tblHeader/>
        </w:trPr>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Fonte</w:t>
            </w:r>
          </w:p>
        </w:tc>
        <w:tc>
          <w:tcPr>
            <w:tcW w:type="dxa" w:w="1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Normal</w:t>
            </w:r>
          </w:p>
        </w:tc>
        <w:tc>
          <w:tcPr>
            <w:tcW w:type="dxa" w:w="14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Desinformação</w:t>
            </w:r>
          </w:p>
        </w:tc>
        <w:tc>
          <w:tcPr>
            <w:tcW w:type="dxa" w:w="1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Ódio</w:t>
            </w:r>
          </w:p>
        </w:tc>
        <w:tc>
          <w:tcPr>
            <w:tcW w:type="dxa" w:w="1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Mobilização</w:t>
            </w:r>
          </w:p>
        </w:tc>
        <w:tc>
          <w:tcPr>
            <w:tcW w:type="dxa" w:w="12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Total</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ToLD-BR</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11.682</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1.027</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12.709</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Fake.br</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3.600</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3.599</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7.199</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HateBR</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2.195</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2.183</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w:t>
            </w:r>
          </w:p>
        </w:tc>
        <w:tc>
          <w:tcPr>
            <w:tcW w:type="dxa" w:w="1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4.378</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Piloto angolano</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1.613</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318</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283</w:t>
            </w:r>
          </w:p>
        </w:tc>
        <w:tc>
          <w:tcPr>
            <w:tcW w:type="dxa" w:w="1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359</w:t>
            </w:r>
          </w:p>
        </w:tc>
        <w:tc>
          <w:tcPr>
            <w:tcW w:type="dxa" w:w="1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2.573</w:t>
            </w:r>
          </w:p>
        </w:tc>
      </w:tr>
      <w:tr>
        <w:trPr>
          <w:cantSplit/>
          <w:tblHeader w:val="false"/>
        </w:trPr>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Total</w:t>
            </w:r>
          </w:p>
        </w:tc>
        <w:tc>
          <w:tcPr>
            <w:tcW w:type="dxa" w:w="1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19.090</w:t>
            </w:r>
          </w:p>
        </w:tc>
        <w:tc>
          <w:tcPr>
            <w:tcW w:type="dxa" w:w="14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3.917</w:t>
            </w:r>
          </w:p>
        </w:tc>
        <w:tc>
          <w:tcPr>
            <w:tcW w:type="dxa" w:w="1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3.493</w:t>
            </w:r>
          </w:p>
        </w:tc>
        <w:tc>
          <w:tcPr>
            <w:tcW w:type="dxa" w:w="1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359</w:t>
            </w:r>
          </w:p>
        </w:tc>
        <w:tc>
          <w:tcPr>
            <w:tcW w:type="dxa" w:w="12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26.859</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Valores após deduplicação (27.097 → 26.859). A categoria Mobilização Hostil existe apenas no piloto angolano. O piloto inclui 2.288 itens da base do piloto (comentários do YouTube amostrados aleatoriamente e itens de recolha manual) e 285 itens de lotes enriquecidos (194 por selecção temática de vídeos e 91 por léxico), usados exclusivamente no treino.</w:t>
      </w:r>
    </w:p>
    <w:p>
      <w:pPr>
        <w:spacing w:after="120" w:before="0" w:line="360"/>
        <w:ind w:firstLine="567"/>
        <w:jc w:val="both"/>
      </w:pPr>
      <w:r>
        <w:rPr>
          <w:rFonts w:ascii="Times New Roman" w:cs="Times New Roman" w:eastAsia="Times New Roman" w:hAnsi="Times New Roman"/>
          <w:sz w:val="24"/>
          <w:szCs w:val="24"/>
        </w:rPr>
        <w:t xml:space="preserve">Recorde-se que os lotes enriquecidos do piloto entraram apenas no treino, que as configurações e variantes foram escolhidas na validação e que os resultados são reportados tal como saíram de cada execução, sem selecção pelo teste.</w:t>
      </w:r>
    </w:p>
    <w:p>
      <w:pPr>
        <w:spacing w:after="120" w:before="0" w:line="360"/>
        <w:ind w:firstLine="567"/>
        <w:jc w:val="both"/>
      </w:pPr>
      <w:r>
        <w:rPr>
          <w:rFonts w:ascii="Times New Roman" w:cs="Times New Roman" w:eastAsia="Times New Roman" w:hAnsi="Times New Roman"/>
          <w:sz w:val="24"/>
          <w:szCs w:val="24"/>
        </w:rPr>
        <w:t xml:space="preserve">O conjunto de validação contém 3.986 itens e o de teste 3.987 itens (Normal 2.843; Desinformação 580; Discurso de Ódio 517; Mobilização Hostil 47). Dos itens de teste, 355 (8,9%) provêm do piloto angolano e 3.632 (91,1%) dos corpora públicos brasileiros. Esta composição significa que as métricas globais descrevem sobretudo o desempenho em conteúdo brasileiro; o desempenho em conteúdo angolano é analisado separadamente na Secção 4.6.</w:t>
      </w:r>
    </w:p>
    <w:p>
      <w:pPr>
        <w:spacing w:after="120" w:before="0" w:line="360"/>
        <w:ind w:firstLine="567"/>
        <w:jc w:val="both"/>
      </w:pPr>
      <w:r>
        <w:rPr>
          <w:rFonts w:ascii="Times New Roman" w:cs="Times New Roman" w:eastAsia="Times New Roman" w:hAnsi="Times New Roman"/>
          <w:sz w:val="24"/>
          <w:szCs w:val="24"/>
        </w:rPr>
        <w:t xml:space="preserve">A métrica principal é o F1-macro, que atribui o mesmo peso às quatro categorias e, por isso, não é dominada pela classe Normal. Reportam-se também o F1 ponderado, a exactidão, o Kappa de Cohen entre as previsões e a referência, e a AUC-ROC média das quatro curvas um-contra-todos. Obtiveram-se os intervalos de confiança a 95% (IC 95%)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não paramétrico com 2.000 reamostragens do conjunto de teste. As comparações entre modelos usam o teste de McNemar com correcção de continuidade sobre os acertos e erros emparelhados, com correcção de Bonferroni para as seis comparações entre os quatro modelos (α corrigido = 0,0083). A diferença de F1-macro entre pares é acompanhada do respectivo IC 95%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emparelhado.</w:t>
      </w:r>
    </w:p>
    <w:p>
      <w:pPr>
        <w:pStyle w:val="Heading2"/>
        <w:keepNext/>
        <w:keepLines/>
        <w:spacing w:after="160" w:before="360" w:line="300"/>
      </w:pPr>
      <w:r>
        <w:rPr>
          <w:rFonts w:ascii="Times New Roman" w:cs="Times New Roman" w:eastAsia="Times New Roman" w:hAnsi="Times New Roman"/>
          <w:b/>
          <w:bCs/>
          <w:sz w:val="26"/>
          <w:szCs w:val="26"/>
        </w:rPr>
        <w:t xml:space="preserve">4.2 Desempenho global dos modelos</w:t>
      </w:r>
    </w:p>
    <w:p>
      <w:pPr>
        <w:spacing w:after="120" w:before="0" w:line="360"/>
        <w:ind w:firstLine="567"/>
        <w:jc w:val="both"/>
      </w:pPr>
      <w:r>
        <w:rPr>
          <w:rFonts w:ascii="Times New Roman" w:cs="Times New Roman" w:eastAsia="Times New Roman" w:hAnsi="Times New Roman"/>
          <w:sz w:val="24"/>
          <w:szCs w:val="24"/>
        </w:rPr>
        <w:t xml:space="preserve">A Tabela 4.2 apresenta o desempenho dos quatro modelos no conjunto de teste, sem ajuste de limiares de decisão.</w:t>
      </w:r>
    </w:p>
    <w:p>
      <w:pPr>
        <w:pStyle w:val="LegendaTabela"/>
        <w:keepNext/>
        <w:spacing w:after="80" w:before="240" w:line="240"/>
        <w:jc w:val="center"/>
      </w:pPr>
      <w:r>
        <w:rPr>
          <w:rFonts w:ascii="Times New Roman" w:cs="Times New Roman" w:eastAsia="Times New Roman" w:hAnsi="Times New Roman"/>
          <w:b/>
          <w:bCs/>
          <w:sz w:val="20"/>
          <w:szCs w:val="20"/>
        </w:rPr>
        <w:t xml:space="preserve">Tabela 4.2 – Desempenho dos modelos no conjunto de teste</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1900"/>
        <w:gridCol w:w="1050"/>
        <w:gridCol w:w="1000"/>
        <w:gridCol w:w="900"/>
        <w:gridCol w:w="1770"/>
      </w:tblGrid>
      <w:tr>
        <w:trPr>
          <w:cantSplit/>
          <w:tblHeader/>
        </w:trPr>
        <w:tc>
          <w:tcPr>
            <w:tcW w:type="dxa" w:w="1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Modelo</w:t>
            </w:r>
          </w:p>
        </w:tc>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[IC 95%]</w:t>
            </w:r>
          </w:p>
        </w:tc>
        <w:tc>
          <w:tcPr>
            <w:tcW w:type="dxa" w:w="10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ponderado</w:t>
            </w:r>
          </w:p>
        </w:tc>
        <w:tc>
          <w:tcPr>
            <w:tcW w:type="dxa" w:w="1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Exactidão</w:t>
            </w:r>
          </w:p>
        </w:tc>
        <w:tc>
          <w:tcPr>
            <w:tcW w:type="dxa" w:w="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Kappa (κ)</w:t>
            </w:r>
          </w:p>
        </w:tc>
        <w:tc>
          <w:tcPr>
            <w:tcW w:type="dxa" w:w="177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AUC-ROC [IC 95%]</w:t>
            </w:r>
          </w:p>
        </w:tc>
      </w:tr>
      <w:tr>
        <w:trPr>
          <w:cantSplit/>
          <w:tblHeader w:val="false"/>
        </w:trPr>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Floresta Aleatória</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0,659 [0,621; 0,694]</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0,831</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0,834</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0,624</w:t>
            </w:r>
          </w:p>
        </w:tc>
        <w:tc>
          <w:tcPr>
            <w:tcW w:type="dxa" w:w="177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0,906 [0,891; 0,919]</w:t>
            </w:r>
          </w:p>
        </w:tc>
      </w:tr>
      <w:tr>
        <w:trPr>
          <w:cantSplit/>
          <w:tblHeader w:val="false"/>
        </w:trPr>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SVM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0,633 [0,606; 0,657]</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0,791</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0,772</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0,566</w:t>
            </w:r>
          </w:p>
        </w:tc>
        <w:tc>
          <w:tcPr>
            <w:tcW w:type="dxa" w:w="177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0,909 [0,900; 0,917]</w:t>
            </w:r>
          </w:p>
        </w:tc>
      </w:tr>
      <w:tr>
        <w:trPr>
          <w:cantSplit/>
          <w:tblHeader w:val="false"/>
        </w:trPr>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0,660 [0,628; 0,689]</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0,823</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0,819</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0,621</w:t>
            </w:r>
          </w:p>
        </w:tc>
        <w:tc>
          <w:tcPr>
            <w:tcW w:type="dxa" w:w="177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0,915 [0,901; 0,926]</w:t>
            </w:r>
          </w:p>
        </w:tc>
      </w:tr>
      <w:tr>
        <w:trPr>
          <w:cantSplit/>
          <w:tblHeader w:val="false"/>
        </w:trPr>
        <w:tc>
          <w:tcPr>
            <w:tcW w:type="dxa" w:w="160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BERTimbau</w:t>
            </w:r>
          </w:p>
        </w:tc>
        <w:tc>
          <w:tcPr>
            <w:tcW w:type="dxa" w:w="190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0,807 [0,774; 0,838]</w:t>
            </w:r>
          </w:p>
        </w:tc>
        <w:tc>
          <w:tcPr>
            <w:tcW w:type="dxa" w:w="105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0,924</w:t>
            </w:r>
          </w:p>
        </w:tc>
        <w:tc>
          <w:tcPr>
            <w:tcW w:type="dxa" w:w="100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0,924</w:t>
            </w:r>
          </w:p>
        </w:tc>
        <w:tc>
          <w:tcPr>
            <w:tcW w:type="dxa" w:w="90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0,832</w:t>
            </w:r>
          </w:p>
        </w:tc>
        <w:tc>
          <w:tcPr>
            <w:tcW w:type="dxa" w:w="1770"/>
            <w:tcBorders>
              <w:top w:val="none" w:color="FFFFFF" w:sz="0"/>
              <w:left w:val="none" w:color="FFFFFF" w:sz="0"/>
              <w:bottom w:val="single" w:color="000000" w:sz="4"/>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0,979 [0,973; 0,983]</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n = 3.987. AUC-ROC: média das quatro AUC um-contra-todos. IC 95% por </w:t>
      </w:r>
      <w:r>
        <w:rPr>
          <w:rFonts w:ascii="Times New Roman" w:cs="Times New Roman" w:eastAsia="Times New Roman" w:hAnsi="Times New Roman"/>
          <w:i/>
          <w:iCs/>
          <w:sz w:val="18"/>
          <w:szCs w:val="18"/>
        </w:rPr>
        <w:t xml:space="preserve">bootstrap</w:t>
      </w:r>
      <w:r>
        <w:rPr>
          <w:rFonts w:ascii="Times New Roman" w:cs="Times New Roman" w:eastAsia="Times New Roman" w:hAnsi="Times New Roman"/>
          <w:sz w:val="18"/>
          <w:szCs w:val="18"/>
        </w:rPr>
        <w:t xml:space="preserve"> (2.000 reamostragens para o F1; 1.000 para a AUC). BERTimbau com ajuste fino, semente 42 (configuração de referência).</w:t>
      </w:r>
    </w:p>
    <w:p>
      <w:pPr>
        <w:spacing w:after="120" w:before="0" w:line="360"/>
        <w:ind w:firstLine="567"/>
        <w:jc w:val="both"/>
      </w:pPr>
      <w:r>
        <w:rPr>
          <w:rFonts w:ascii="Times New Roman" w:cs="Times New Roman" w:eastAsia="Times New Roman" w:hAnsi="Times New Roman"/>
          <w:sz w:val="24"/>
          <w:szCs w:val="24"/>
        </w:rPr>
        <w:t xml:space="preserve">O BERTimbau obteve F1-macro de 0,807 (IC 95% [0,774; 0,838]), entre 14,6 e 17,4 pontos percentuais (p.p.) acima dos restantes modelos, cujos F1-macro se situam entre 0,633 e 0,660. O intervalo de confiança do BERTimbau não se sobrepõe ao de nenhum outro modelo. O BERTimbau é também o primeiro no Kappa e na AUC-ROC; entre os restantes, a ordem varia com a métrica, e as diferenças são pequenas.</w:t>
      </w:r>
    </w:p>
    <w:p>
      <w:pPr>
        <w:spacing w:after="120" w:before="0" w:line="360"/>
        <w:ind w:firstLine="567"/>
        <w:jc w:val="both"/>
      </w:pPr>
      <w:r>
        <w:rPr>
          <w:rFonts w:ascii="Times New Roman" w:cs="Times New Roman" w:eastAsia="Times New Roman" w:hAnsi="Times New Roman"/>
          <w:sz w:val="24"/>
          <w:szCs w:val="24"/>
        </w:rPr>
        <w:t xml:space="preserve">A distância entre o F1 ponderado (0,924) e o F1-macro (0,807) do BERTimbau resulta do desequilíbrio das classes: o F1 ponderado é dominado pela classe Normal, que representa 71,3% do teste, enquanto o F1-macro dá à Mobilização Hostil (1,2% do teste) o mesmo peso das outras categorias. Por esta razão, o F1-macro é a métrica usada na verificação das hipóteses. A Figura 4.1 apresenta as curvas ROC de cada modelo por categoria.</w:t>
      </w:r>
    </w:p>
    <w:p>
      <w:pPr>
        <w:keepNext/>
        <w:spacing w:after="40" w:before="160"/>
        <w:jc w:val="center"/>
      </w:pPr>
      <w:r>
        <w:drawing>
          <wp:inline distT="0" distB="0" distL="0" distR="0">
            <wp:extent cx="4143375" cy="3867150"/>
            <wp:effectExtent t="0" r="0" b="0" l="0"/>
            <wp:docPr id="1" name="fig4_1_roc.png" descr="fig4_1_roc.png" title="fig4_1_ro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143375" cy="386715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4.1 – Curvas ROC um-contra-todos por categoria e modelo (conjunto de teste; AUC entre parêntesis)</w:t>
      </w:r>
    </w:p>
    <w:p>
      <w:pPr>
        <w:spacing w:after="120" w:before="0" w:line="360"/>
        <w:ind w:firstLine="567"/>
        <w:jc w:val="both"/>
      </w:pPr>
      <w:r>
        <w:rPr>
          <w:rFonts w:ascii="Times New Roman" w:cs="Times New Roman" w:eastAsia="Times New Roman" w:hAnsi="Times New Roman"/>
          <w:sz w:val="24"/>
          <w:szCs w:val="24"/>
        </w:rPr>
        <w:t xml:space="preserve">As curvas mostram que a vantagem do BERTimbau se concentra nas categorias Normal e Discurso de Ódio, onde as AUC dos restantes modelos descem para 0,837–0,882. Na Desinformação, todos os modelos ultrapassam 0,96, um resultado cuja interpretação é revista na Secção 4.6. Na Mobilização Hostil, as AUC são elevadas (0,924–0,973), mas assentam em apenas 47 exemplos positivos, pelo que as curvas apresentam degraus largos e a estimativa é instável.</w:t>
      </w:r>
    </w:p>
    <w:p>
      <w:pPr>
        <w:pStyle w:val="Heading2"/>
        <w:keepNext/>
        <w:keepLines/>
        <w:spacing w:after="160" w:before="360" w:line="300"/>
      </w:pPr>
      <w:r>
        <w:rPr>
          <w:rFonts w:ascii="Times New Roman" w:cs="Times New Roman" w:eastAsia="Times New Roman" w:hAnsi="Times New Roman"/>
          <w:b/>
          <w:bCs/>
          <w:sz w:val="26"/>
          <w:szCs w:val="26"/>
        </w:rPr>
        <w:t xml:space="preserve">4.3 Significância estatística das diferenças</w:t>
      </w:r>
    </w:p>
    <w:p>
      <w:pPr>
        <w:spacing w:after="120" w:before="0" w:line="360"/>
        <w:ind w:firstLine="567"/>
        <w:jc w:val="both"/>
      </w:pPr>
      <w:r>
        <w:rPr>
          <w:rFonts w:ascii="Times New Roman" w:cs="Times New Roman" w:eastAsia="Times New Roman" w:hAnsi="Times New Roman"/>
          <w:sz w:val="24"/>
          <w:szCs w:val="24"/>
        </w:rPr>
        <w:t xml:space="preserve">A Tabela 4.3 apresenta as seis comparações emparelhadas entre os quatro modelos. As colunas </w:t>
      </w:r>
      <w:r>
        <w:rPr>
          <w:rFonts w:ascii="Times New Roman" w:cs="Times New Roman" w:eastAsia="Times New Roman" w:hAnsi="Times New Roman"/>
          <w:i/>
          <w:iCs/>
          <w:sz w:val="24"/>
          <w:szCs w:val="24"/>
        </w:rPr>
        <w:t xml:space="preserve">b</w:t>
      </w:r>
      <w:r>
        <w:rPr>
          <w:rFonts w:ascii="Times New Roman" w:cs="Times New Roman" w:eastAsia="Times New Roman" w:hAnsi="Times New Roman"/>
          <w:sz w:val="24"/>
          <w:szCs w:val="24"/>
        </w:rPr>
        <w:t xml:space="preserve"> e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indicam, respectivamente, o número de itens que apenas o primeiro modelo do par classificou correctamente e o número de itens que apenas o segundo classificou correctamente.</w:t>
      </w:r>
    </w:p>
    <w:p>
      <w:pPr>
        <w:pStyle w:val="LegendaTabela"/>
        <w:keepNext/>
        <w:spacing w:after="80" w:before="240" w:line="240"/>
        <w:jc w:val="center"/>
      </w:pPr>
      <w:r>
        <w:rPr>
          <w:rFonts w:ascii="Times New Roman" w:cs="Times New Roman" w:eastAsia="Times New Roman" w:hAnsi="Times New Roman"/>
          <w:b/>
          <w:bCs/>
          <w:sz w:val="20"/>
          <w:szCs w:val="20"/>
        </w:rPr>
        <w:t xml:space="preserve">Tabela 4.3 – Comparações emparelhadas (ΔF1-macro e McNemar)</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1000"/>
        <w:gridCol w:w="800"/>
        <w:gridCol w:w="1200"/>
        <w:gridCol w:w="820"/>
      </w:tblGrid>
      <w:tr>
        <w:trPr>
          <w:cantSplit/>
          <w:tblHeader/>
        </w:trPr>
        <w:tc>
          <w:tcPr>
            <w:tcW w:type="dxa" w:w="2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Par</w:t>
            </w:r>
          </w:p>
        </w:tc>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ΔF1-macro, p.p. [IC 95%]</w:t>
            </w:r>
          </w:p>
        </w:tc>
        <w:tc>
          <w:tcPr>
            <w:tcW w:type="dxa" w:w="1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b / c</w:t>
            </w:r>
          </w:p>
        </w:tc>
        <w:tc>
          <w:tcPr>
            <w:tcW w:type="dxa" w:w="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χ²</w:t>
            </w:r>
          </w:p>
        </w:tc>
        <w:tc>
          <w:tcPr>
            <w:tcW w:type="dxa" w:w="12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 (Bonferroni)</w:t>
            </w:r>
          </w:p>
        </w:tc>
        <w:tc>
          <w:tcPr>
            <w:tcW w:type="dxa" w:w="8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Signif.</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 vs. Bi-LSTM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14,6 [10,9; 18,4]</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529 / 110</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273,43</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 × 10</w:t>
            </w:r>
            <w:r>
              <w:rPr>
                <w:rFonts w:ascii="Times New Roman" w:cs="Times New Roman" w:eastAsia="Times New Roman" w:hAnsi="Times New Roman"/>
                <w:b w:val="false"/>
                <w:bCs w:val="false"/>
                <w:sz w:val="19"/>
                <w:szCs w:val="19"/>
                <w:vertAlign w:val="superscript"/>
              </w:rPr>
              <w:t xml:space="preserve">-60</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 vs. Floresta Aleatória</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14,8 [10,8; 18,8]</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473 / 115</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216,75</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 × 10</w:t>
            </w:r>
            <w:r>
              <w:rPr>
                <w:rFonts w:ascii="Times New Roman" w:cs="Times New Roman" w:eastAsia="Times New Roman" w:hAnsi="Times New Roman"/>
                <w:b w:val="false"/>
                <w:bCs w:val="false"/>
                <w:sz w:val="19"/>
                <w:szCs w:val="19"/>
                <w:vertAlign w:val="superscript"/>
              </w:rPr>
              <w:t xml:space="preserve">-48</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 vs. SVM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17,4 [14,4; 20,4]</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714 / 110</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441,27</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3,4 × 10</w:t>
            </w:r>
            <w:r>
              <w:rPr>
                <w:rFonts w:ascii="Times New Roman" w:cs="Times New Roman" w:eastAsia="Times New Roman" w:hAnsi="Times New Roman"/>
                <w:b w:val="false"/>
                <w:bCs w:val="false"/>
                <w:sz w:val="19"/>
                <w:szCs w:val="19"/>
                <w:vertAlign w:val="superscript"/>
              </w:rPr>
              <w:t xml:space="preserve">-97</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 vs. Floresta Aleatória</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0,2 [-4,0; 4,2]</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348 / 409</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4,76</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0,175</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Não</w:t>
            </w:r>
          </w:p>
        </w:tc>
      </w:tr>
      <w:tr>
        <w:trPr>
          <w:cantSplit/>
          <w:tblHeader w:val="false"/>
        </w:trPr>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 vs. SVM</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 [-0,3; 5,7]</w:t>
            </w:r>
          </w:p>
        </w:tc>
        <w:tc>
          <w:tcPr>
            <w:tcW w:type="dxa" w:w="1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519 / 334</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39,69</w:t>
            </w:r>
          </w:p>
        </w:tc>
        <w:tc>
          <w:tcPr>
            <w:tcW w:type="dxa" w:w="1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1,8 × 10</w:t>
            </w:r>
            <w:r>
              <w:rPr>
                <w:rFonts w:ascii="Times New Roman" w:cs="Times New Roman" w:eastAsia="Times New Roman" w:hAnsi="Times New Roman"/>
                <w:b w:val="false"/>
                <w:bCs w:val="false"/>
                <w:sz w:val="19"/>
                <w:szCs w:val="19"/>
                <w:vertAlign w:val="superscript"/>
              </w:rPr>
              <w:t xml:space="preserve">-9</w:t>
            </w:r>
          </w:p>
        </w:tc>
        <w:tc>
          <w:tcPr>
            <w:tcW w:type="dxa" w:w="8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r>
        <w:trPr>
          <w:cantSplit/>
          <w:tblHeader w:val="false"/>
        </w:trPr>
        <w:tc>
          <w:tcPr>
            <w:tcW w:type="dxa" w:w="2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Floresta Aleatória vs. SVM</w:t>
            </w:r>
          </w:p>
        </w:tc>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2,6 [-0,9; 6,0]</w:t>
            </w:r>
          </w:p>
        </w:tc>
        <w:tc>
          <w:tcPr>
            <w:tcW w:type="dxa" w:w="1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524 / 278</w:t>
            </w:r>
          </w:p>
        </w:tc>
        <w:tc>
          <w:tcPr>
            <w:tcW w:type="dxa" w:w="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74,84</w:t>
            </w:r>
          </w:p>
        </w:tc>
        <w:tc>
          <w:tcPr>
            <w:tcW w:type="dxa" w:w="12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3,1 × 10</w:t>
            </w:r>
            <w:r>
              <w:rPr>
                <w:rFonts w:ascii="Times New Roman" w:cs="Times New Roman" w:eastAsia="Times New Roman" w:hAnsi="Times New Roman"/>
                <w:b w:val="false"/>
                <w:bCs w:val="false"/>
                <w:sz w:val="19"/>
                <w:szCs w:val="19"/>
                <w:vertAlign w:val="superscript"/>
              </w:rPr>
              <w:t xml:space="preserve">-17</w:t>
            </w:r>
          </w:p>
        </w:tc>
        <w:tc>
          <w:tcPr>
            <w:tcW w:type="dxa" w:w="8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Sim</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n = 3.987. ΔF1 = F1-macro do primeiro modelo menos F1-macro do segundo. p (Bonferroni) = p do teste de McNemar multiplicado por 6 (limitado a 1). O teste de McNemar compara as proporções de acertos e erros; não testa directamente o F1-macro, razão pela qual se apresenta também o IC da diferença de F1.</w:t>
      </w:r>
    </w:p>
    <w:p>
      <w:pPr>
        <w:spacing w:after="120" w:before="0" w:line="360"/>
        <w:ind w:firstLine="567"/>
        <w:jc w:val="both"/>
      </w:pPr>
      <w:r>
        <w:rPr>
          <w:rFonts w:ascii="Times New Roman" w:cs="Times New Roman" w:eastAsia="Times New Roman" w:hAnsi="Times New Roman"/>
          <w:sz w:val="24"/>
          <w:szCs w:val="24"/>
        </w:rPr>
        <w:t xml:space="preserve">O BERTimbau supera os três modelos de referência com diferenças de F1-macro entre 14,6 e 17,4 p.p., cujos intervalos de confiança excluem largamente o zero, e com p corrigido inferior a 10</w:t>
      </w:r>
      <w:r>
        <w:rPr>
          <w:rFonts w:ascii="Times New Roman" w:cs="Times New Roman" w:eastAsia="Times New Roman" w:hAnsi="Times New Roman"/>
          <w:sz w:val="24"/>
          <w:szCs w:val="24"/>
          <w:vertAlign w:val="superscript"/>
        </w:rPr>
        <w:t xml:space="preserve">-47</w:t>
      </w:r>
      <w:r>
        <w:rPr>
          <w:rFonts w:ascii="Times New Roman" w:cs="Times New Roman" w:eastAsia="Times New Roman" w:hAnsi="Times New Roman"/>
          <w:sz w:val="24"/>
          <w:szCs w:val="24"/>
        </w:rPr>
        <w:t xml:space="preserve"> em todos os casos. Em cada par, o número de itens que só o BERTimbau acerta (473–714) é 4,1 a 6,5 vezes superior ao número de itens que só o outro modelo acerta (110–115).</w:t>
      </w:r>
    </w:p>
    <w:p>
      <w:pPr>
        <w:spacing w:after="120" w:before="0" w:line="360"/>
        <w:ind w:firstLine="567"/>
        <w:jc w:val="both"/>
      </w:pPr>
      <w:r>
        <w:rPr>
          <w:rFonts w:ascii="Times New Roman" w:cs="Times New Roman" w:eastAsia="Times New Roman" w:hAnsi="Times New Roman"/>
          <w:sz w:val="24"/>
          <w:szCs w:val="24"/>
        </w:rPr>
        <w:t xml:space="preserve">Entre os modelos de referência, o quadro é diferente. O Bi-LSTM e a Floresta Aleatória têm F1-macro praticamente iguais (ΔF1 = 0,2 p.p., IC 95% [-4,0; 4,2]) e a diferença nos acertos não é significativa após correcção (p = 0,175); a Floresta Aleatória acerta, aliás, mais itens isolados do que o Bi-LSTM (409 contra 348). O Bi-LSTM e a Floresta Aleatória acertam significativamente mais itens do que o SVM, mas as diferenças de F1-macro (2,8 e 2,6 p.p.) têm intervalos que incluem o zero. Só o BERTimbau se distingue, portanto, dos restantes. O Bi-LSTM não mostra vantagem consistente sobre os modelos clássicos neste corpus.</w:t>
      </w:r>
    </w:p>
    <w:p>
      <w:pPr>
        <w:pStyle w:val="Heading2"/>
        <w:keepNext/>
        <w:keepLines/>
        <w:spacing w:after="160" w:before="360" w:line="300"/>
      </w:pPr>
      <w:r>
        <w:rPr>
          <w:rFonts w:ascii="Times New Roman" w:cs="Times New Roman" w:eastAsia="Times New Roman" w:hAnsi="Times New Roman"/>
          <w:b/>
          <w:bCs/>
          <w:sz w:val="26"/>
          <w:szCs w:val="26"/>
        </w:rPr>
        <w:t xml:space="preserve">4.4 Desempenho por categoria e análise de erros</w:t>
      </w:r>
    </w:p>
    <w:p>
      <w:pPr>
        <w:spacing w:after="120" w:before="0" w:line="360"/>
        <w:ind w:firstLine="567"/>
        <w:jc w:val="both"/>
      </w:pPr>
      <w:r>
        <w:rPr>
          <w:rFonts w:ascii="Times New Roman" w:cs="Times New Roman" w:eastAsia="Times New Roman" w:hAnsi="Times New Roman"/>
          <w:sz w:val="24"/>
          <w:szCs w:val="24"/>
        </w:rPr>
        <w:t xml:space="preserve">A Tabela 4.4 desagrega o F1 por categoria. Para o BERTimbau, apresentam-se também a precisão, a sensibilidade (</w:t>
      </w:r>
      <w:r>
        <w:rPr>
          <w:rFonts w:ascii="Times New Roman" w:cs="Times New Roman" w:eastAsia="Times New Roman" w:hAnsi="Times New Roman"/>
          <w:i/>
          <w:iCs/>
          <w:sz w:val="24"/>
          <w:szCs w:val="24"/>
        </w:rPr>
        <w:t xml:space="preserve">recall</w:t>
      </w:r>
      <w:r>
        <w:rPr>
          <w:rFonts w:ascii="Times New Roman" w:cs="Times New Roman" w:eastAsia="Times New Roman" w:hAnsi="Times New Roman"/>
          <w:sz w:val="24"/>
          <w:szCs w:val="24"/>
        </w:rPr>
        <w:t xml:space="preserve">) e o IC 95% do F1 de cada categoria.</w:t>
      </w:r>
    </w:p>
    <w:p>
      <w:pPr>
        <w:pStyle w:val="LegendaTabela"/>
        <w:keepNext/>
        <w:spacing w:after="80" w:before="240" w:line="240"/>
        <w:jc w:val="center"/>
      </w:pPr>
      <w:r>
        <w:rPr>
          <w:rFonts w:ascii="Times New Roman" w:cs="Times New Roman" w:eastAsia="Times New Roman" w:hAnsi="Times New Roman"/>
          <w:b/>
          <w:bCs/>
          <w:sz w:val="20"/>
          <w:szCs w:val="20"/>
        </w:rPr>
        <w:t xml:space="preserve">Tabela 4.4 – F1 por categoria e modelo; precisão e sensibilidade do BERTimbau</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950"/>
        <w:gridCol w:w="950"/>
        <w:gridCol w:w="700"/>
        <w:gridCol w:w="850"/>
        <w:gridCol w:w="1650"/>
        <w:gridCol w:w="1060"/>
        <w:gridCol w:w="1060"/>
      </w:tblGrid>
      <w:tr>
        <w:trPr>
          <w:cantSplit/>
          <w:tblHeader/>
        </w:trPr>
        <w:tc>
          <w:tcPr>
            <w:tcW w:type="dxa" w:w="19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Categoria</w:t>
            </w:r>
          </w:p>
        </w:tc>
        <w:tc>
          <w:tcPr>
            <w:tcW w:type="dxa" w:w="9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 Aleatória</w:t>
            </w:r>
          </w:p>
        </w:tc>
        <w:tc>
          <w:tcPr>
            <w:tcW w:type="dxa" w:w="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SVM</w:t>
            </w:r>
          </w:p>
        </w:tc>
        <w:tc>
          <w:tcPr>
            <w:tcW w:type="dxa" w:w="8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Bi-LSTM</w:t>
            </w:r>
          </w:p>
        </w:tc>
        <w:tc>
          <w:tcPr>
            <w:tcW w:type="dxa" w:w="16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BERTimbau F1 [IC 95%]</w:t>
            </w:r>
          </w:p>
        </w:tc>
        <w:tc>
          <w:tcPr>
            <w:tcW w:type="dxa" w:w="106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Precisão ᵃ</w:t>
            </w:r>
          </w:p>
        </w:tc>
        <w:tc>
          <w:tcPr>
            <w:tcW w:type="dxa" w:w="106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Sensib. ᵃ</w:t>
            </w:r>
          </w:p>
        </w:tc>
      </w:tr>
      <w:tr>
        <w:trPr>
          <w:cantSplit/>
          <w:tblHeader w:val="false"/>
        </w:trPr>
        <w:tc>
          <w:tcPr>
            <w:tcW w:type="dxa" w:w="1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Normal (n = 2.843)</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0,889</w:t>
            </w:r>
          </w:p>
        </w:tc>
        <w:tc>
          <w:tcPr>
            <w:tcW w:type="dxa" w:w="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0,836</w:t>
            </w:r>
          </w:p>
        </w:tc>
        <w:tc>
          <w:tcPr>
            <w:tcW w:type="dxa" w:w="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0,875</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0,952</w:t>
            </w:r>
            <w:r>
              <w:rPr>
                <w:rFonts w:ascii="Times New Roman" w:cs="Times New Roman" w:eastAsia="Times New Roman" w:hAnsi="Times New Roman"/>
                <w:b w:val="false"/>
                <w:bCs w:val="false"/>
                <w:sz w:val="19"/>
                <w:szCs w:val="19"/>
              </w:rPr>
              <w:t xml:space="preserve"> [0,95; 0,96]</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0,952</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0,951</w:t>
            </w:r>
          </w:p>
        </w:tc>
      </w:tr>
      <w:tr>
        <w:trPr>
          <w:cantSplit/>
          <w:tblHeader w:val="false"/>
        </w:trPr>
        <w:tc>
          <w:tcPr>
            <w:tcW w:type="dxa" w:w="1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Desinformação (n = 580)</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0,922</w:t>
            </w:r>
          </w:p>
        </w:tc>
        <w:tc>
          <w:tcPr>
            <w:tcW w:type="dxa" w:w="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0,871</w:t>
            </w:r>
          </w:p>
        </w:tc>
        <w:tc>
          <w:tcPr>
            <w:tcW w:type="dxa" w:w="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0,815</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0,947</w:t>
            </w:r>
            <w:r>
              <w:rPr>
                <w:rFonts w:ascii="Times New Roman" w:cs="Times New Roman" w:eastAsia="Times New Roman" w:hAnsi="Times New Roman"/>
                <w:b w:val="false"/>
                <w:bCs w:val="false"/>
                <w:sz w:val="19"/>
                <w:szCs w:val="19"/>
              </w:rPr>
              <w:t xml:space="preserve"> [0,93; 0,96]</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0,947</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0,948</w:t>
            </w:r>
          </w:p>
        </w:tc>
      </w:tr>
      <w:tr>
        <w:trPr>
          <w:cantSplit/>
          <w:tblHeader w:val="false"/>
        </w:trPr>
        <w:tc>
          <w:tcPr>
            <w:tcW w:type="dxa" w:w="1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Ódio (n = 517)</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0,455</w:t>
            </w:r>
          </w:p>
        </w:tc>
        <w:tc>
          <w:tcPr>
            <w:tcW w:type="dxa" w:w="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0,497</w:t>
            </w:r>
          </w:p>
        </w:tc>
        <w:tc>
          <w:tcPr>
            <w:tcW w:type="dxa" w:w="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0,585</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0,778</w:t>
            </w:r>
            <w:r>
              <w:rPr>
                <w:rFonts w:ascii="Times New Roman" w:cs="Times New Roman" w:eastAsia="Times New Roman" w:hAnsi="Times New Roman"/>
                <w:b w:val="false"/>
                <w:bCs w:val="false"/>
                <w:sz w:val="19"/>
                <w:szCs w:val="19"/>
              </w:rPr>
              <w:t xml:space="preserve"> [0,75; 0,80]</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0,783</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0,774</w:t>
            </w:r>
          </w:p>
        </w:tc>
      </w:tr>
      <w:tr>
        <w:trPr>
          <w:cantSplit/>
          <w:tblHeader w:val="false"/>
        </w:trPr>
        <w:tc>
          <w:tcPr>
            <w:tcW w:type="dxa" w:w="1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Mobilização (n = 47)</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0,368</w:t>
            </w:r>
          </w:p>
        </w:tc>
        <w:tc>
          <w:tcPr>
            <w:tcW w:type="dxa" w:w="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0,326</w:t>
            </w:r>
          </w:p>
        </w:tc>
        <w:tc>
          <w:tcPr>
            <w:tcW w:type="dxa" w:w="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0,367</w:t>
            </w:r>
          </w:p>
        </w:tc>
        <w:tc>
          <w:tcPr>
            <w:tcW w:type="dxa" w:w="16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0,549</w:t>
            </w:r>
            <w:r>
              <w:rPr>
                <w:rFonts w:ascii="Times New Roman" w:cs="Times New Roman" w:eastAsia="Times New Roman" w:hAnsi="Times New Roman"/>
                <w:b w:val="false"/>
                <w:bCs w:val="false"/>
                <w:sz w:val="19"/>
                <w:szCs w:val="19"/>
              </w:rPr>
              <w:t xml:space="preserve"> [0,42; 0,66]</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0,509</w:t>
            </w:r>
          </w:p>
        </w:tc>
        <w:tc>
          <w:tcPr>
            <w:tcW w:type="dxa" w:w="10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0,596</w:t>
            </w:r>
          </w:p>
        </w:tc>
      </w:tr>
      <w:tr>
        <w:trPr>
          <w:cantSplit/>
          <w:tblHeader w:val="false"/>
        </w:trPr>
        <w:tc>
          <w:tcPr>
            <w:tcW w:type="dxa" w:w="19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F1-macro</w:t>
            </w:r>
          </w:p>
        </w:tc>
        <w:tc>
          <w:tcPr>
            <w:tcW w:type="dxa" w:w="9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0,659</w:t>
            </w:r>
          </w:p>
        </w:tc>
        <w:tc>
          <w:tcPr>
            <w:tcW w:type="dxa" w:w="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0,633</w:t>
            </w:r>
          </w:p>
        </w:tc>
        <w:tc>
          <w:tcPr>
            <w:tcW w:type="dxa" w:w="8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0,660</w:t>
            </w:r>
          </w:p>
        </w:tc>
        <w:tc>
          <w:tcPr>
            <w:tcW w:type="dxa" w:w="16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0,807</w:t>
            </w:r>
          </w:p>
        </w:tc>
        <w:tc>
          <w:tcPr>
            <w:tcW w:type="dxa" w:w="10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0,798</w:t>
            </w:r>
          </w:p>
        </w:tc>
        <w:tc>
          <w:tcPr>
            <w:tcW w:type="dxa" w:w="10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0,817</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ᵃ Precisão e sensibilidade do BERTimbau; na última linha, médias macro.</w:t>
      </w:r>
    </w:p>
    <w:p>
      <w:pPr>
        <w:spacing w:after="120" w:before="0" w:line="360"/>
        <w:ind w:firstLine="567"/>
        <w:jc w:val="both"/>
      </w:pPr>
      <w:r>
        <w:rPr>
          <w:rFonts w:ascii="Times New Roman" w:cs="Times New Roman" w:eastAsia="Times New Roman" w:hAnsi="Times New Roman"/>
          <w:sz w:val="24"/>
          <w:szCs w:val="24"/>
        </w:rPr>
        <w:t xml:space="preserve">O BERTimbau alcança F1 de 0,952 na Normal e 0,947 na Desinformação, 0,778 no Discurso de Ódio e 0,549 na Mobilização Hostil. A vantagem sobre os modelos de referência é maior no Discurso de Ódio (0,778 contra 0,455–0,585), categoria em que a Floresta Aleatória classifica como Normal a maioria dos itens de ódio, e na Mobilização Hostil (0,549 contra 0,326–0,368). Na Desinformação, a diferença é menor (0,947 contra 0,815–0,922), porque todos os modelos obtêm valores elevados nesta categoria.</w:t>
      </w:r>
    </w:p>
    <w:p>
      <w:pPr>
        <w:spacing w:after="120" w:before="0" w:line="360"/>
        <w:ind w:firstLine="567"/>
        <w:jc w:val="both"/>
      </w:pPr>
      <w:r>
        <w:rPr>
          <w:rFonts w:ascii="Times New Roman" w:cs="Times New Roman" w:eastAsia="Times New Roman" w:hAnsi="Times New Roman"/>
          <w:sz w:val="24"/>
          <w:szCs w:val="24"/>
        </w:rPr>
        <w:t xml:space="preserve">A Mobilização Hostil é a categoria de maior relevância operacional e a de estimativa menos precisa. O BERTimbau identificou 28 dos 47 itens de teste (sensibilidade de 0,596) e produziu 27 falsos positivos (precisão de 0,509). O IC 95% do F1 desta categoria, [0,42; 0,66], tem uma amplitude superior a 20 p.p., consequência directa do número reduzido de exemplos. A Figura 4.2 apresenta as matrizes de confusão dos quatro modelos.</w:t>
      </w:r>
    </w:p>
    <w:p>
      <w:pPr>
        <w:keepNext/>
        <w:spacing w:after="40" w:before="160"/>
        <w:jc w:val="center"/>
      </w:pPr>
      <w:r>
        <w:drawing>
          <wp:inline distT="0" distB="0" distL="0" distR="0">
            <wp:extent cx="4143375" cy="3962400"/>
            <wp:effectExtent t="0" r="0" b="0" l="0"/>
            <wp:docPr id="1" name="fig4_2_confusao.png" descr="fig4_2_confusao.png" title="fig4_2_confusa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143375" cy="39624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4.2 – Matrizes de confusão (4 × 4) no conjunto de teste (contagens e percentagem por linha)</w:t>
      </w:r>
    </w:p>
    <w:p>
      <w:pPr>
        <w:spacing w:after="120" w:before="0" w:line="360"/>
        <w:ind w:firstLine="567"/>
        <w:jc w:val="both"/>
      </w:pPr>
      <w:r>
        <w:rPr>
          <w:rFonts w:ascii="Times New Roman" w:cs="Times New Roman" w:eastAsia="Times New Roman" w:hAnsi="Times New Roman"/>
          <w:sz w:val="24"/>
          <w:szCs w:val="24"/>
        </w:rPr>
        <w:t xml:space="preserve">Dois padrões de erro são comuns aos quatro modelos. O primeiro, e mais frequente, é a confusão entre Normal e Discurso de Ódio: no BERTimbau, 100 itens Normais foram classificados como Discurso de Ódio e 104 itens de Discurso de Ódio como Normais, o que corresponde a 20% dos itens de ódio. Trata-se de uma fronteira conceptualmente difícil, que envolve ódio implícito, ironia e insulto sem alvo identitário. O segundo padrão é a classificação de Mobilização Hostil como Normal (12 dos 47 itens no BERTimbau; 16 no Bi-LSTM, 24 na Floresta Aleatória e 7 no SVM), que reproduz a fronteira, assumida no Guia de Anotação, entre convocatória legítima e mobilização hostil. Um terceiro é próprio do BERTimbau: a raridade das confusões que envolvem a Desinformação, que se analisa na Secção 4.6.</w:t>
      </w:r>
    </w:p>
    <w:p>
      <w:pPr>
        <w:spacing w:after="120" w:before="0" w:line="360"/>
        <w:ind w:firstLine="567"/>
        <w:jc w:val="both"/>
      </w:pPr>
      <w:r>
        <w:rPr>
          <w:rFonts w:ascii="Times New Roman" w:cs="Times New Roman" w:eastAsia="Times New Roman" w:hAnsi="Times New Roman"/>
          <w:sz w:val="24"/>
          <w:szCs w:val="24"/>
        </w:rPr>
        <w:t xml:space="preserve">Do ponto de vista operacional, uma sensibilidade de cerca de 0,60 com precisão de cerca de 0,51 na Mobilização Hostil significa que o modelo deixa escapar aproximadamente quatro em cada dez itens desta categoria e que cerca de metade das suas previsões desta categoria são falsos positivos. Estes valores são incompatíveis com qualquer uso automático das classificações e sustentam o desenho do sistema como ferramenta de triagem com revisão humana obrigatória (Secção 4.8).</w:t>
      </w:r>
    </w:p>
    <w:p>
      <w:pPr>
        <w:pStyle w:val="Heading2"/>
        <w:keepNext/>
        <w:keepLines/>
        <w:spacing w:after="160" w:before="360" w:line="300"/>
      </w:pPr>
      <w:r>
        <w:rPr>
          <w:rFonts w:ascii="Times New Roman" w:cs="Times New Roman" w:eastAsia="Times New Roman" w:hAnsi="Times New Roman"/>
          <w:b/>
          <w:bCs/>
          <w:sz w:val="26"/>
          <w:szCs w:val="26"/>
        </w:rPr>
        <w:t xml:space="preserve">4.5 Análises de robustez</w:t>
      </w:r>
    </w:p>
    <w:p>
      <w:pPr>
        <w:pStyle w:val="Heading3"/>
        <w:keepNext/>
        <w:spacing w:after="100" w:before="200"/>
      </w:pPr>
      <w:r>
        <w:rPr>
          <w:rFonts w:ascii="Times New Roman" w:cs="Times New Roman" w:eastAsia="Times New Roman" w:hAnsi="Times New Roman"/>
          <w:b/>
          <w:bCs/>
          <w:sz w:val="26"/>
          <w:szCs w:val="26"/>
        </w:rPr>
        <w:t xml:space="preserve">4.5.1 Variabilidade entre sementes, ensemble e ablações</w:t>
      </w:r>
    </w:p>
    <w:p>
      <w:pPr>
        <w:spacing w:after="120" w:before="0" w:line="360"/>
        <w:ind w:firstLine="567"/>
        <w:jc w:val="both"/>
      </w:pPr>
      <w:r>
        <w:rPr>
          <w:rFonts w:ascii="Times New Roman" w:cs="Times New Roman" w:eastAsia="Times New Roman" w:hAnsi="Times New Roman"/>
          <w:sz w:val="24"/>
          <w:szCs w:val="24"/>
        </w:rPr>
        <w:t xml:space="preserve">Para avaliar a estabilidade do resultado do BERTimbau, repetiu-se o ajuste fino com três sementes aleatórias (42, 43 e 44) e testaram-se três variantes: a média das probabilidades das três sementes (</w:t>
      </w:r>
      <w:r>
        <w:rPr>
          <w:rFonts w:ascii="Times New Roman" w:cs="Times New Roman" w:eastAsia="Times New Roman" w:hAnsi="Times New Roman"/>
          <w:i/>
          <w:iCs/>
          <w:sz w:val="24"/>
          <w:szCs w:val="24"/>
        </w:rPr>
        <w:t xml:space="preserve">ensemble</w:t>
      </w:r>
      <w:r>
        <w:rPr>
          <w:rFonts w:ascii="Times New Roman" w:cs="Times New Roman" w:eastAsia="Times New Roman" w:hAnsi="Times New Roman"/>
          <w:sz w:val="24"/>
          <w:szCs w:val="24"/>
        </w:rPr>
        <w:t xml:space="preserve">), o treino sem o lote enriquecido por selecção temática de vídeos (ablação) e pesos de classe suavizados (expoente 0,5 sobre o inverso da frequência). A Tabela 4.5 reúne os resultados.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4.5 – Variantes do BERTimbau: validação, teste e comparação com a referência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1050"/>
        <w:gridCol w:w="1150"/>
        <w:gridCol w:w="1850"/>
        <w:gridCol w:w="950"/>
        <w:gridCol w:w="1020"/>
      </w:tblGrid>
      <w:tr>
        <w:trPr>
          <w:cantSplit/>
          <w:tblHeader/>
        </w:trPr>
        <w:tc>
          <w:tcPr>
            <w:tcW w:type="dxa" w:w="22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Variante</w:t>
            </w:r>
          </w:p>
        </w:tc>
        <w:tc>
          <w:tcPr>
            <w:tcW w:type="dxa" w:w="10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validação</w:t>
            </w:r>
          </w:p>
        </w:tc>
        <w:tc>
          <w:tcPr>
            <w:tcW w:type="dxa" w:w="11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 vs. referência (validação)</w:t>
            </w:r>
          </w:p>
        </w:tc>
        <w:tc>
          <w:tcPr>
            <w:tcW w:type="dxa" w:w="18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teste [IC 95%]</w:t>
            </w:r>
          </w:p>
        </w:tc>
        <w:tc>
          <w:tcPr>
            <w:tcW w:type="dxa" w:w="9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Mobil. (teste)</w:t>
            </w:r>
          </w:p>
        </w:tc>
        <w:tc>
          <w:tcPr>
            <w:tcW w:type="dxa" w:w="10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 vs. referência (teste)</w:t>
            </w:r>
          </w:p>
        </w:tc>
      </w:tr>
      <w:tr>
        <w:trPr>
          <w:cantSplit/>
          <w:tblHeader w:val="false"/>
        </w:trPr>
        <w:tc>
          <w:tcPr>
            <w:tcW w:type="dxa" w:w="220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Referência (semente 42)</w:t>
            </w:r>
          </w:p>
        </w:tc>
        <w:tc>
          <w:tcPr>
            <w:tcW w:type="dxa" w:w="105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0,814</w:t>
            </w:r>
          </w:p>
        </w:tc>
        <w:tc>
          <w:tcPr>
            <w:tcW w:type="dxa" w:w="115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w:t>
            </w:r>
          </w:p>
        </w:tc>
        <w:tc>
          <w:tcPr>
            <w:tcW w:type="dxa" w:w="185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0,807 [0,774; 0,838]</w:t>
            </w:r>
          </w:p>
        </w:tc>
        <w:tc>
          <w:tcPr>
            <w:tcW w:type="dxa" w:w="95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0,549</w:t>
            </w:r>
          </w:p>
        </w:tc>
        <w:tc>
          <w:tcPr>
            <w:tcW w:type="dxa" w:w="1020"/>
            <w:tcBorders>
              <w:top w:val="none" w:color="FFFFFF" w:sz="0"/>
              <w:left w:val="none" w:color="FFFFFF" w:sz="0"/>
              <w:bottom w:val="none" w:color="FFFFFF" w:sz="0"/>
              <w:right w:val="none" w:color="FFFFFF" w:sz="0"/>
            </w:tcBorders>
            <w:shd w:fill="F3F2EE"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w:t>
            </w:r>
          </w:p>
        </w:tc>
      </w:tr>
      <w:tr>
        <w:trPr>
          <w:cantSplit/>
          <w:tblHeader w:val="false"/>
        </w:trPr>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Semente 43</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0,811</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0,721</w:t>
            </w:r>
          </w:p>
        </w:tc>
        <w:tc>
          <w:tcPr>
            <w:tcW w:type="dxa" w:w="1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0,785 [0,752; 0,816]</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0,472</w:t>
            </w:r>
          </w:p>
        </w:tc>
        <w:tc>
          <w:tcPr>
            <w:tcW w:type="dxa" w:w="1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0,059</w:t>
            </w:r>
          </w:p>
        </w:tc>
      </w:tr>
      <w:tr>
        <w:trPr>
          <w:cantSplit/>
          <w:tblHeader w:val="false"/>
        </w:trPr>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Semente 44</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0,816</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0,181</w:t>
            </w:r>
          </w:p>
        </w:tc>
        <w:tc>
          <w:tcPr>
            <w:tcW w:type="dxa" w:w="1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0,801 [0,769; 0,830]</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0,549</w:t>
            </w:r>
          </w:p>
        </w:tc>
        <w:tc>
          <w:tcPr>
            <w:tcW w:type="dxa" w:w="1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0,002</w:t>
            </w:r>
          </w:p>
        </w:tc>
      </w:tr>
      <w:tr>
        <w:trPr>
          <w:cantSplit/>
          <w:tblHeader w:val="false"/>
        </w:trPr>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Ensemble (média das 3 sementes)</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0,820</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0,824</w:t>
            </w:r>
          </w:p>
        </w:tc>
        <w:tc>
          <w:tcPr>
            <w:tcW w:type="dxa" w:w="1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0,807 [0,775; 0,836]</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0,545</w:t>
            </w:r>
          </w:p>
        </w:tc>
        <w:tc>
          <w:tcPr>
            <w:tcW w:type="dxa" w:w="1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0,520</w:t>
            </w:r>
          </w:p>
        </w:tc>
      </w:tr>
      <w:tr>
        <w:trPr>
          <w:cantSplit/>
          <w:tblHeader w:val="false"/>
        </w:trPr>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Sem lote de vídeos temáticos</w:t>
            </w:r>
          </w:p>
        </w:tc>
        <w:tc>
          <w:tcPr>
            <w:tcW w:type="dxa" w:w="10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0,815</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0,506</w:t>
            </w:r>
          </w:p>
        </w:tc>
        <w:tc>
          <w:tcPr>
            <w:tcW w:type="dxa" w:w="18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0,799 [0,765; 0,830]</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0,529</w:t>
            </w:r>
          </w:p>
        </w:tc>
        <w:tc>
          <w:tcPr>
            <w:tcW w:type="dxa" w:w="1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0,406</w:t>
            </w:r>
          </w:p>
        </w:tc>
      </w:tr>
      <w:tr>
        <w:trPr>
          <w:cantSplit/>
          <w:tblHeader w:val="false"/>
        </w:trPr>
        <w:tc>
          <w:tcPr>
            <w:tcW w:type="dxa" w:w="22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Pesos de classe suavizados (0,5)</w:t>
            </w:r>
          </w:p>
        </w:tc>
        <w:tc>
          <w:tcPr>
            <w:tcW w:type="dxa" w:w="10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0,826</w:t>
            </w:r>
          </w:p>
        </w:tc>
        <w:tc>
          <w:tcPr>
            <w:tcW w:type="dxa" w:w="11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0,219</w:t>
            </w:r>
          </w:p>
        </w:tc>
        <w:tc>
          <w:tcPr>
            <w:tcW w:type="dxa" w:w="18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0,799 [0,761; 0,832]</w:t>
            </w:r>
          </w:p>
        </w:tc>
        <w:tc>
          <w:tcPr>
            <w:tcW w:type="dxa" w:w="9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0,518</w:t>
            </w:r>
          </w:p>
        </w:tc>
        <w:tc>
          <w:tcPr>
            <w:tcW w:type="dxa" w:w="10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0,718</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Média ± desvio-padrão do F1-macro de teste nas três sementes: 0,797 ± 0,011. Valores de p do teste de McNemar, sem correcção para comparações múltiplas; a decisão usa apenas os da validação.</w:t>
      </w:r>
    </w:p>
    <w:p>
      <w:pPr>
        <w:spacing w:after="120" w:before="0" w:line="360"/>
        <w:ind w:firstLine="567"/>
        <w:jc w:val="both"/>
      </w:pPr>
      <w:r>
        <w:rPr>
          <w:rFonts w:ascii="Times New Roman" w:cs="Times New Roman" w:eastAsia="Times New Roman" w:hAnsi="Times New Roman"/>
          <w:sz w:val="24"/>
          <w:szCs w:val="24"/>
        </w:rPr>
        <w:t xml:space="preserve">O F1-macro de teste varia entre 0,785 e 0,807 consoante a semente, com média de 0,797 ± 0,011. A semente 42 é a configuração de referência, definida antes das restantes execuções, mas é também a que obteve o valor de teste mais elevado; por isso, a média das três sementes (0,797) constitui a estimativa mais representativa do desempenho esperado do BERTimbau neste protocolo. A variabilidade concentra-se na Mobilização Hostil, cujo F1 oscila entre 0,472 e 0,549. As sementes 42 e 44 diferem significativamente nos itens que acertam (p = 0,002), apesar de F1-macro e F1 de Mobilização Hostil semelhantes: modelos com desempenho agregado equivalente tomam decisões individuais diferentes, o que reforça a necessidade de revisão humana item a item.</w:t>
      </w:r>
    </w:p>
    <w:p>
      <w:pPr>
        <w:spacing w:after="120" w:before="0" w:line="360"/>
        <w:ind w:firstLine="567"/>
        <w:jc w:val="both"/>
      </w:pPr>
      <w:r>
        <w:rPr>
          <w:rFonts w:ascii="Times New Roman" w:cs="Times New Roman" w:eastAsia="Times New Roman" w:hAnsi="Times New Roman"/>
          <w:sz w:val="24"/>
          <w:szCs w:val="24"/>
        </w:rPr>
        <w:t xml:space="preserve">Os modelos de referência foram também treinados com as sementes 43 e 44; a semente 42 reproduz os valores da Tabela 4.2. Na média das três sementes, o F1-macro é de 0,652 ± 0,009 na Floresta Aleatória, 0,645 ± 0,016 no Bi-LSTM e 0,631 ± 0,001 no SVM. O BERTimbau supera cada um deles em todas as sementes, por 14,6 a 17,8 p.p. (McNemar, p &lt; 10</w:t>
      </w:r>
      <w:r>
        <w:rPr>
          <w:rFonts w:ascii="Times New Roman" w:cs="Times New Roman" w:eastAsia="Times New Roman" w:hAnsi="Times New Roman"/>
          <w:sz w:val="24"/>
          <w:szCs w:val="24"/>
          <w:vertAlign w:val="superscript"/>
        </w:rPr>
        <w:t xml:space="preserve">-48</w:t>
      </w:r>
      <w:r>
        <w:rPr>
          <w:rFonts w:ascii="Times New Roman" w:cs="Times New Roman" w:eastAsia="Times New Roman" w:hAnsi="Times New Roman"/>
          <w:sz w:val="24"/>
          <w:szCs w:val="24"/>
        </w:rPr>
        <w:t xml:space="preserve">). O Bi-LSTM, o mais instável, nunca supera a Floresta Aleatória: a diferença é de +0,2 p.p. na semente 42 e de −0,9 e −1,3 p.p. nas sementes 43 e 44, nestas duas a favor da Floresta (p &lt; 10</w:t>
      </w:r>
      <w:r>
        <w:rPr>
          <w:rFonts w:ascii="Times New Roman" w:cs="Times New Roman" w:eastAsia="Times New Roman" w:hAnsi="Times New Roman"/>
          <w:sz w:val="24"/>
          <w:szCs w:val="24"/>
          <w:vertAlign w:val="superscript"/>
        </w:rPr>
        <w:t xml:space="preserve">-4</w:t>
      </w:r>
      <w:r>
        <w:rPr>
          <w:rFonts w:ascii="Times New Roman" w:cs="Times New Roman" w:eastAsia="Times New Roman" w:hAnsi="Times New Roman"/>
          <w:sz w:val="24"/>
          <w:szCs w:val="24"/>
        </w:rPr>
        <w:t xml:space="preserve">).</w:t>
      </w:r>
    </w:p>
    <w:p>
      <w:pPr>
        <w:spacing w:after="120" w:before="0" w:line="360"/>
        <w:ind w:firstLine="567"/>
        <w:jc w:val="both"/>
      </w:pPr>
      <w:r>
        <w:rPr>
          <w:rFonts w:ascii="Times New Roman" w:cs="Times New Roman" w:eastAsia="Times New Roman" w:hAnsi="Times New Roman"/>
          <w:sz w:val="24"/>
          <w:szCs w:val="24"/>
        </w:rPr>
        <w:t xml:space="preserve">Na validação, onde o critério da Secção 3.7 manda decidir, nenhuma variante nem nenhuma semente se distingue da referência (McNemar, p ≥ 0,18), pelo que se manteve a configuração de referência. A variante com pesos suavizados obteve o melhor F1-macro de validação (0,826), sem diferença significativa nos acertos, e no teste ficou em 0,799, com F1 de Mobilização Hostil inferior (0,518). Os valores de teste apresentam-se apenas para informação: também aí nenhuma das três variantes se distingue da referência (p &gt; 0,40). A ablação do lote de vídeos temáticos reduziu o F1-macro de 0,807 para 0,799 e o F1 de Mobilização Hostil de 0,549 para 0,529, diferenças que não são estatisticamente distinguíveis (p = 0,41): o contributo desse lote existe na direcção esperada, mas não é demonstrável com a dimensão actual do teste.</w:t>
      </w:r>
    </w:p>
    <w:p>
      <w:pPr>
        <w:spacing w:after="120" w:before="0" w:line="360"/>
        <w:ind w:firstLine="567"/>
        <w:jc w:val="both"/>
      </w:pPr>
      <w:r>
        <w:rPr>
          <w:rFonts w:ascii="Times New Roman" w:cs="Times New Roman" w:eastAsia="Times New Roman" w:hAnsi="Times New Roman"/>
          <w:sz w:val="24"/>
          <w:szCs w:val="24"/>
        </w:rPr>
        <w:t xml:space="preserve">O modelo usado no protótipo do sistema (Secção 3.8) resulta de um novo treino com a configuração de referência, porque os pesos da corrida original não foram guardados. A divisão dos dados foi reconstruída e verificada item a item: as etiquetas de validação e de teste coincidem integralmente com as da corrida de referência. O novo modelo obteve F1-macro de 0,808 (IC 95% [0,773; 0,839]), contra 0,807 na referência; a diferença (0,1 p.p., IC 95% [-1,5; 1,8]) não é significativa (McNemar, p = 0,41), e os dois modelos dão a mesma previsão em 97,4% dos itens de teste. Os resultados deste capítulo referem-se à corrida de referência; o modelo do protótipo é, para efeitos práticos, equivalente. Este novo treino usou o mesmo corpus v13, incluindo os nomes próprios do lote temático referidos na Secção 3.2; a sua substituição fica pendente.</w:t>
      </w:r>
    </w:p>
    <w:p>
      <w:pPr>
        <w:pStyle w:val="Heading3"/>
        <w:keepNext/>
        <w:spacing w:after="100" w:before="200"/>
      </w:pPr>
      <w:r>
        <w:rPr>
          <w:rFonts w:ascii="Times New Roman" w:cs="Times New Roman" w:eastAsia="Times New Roman" w:hAnsi="Times New Roman"/>
          <w:b/>
          <w:bCs/>
          <w:sz w:val="26"/>
          <w:szCs w:val="26"/>
        </w:rPr>
        <w:t xml:space="preserve">4.5.2 Ajuste de limiares de decisão</w:t>
      </w:r>
    </w:p>
    <w:p>
      <w:pPr>
        <w:spacing w:after="120" w:before="0" w:line="360"/>
        <w:ind w:firstLine="567"/>
        <w:jc w:val="both"/>
      </w:pPr>
      <w:r>
        <w:rPr>
          <w:rFonts w:ascii="Times New Roman" w:cs="Times New Roman" w:eastAsia="Times New Roman" w:hAnsi="Times New Roman"/>
          <w:sz w:val="24"/>
          <w:szCs w:val="24"/>
        </w:rPr>
        <w:t xml:space="preserve">Avaliou-se também o ajuste de vieses por classe sobre as pontuações de cada modelo (log-probabilidades nos modelos probabilísticos; pontuações de decisão no SVM), escolhidos no conjunto de validação. Como os vieses são escolhidos nos mesmos dados em que se medem, o ganho na validação é optimista; por isso, estimou-se o ganho esperado por validação cruzada dentro do conjunto de validação e confirmou-se no teste (Tabela 4.6).</w:t>
      </w:r>
    </w:p>
    <w:p>
      <w:pPr>
        <w:pStyle w:val="LegendaTabela"/>
        <w:keepNext/>
        <w:spacing w:after="80" w:before="240" w:line="240"/>
        <w:jc w:val="center"/>
      </w:pPr>
      <w:r>
        <w:rPr>
          <w:rFonts w:ascii="Times New Roman" w:cs="Times New Roman" w:eastAsia="Times New Roman" w:hAnsi="Times New Roman"/>
          <w:b/>
          <w:bCs/>
          <w:sz w:val="20"/>
          <w:szCs w:val="20"/>
        </w:rPr>
        <w:t xml:space="preserve">Tabela 4.6 – Efeito do ajuste de limiares no F1-macro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1600"/>
        <w:gridCol w:w="1700"/>
        <w:gridCol w:w="1700"/>
        <w:gridCol w:w="1520"/>
      </w:tblGrid>
      <w:tr>
        <w:trPr>
          <w:cantSplit/>
          <w:tblHeader/>
        </w:trPr>
        <w:tc>
          <w:tcPr>
            <w:tcW w:type="dxa" w:w="1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Modelo</w:t>
            </w:r>
          </w:p>
        </w:tc>
        <w:tc>
          <w:tcPr>
            <w:tcW w:type="dxa" w:w="1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Ganho esperado (VC), p.p.</w:t>
            </w:r>
          </w:p>
        </w:tc>
        <w:tc>
          <w:tcPr>
            <w:tcW w:type="dxa" w:w="1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teste (sem → com)</w:t>
            </w:r>
          </w:p>
        </w:tc>
        <w:tc>
          <w:tcPr>
            <w:tcW w:type="dxa" w:w="1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Δ teste, p.p. [IC 95%]</w:t>
            </w:r>
          </w:p>
        </w:tc>
        <w:tc>
          <w:tcPr>
            <w:tcW w:type="dxa" w:w="1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Leitura</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BERTimbau</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 ± 0,6</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0,807 → 0,799</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 [-1,9; 0,3]</w:t>
            </w:r>
          </w:p>
        </w:tc>
        <w:tc>
          <w:tcPr>
            <w:tcW w:type="dxa" w:w="1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Sem ganho</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Bi-LSTM</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+1,7 ± 0,7</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0,660 → 0,655</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 [-3,1; 1,8]</w:t>
            </w:r>
          </w:p>
        </w:tc>
        <w:tc>
          <w:tcPr>
            <w:tcW w:type="dxa" w:w="1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Ganho não confirmado</w:t>
            </w:r>
          </w:p>
        </w:tc>
      </w:tr>
      <w:tr>
        <w:trPr>
          <w:cantSplit/>
          <w:tblHeader w:val="false"/>
        </w:trPr>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Floresta Aleatória</w:t>
            </w:r>
          </w:p>
        </w:tc>
        <w:tc>
          <w:tcPr>
            <w:tcW w:type="dxa" w:w="1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-1,3 ± 0,6</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0,659 → 0,648</w:t>
            </w:r>
          </w:p>
        </w:tc>
        <w:tc>
          <w:tcPr>
            <w:tcW w:type="dxa" w:w="1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-1,1 [-1,9; -0,4]</w:t>
            </w:r>
          </w:p>
        </w:tc>
        <w:tc>
          <w:tcPr>
            <w:tcW w:type="dxa" w:w="1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Sem ganho</w:t>
            </w:r>
          </w:p>
        </w:tc>
      </w:tr>
      <w:tr>
        <w:trPr>
          <w:cantSplit/>
          <w:tblHeader w:val="false"/>
        </w:trPr>
        <w:tc>
          <w:tcPr>
            <w:tcW w:type="dxa" w:w="1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SVM</w:t>
            </w:r>
          </w:p>
        </w:tc>
        <w:tc>
          <w:tcPr>
            <w:tcW w:type="dxa" w:w="1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+3,5 ± 0,7</w:t>
            </w:r>
          </w:p>
        </w:tc>
        <w:tc>
          <w:tcPr>
            <w:tcW w:type="dxa" w:w="1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0,633 → 0,664</w:t>
            </w:r>
          </w:p>
        </w:tc>
        <w:tc>
          <w:tcPr>
            <w:tcW w:type="dxa" w:w="1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+3,2 [0,0; 5,9]</w:t>
            </w:r>
          </w:p>
        </w:tc>
        <w:tc>
          <w:tcPr>
            <w:tcW w:type="dxa" w:w="1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Ganho marginal</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VC: validação cruzada dentro do conjunto de validação (média ± desvio-padrão). Δ teste: diferença no conjunto de teste com IC 95% por </w:t>
      </w:r>
      <w:r>
        <w:rPr>
          <w:rFonts w:ascii="Times New Roman" w:cs="Times New Roman" w:eastAsia="Times New Roman" w:hAnsi="Times New Roman"/>
          <w:i/>
          <w:iCs/>
          <w:sz w:val="18"/>
          <w:szCs w:val="18"/>
        </w:rPr>
        <w:t xml:space="preserve">bootstrap</w:t>
      </w:r>
      <w:r>
        <w:rPr>
          <w:rFonts w:ascii="Times New Roman" w:cs="Times New Roman" w:eastAsia="Times New Roman" w:hAnsi="Times New Roman"/>
          <w:sz w:val="18"/>
          <w:szCs w:val="18"/>
        </w:rPr>
        <w:t xml:space="preserve"> emparelhado. Por protocolo (Secção 3.7), os resultados principais são reportados sem ajuste; o teste serve apenas para verificar a estimativa da validação.</w:t>
      </w:r>
    </w:p>
    <w:p>
      <w:pPr>
        <w:spacing w:after="120" w:before="0" w:line="360"/>
        <w:ind w:firstLine="567"/>
        <w:jc w:val="both"/>
      </w:pPr>
      <w:r>
        <w:rPr>
          <w:rFonts w:ascii="Times New Roman" w:cs="Times New Roman" w:eastAsia="Times New Roman" w:hAnsi="Times New Roman"/>
          <w:sz w:val="24"/>
          <w:szCs w:val="24"/>
        </w:rPr>
        <w:t xml:space="preserve">O ajuste não melhora o BERTimbau nem a Floresta Aleatória: o ganho esperado é negativo e confirma-se no teste. No Bi-LSTM, o ganho esperado positivo não se confirma no teste (IC inclui o zero). Apenas o SVM beneficia, e de forma marginal (+3,2 p.p., IC [0,0; 5,9]), passando para F1-macro de 0,664, valor que não altera a ordenação dos modelos. Por coerência, todas as tabelas deste capítulo reportam os modelos sem ajuste, e o valor ajustado do SVM é tratado apenas como análise de sensibilidade.</w:t>
      </w:r>
    </w:p>
    <w:p>
      <w:pPr>
        <w:pStyle w:val="Heading2"/>
        <w:keepNext/>
        <w:keepLines/>
        <w:spacing w:after="160" w:before="360" w:line="300"/>
      </w:pPr>
      <w:r>
        <w:rPr>
          <w:rFonts w:ascii="Times New Roman" w:cs="Times New Roman" w:eastAsia="Times New Roman" w:hAnsi="Times New Roman"/>
          <w:b/>
          <w:bCs/>
          <w:sz w:val="26"/>
          <w:szCs w:val="26"/>
        </w:rPr>
        <w:t xml:space="preserve">4.6 Lacuna de domínio: piloto angolano e corpus público (Hipótese H4)</w:t>
      </w:r>
    </w:p>
    <w:p>
      <w:pPr>
        <w:spacing w:after="120" w:before="0" w:line="360"/>
        <w:ind w:firstLine="567"/>
        <w:jc w:val="both"/>
      </w:pPr>
      <w:r>
        <w:rPr>
          <w:rFonts w:ascii="Times New Roman" w:cs="Times New Roman" w:eastAsia="Times New Roman" w:hAnsi="Times New Roman"/>
          <w:sz w:val="24"/>
          <w:szCs w:val="24"/>
        </w:rPr>
        <w:t xml:space="preserve">Conforme a formulação da Secção 1.3, testa-se se o desempenho do modelo seleccionado se degrada significativamente (ΔF1-macro ≥ 5 p.p.) em conteúdo angolano, comparando o subconjunto de teste proveniente do piloto angolano com o subconjunto proveniente dos corpora públicos. A Tabela 4.7 e a Figura 4.3 apresentam os resultados do BERTimbau em cada subconjunto.</w:t>
      </w:r>
    </w:p>
    <w:p>
      <w:pPr>
        <w:pStyle w:val="LegendaTabela"/>
        <w:keepNext/>
        <w:spacing w:after="80" w:before="240" w:line="240"/>
        <w:jc w:val="center"/>
      </w:pPr>
      <w:r>
        <w:rPr>
          <w:rFonts w:ascii="Times New Roman" w:cs="Times New Roman" w:eastAsia="Times New Roman" w:hAnsi="Times New Roman"/>
          <w:b/>
          <w:bCs/>
          <w:sz w:val="20"/>
          <w:szCs w:val="20"/>
        </w:rPr>
        <w:t xml:space="preserve">Tabela 4.7 – Desempenho do BERTimbau no piloto angolano e no corpus público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450"/>
        <w:gridCol w:w="600"/>
        <w:gridCol w:w="450"/>
        <w:gridCol w:w="1900"/>
        <w:gridCol w:w="600"/>
        <w:gridCol w:w="805"/>
        <w:gridCol w:w="805"/>
        <w:gridCol w:w="805"/>
        <w:gridCol w:w="805"/>
      </w:tblGrid>
      <w:tr>
        <w:trPr>
          <w:cantSplit/>
          <w:tblHeader/>
        </w:trPr>
        <w:tc>
          <w:tcPr>
            <w:tcW w:type="dxa" w:w="14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Subconjunto</w:t>
            </w:r>
          </w:p>
        </w:tc>
        <w:tc>
          <w:tcPr>
            <w:tcW w:type="dxa" w:w="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w:t>
            </w:r>
          </w:p>
        </w:tc>
        <w:tc>
          <w:tcPr>
            <w:tcW w:type="dxa" w:w="45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Cl.</w:t>
            </w:r>
          </w:p>
        </w:tc>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F1-macro [IC 95%]</w:t>
            </w:r>
          </w:p>
        </w:tc>
        <w:tc>
          <w:tcPr>
            <w:tcW w:type="dxa" w:w="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κ</w:t>
            </w:r>
          </w:p>
        </w:tc>
        <w:tc>
          <w:tcPr>
            <w:tcW w:type="dxa" w:w="805"/>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Norm.</w:t>
            </w:r>
          </w:p>
        </w:tc>
        <w:tc>
          <w:tcPr>
            <w:tcW w:type="dxa" w:w="805"/>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Desinf.</w:t>
            </w:r>
          </w:p>
        </w:tc>
        <w:tc>
          <w:tcPr>
            <w:tcW w:type="dxa" w:w="805"/>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Ódio</w:t>
            </w:r>
          </w:p>
        </w:tc>
        <w:tc>
          <w:tcPr>
            <w:tcW w:type="dxa" w:w="805"/>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F1 Mobil.</w:t>
            </w:r>
          </w:p>
        </w:tc>
      </w:tr>
      <w:tr>
        <w:trPr>
          <w:cantSplit/>
          <w:tblHeader w:val="false"/>
        </w:trPr>
        <w:tc>
          <w:tcPr>
            <w:tcW w:type="dxa" w:w="14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Piloto angolano</w:t>
            </w:r>
          </w:p>
        </w:tc>
        <w:tc>
          <w:tcPr>
            <w:tcW w:type="dxa" w:w="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355</w:t>
            </w:r>
          </w:p>
        </w:tc>
        <w:tc>
          <w:tcPr>
            <w:tcW w:type="dxa" w:w="45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4</w:t>
            </w:r>
          </w:p>
        </w:tc>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0,533 [0,470; 0,592]</w:t>
            </w:r>
          </w:p>
        </w:tc>
        <w:tc>
          <w:tcPr>
            <w:tcW w:type="dxa" w:w="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0,436</w:t>
            </w:r>
          </w:p>
        </w:tc>
        <w:tc>
          <w:tcPr>
            <w:tcW w:type="dxa" w:w="8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0,825</w:t>
            </w:r>
          </w:p>
        </w:tc>
        <w:tc>
          <w:tcPr>
            <w:tcW w:type="dxa" w:w="8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0,235</w:t>
            </w:r>
          </w:p>
        </w:tc>
        <w:tc>
          <w:tcPr>
            <w:tcW w:type="dxa" w:w="8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0,518</w:t>
            </w:r>
          </w:p>
        </w:tc>
        <w:tc>
          <w:tcPr>
            <w:tcW w:type="dxa" w:w="805"/>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0,554</w:t>
            </w:r>
          </w:p>
        </w:tc>
      </w:tr>
      <w:tr>
        <w:trPr>
          <w:cantSplit/>
          <w:tblHeader w:val="false"/>
        </w:trPr>
        <w:tc>
          <w:tcPr>
            <w:tcW w:type="dxa" w:w="14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Corpus público</w:t>
            </w:r>
          </w:p>
        </w:tc>
        <w:tc>
          <w:tcPr>
            <w:tcW w:type="dxa" w:w="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3.632</w:t>
            </w:r>
          </w:p>
        </w:tc>
        <w:tc>
          <w:tcPr>
            <w:tcW w:type="dxa" w:w="45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w:t>
            </w:r>
          </w:p>
        </w:tc>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0,919 [0,908; 0,929]</w:t>
            </w:r>
          </w:p>
        </w:tc>
        <w:tc>
          <w:tcPr>
            <w:tcW w:type="dxa" w:w="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0,879</w:t>
            </w:r>
          </w:p>
        </w:tc>
        <w:tc>
          <w:tcPr>
            <w:tcW w:type="dxa" w:w="805"/>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0,963</w:t>
            </w:r>
          </w:p>
        </w:tc>
        <w:tc>
          <w:tcPr>
            <w:tcW w:type="dxa" w:w="805"/>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0,992</w:t>
            </w:r>
          </w:p>
        </w:tc>
        <w:tc>
          <w:tcPr>
            <w:tcW w:type="dxa" w:w="805"/>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0,802</w:t>
            </w:r>
          </w:p>
        </w:tc>
        <w:tc>
          <w:tcPr>
            <w:tcW w:type="dxa" w:w="805"/>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Δ F1-macro (público − piloto) = 38,6 p.p. O corpus público não contém itens de Mobilização Hostil, pelo que o seu F1-macro é calculado sobre três classes.</w:t>
      </w:r>
    </w:p>
    <w:p>
      <w:pPr>
        <w:keepNext/>
        <w:spacing w:after="40" w:before="160"/>
        <w:jc w:val="center"/>
      </w:pPr>
      <w:r>
        <w:drawing>
          <wp:inline distT="0" distB="0" distL="0" distR="0">
            <wp:extent cx="3781425" cy="2019300"/>
            <wp:effectExtent t="0" r="0" b="0" l="0"/>
            <wp:docPr id="1" name="fig4_3_h4.png" descr="fig4_3_h4.png" title="fig4_3_h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3781425" cy="201930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4.3 – F1 por categoria do BERTimbau no corpus público e no piloto angolano (conjunto de teste)</w:t>
      </w:r>
    </w:p>
    <w:p>
      <w:pPr>
        <w:spacing w:after="120" w:before="0" w:line="360"/>
        <w:ind w:firstLine="567"/>
        <w:jc w:val="both"/>
      </w:pPr>
      <w:r>
        <w:rPr>
          <w:rFonts w:ascii="Times New Roman" w:cs="Times New Roman" w:eastAsia="Times New Roman" w:hAnsi="Times New Roman"/>
          <w:sz w:val="24"/>
          <w:szCs w:val="24"/>
        </w:rPr>
        <w:t xml:space="preserve">No piloto angolano, o BERTimbau obteve F1-macro de 0,533 (IC 95% [0,470; 0,592]) e κ de 0,436, contra 0,919 (IC 95% [0,908; 0,929]) e κ de 0,879 no corpus público. A diferença, de 38,6 p.p., excede largamente o limiar de 5 p.p. e os intervalos de confiança não se sobrepõem.</w:t>
      </w:r>
    </w:p>
    <w:p>
      <w:pPr>
        <w:spacing w:after="120" w:before="0" w:line="360"/>
        <w:ind w:firstLine="567"/>
        <w:jc w:val="both"/>
      </w:pPr>
      <w:r>
        <w:rPr>
          <w:rFonts w:ascii="Times New Roman" w:cs="Times New Roman" w:eastAsia="Times New Roman" w:hAnsi="Times New Roman"/>
          <w:sz w:val="24"/>
          <w:szCs w:val="24"/>
        </w:rPr>
        <w:t xml:space="preserve">A comparação tem um factor de confusão evidente: a Mobilização Hostil, a categoria mais difícil, existe apenas no piloto, e o F1-macro do corpus público é calculado sobre três classes. Para reduzir este efeito, excluíram-se do piloto os itens de Mobilização Hostil (n = 308) e calculou-se o F1-macro nas três categorias comuns, contando como erro qualquer previsão de Mobilização: 0,545 (IC 95% 0,474–0,613), contra 0,919 no corpus público. A diferença, de 37,3 p.p. (IC 95% por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de 30,6 a 44,7), mantém-se na mesma ordem de grandeza, pelo que a degradação não se explica pela composição das classes. Note-se ainda que o κ do modelo no piloto (0,436) fica bem abaixo do acordo entre anotadores (0,718), que dá uma ordem de grandeza da dificuldade da tarefa.</w:t>
      </w:r>
    </w:p>
    <w:p>
      <w:pPr>
        <w:spacing w:after="120" w:before="0" w:line="360"/>
        <w:ind w:firstLine="567"/>
        <w:jc w:val="both"/>
      </w:pPr>
      <w:r>
        <w:rPr>
          <w:rFonts w:ascii="Times New Roman" w:cs="Times New Roman" w:eastAsia="Times New Roman" w:hAnsi="Times New Roman"/>
          <w:sz w:val="24"/>
          <w:szCs w:val="24"/>
        </w:rPr>
        <w:t xml:space="preserve">O resultado mais revelador é o da Desinformação: F1 de 0,992 no corpus público e de 0,235 no piloto. Nos corpora públicos, toda a Desinformação provém do Fake.br, constituído por notícias completas, enquanto o piloto contém sobretudo comentários curtos. A combinação de um desempenho quase perfeito no domínio de origem com um desempenho muito baixo no domínio angolano é compatível com a hipótese de que o modelo aprendeu sobretudo marcas de estilo e de formato do Fake.br (registo jornalístico, extensão, estrutura) e não propriedades da desinformação enquanto tal. O Discurso de Ódio também desce (0,802 contra 0,518). Por isso, o F1 global de 0,807 e, em particular, o F1 de 0,947 na Desinformação sobrestimam o desempenho que o sistema terá em conteúdo angolano; a estimativa realista para este domínio é a do piloto (F1-macro de 0,533).</w:t>
      </w:r>
    </w:p>
    <w:p>
      <w:pPr>
        <w:spacing w:after="120" w:before="0" w:line="360"/>
        <w:ind w:firstLine="567"/>
        <w:jc w:val="both"/>
      </w:pPr>
      <w:r>
        <w:rPr>
          <w:rFonts w:ascii="Times New Roman" w:cs="Times New Roman" w:eastAsia="Times New Roman" w:hAnsi="Times New Roman"/>
          <w:sz w:val="24"/>
          <w:szCs w:val="24"/>
        </w:rPr>
        <w:t xml:space="preserve">Há, contudo, explicações concorrentes que este desenho não separa: (i) as etiquetas do piloto aplicam por vezes critérios mais amplos do que os do guia, alargados pela regra da categoria mais grave (Secção 3.4); (ii) no Discurso de Ódio, os exemplos públicos do HateBR são linguagem ofensiva, noção mais ampla do que a do guia; e (iii) 297 etiquetas do piloto resultam de um só voto. Uma parte da lacuna pode, por isso, ser de medida e não de modelo. Os itens escolhidos pelo investigador, com acordo baixo entre anotadores (κ de 0,42 e 0,28), não a explicam: nos 289 comentários do YouTube sorteados, o F1-macro é de 0,535 (IC 95% 0,457–0,603; κ de 0,443), praticamente o do subconjunto completo.</w:t>
      </w:r>
    </w:p>
    <w:p>
      <w:pPr>
        <w:spacing w:after="120" w:before="0" w:line="360"/>
        <w:ind w:firstLine="567"/>
        <w:jc w:val="both"/>
      </w:pPr>
      <w:r>
        <w:rPr>
          <w:rFonts w:ascii="Times New Roman" w:cs="Times New Roman" w:eastAsia="Times New Roman" w:hAnsi="Times New Roman"/>
          <w:sz w:val="24"/>
          <w:szCs w:val="24"/>
        </w:rPr>
        <w:t xml:space="preserve">Duas limitações condicionam este teste. O subconjunto do piloto é pequeno (n = 355), o que alarga o intervalo de confiança, e o desenho não permite separar as diferentes componentes da lacuna de domínio: variedade linguística (calão urbano, empréstimos de línguas nacionais), plataforma (comentários de YouTube contra notícias, Instagram e Twitter) e registo. A caracterização do piloto (Secção 3.4) sugere, aliás, que o calão é um factor menor: apenas uma fracção muito pequena dos comentários contém termos de calão de uma lista ilustrativa, pelo que a diferença poderá vir sobretudo dos temas, das referências e da forma de argumentar, hipótese que não foi testada. A H4 confirma, por isso, uma lacuna de domínio substancial, sem a atribuir ao calão ou às línguas nacionais.</w:t>
      </w:r>
    </w:p>
    <w:p>
      <w:pPr>
        <w:pStyle w:val="Heading2"/>
        <w:keepNext/>
        <w:keepLines/>
        <w:spacing w:after="160" w:before="360" w:line="300"/>
      </w:pPr>
      <w:r>
        <w:rPr>
          <w:rFonts w:ascii="Times New Roman" w:cs="Times New Roman" w:eastAsia="Times New Roman" w:hAnsi="Times New Roman"/>
          <w:b/>
          <w:bCs/>
          <w:sz w:val="26"/>
          <w:szCs w:val="26"/>
        </w:rPr>
        <w:t xml:space="preserve">4.7 Qualidade das probabilidades e utilidade da ordenação</w:t>
      </w:r>
    </w:p>
    <w:p>
      <w:pPr>
        <w:spacing w:after="120" w:before="0" w:line="360"/>
        <w:ind w:firstLine="567"/>
        <w:jc w:val="both"/>
      </w:pPr>
      <w:r>
        <w:rPr>
          <w:rFonts w:ascii="Times New Roman" w:cs="Times New Roman" w:eastAsia="Times New Roman" w:hAnsi="Times New Roman"/>
          <w:sz w:val="24"/>
          <w:szCs w:val="24"/>
        </w:rPr>
        <w:t xml:space="preserve">O sistema mostra as probabilidades do modelo ao analista e ordena a fila pela prioridade 1 − P(Normal) (Secção 3.8.3). Esta secção analisa, no conjunto de teste, se as probabilidades merecem a confiança que exprimem e quanto trabalho a ordenação poupa, para o BERTimbau, o Bi-LSTM e a Floresta Aleatória (o SVM linear não produz probabilidades). Como 91% do teste é brasileiro e 28,7% dos itens são ameaças, proporção muito superior à de um fluxo real, a precisão nos primeiros K e a precisão média são um limite superior do que o sistema fará em conteúdo angolano; a fracção da fila a rever depende da prevalência e não é comparável. No fim da secção, a análise repete-se no subconjunto angolano (n = 355).</w:t>
      </w:r>
    </w:p>
    <w:p>
      <w:pPr>
        <w:pStyle w:val="Heading3"/>
        <w:keepNext/>
        <w:spacing w:after="100" w:before="200"/>
      </w:pPr>
      <w:r>
        <w:rPr>
          <w:rFonts w:ascii="Times New Roman" w:cs="Times New Roman" w:eastAsia="Times New Roman" w:hAnsi="Times New Roman"/>
          <w:b/>
          <w:bCs/>
          <w:sz w:val="26"/>
          <w:szCs w:val="26"/>
        </w:rPr>
        <w:t xml:space="preserve">4.7.1 Calibração das probabilidades</w:t>
      </w:r>
    </w:p>
    <w:p>
      <w:pPr>
        <w:spacing w:after="120" w:before="0" w:line="360"/>
        <w:ind w:firstLine="567"/>
        <w:jc w:val="both"/>
      </w:pPr>
      <w:r>
        <w:rPr>
          <w:rFonts w:ascii="Times New Roman" w:cs="Times New Roman" w:eastAsia="Times New Roman" w:hAnsi="Times New Roman"/>
          <w:sz w:val="24"/>
          <w:szCs w:val="24"/>
        </w:rPr>
        <w:t xml:space="preserve">A Tabela 4.8 apresenta, para cada modelo, a confiança média da categoria prevista, a exactidão, o erro de calibração esperado (ECE, calculado com 15 intervalos) e o índice de Brier, juntamente com as medidas de ordenação usadas na secção seguinte.</w:t>
      </w:r>
    </w:p>
    <w:p>
      <w:pPr>
        <w:pStyle w:val="LegendaTabela"/>
        <w:keepNext/>
        <w:spacing w:after="80" w:before="240" w:line="240"/>
        <w:jc w:val="center"/>
      </w:pPr>
      <w:r>
        <w:rPr>
          <w:rFonts w:ascii="Times New Roman" w:cs="Times New Roman" w:eastAsia="Times New Roman" w:hAnsi="Times New Roman"/>
          <w:b/>
          <w:bCs/>
          <w:sz w:val="20"/>
          <w:szCs w:val="20"/>
        </w:rPr>
        <w:t xml:space="preserve">Tabela 4.8 – Calibração e ordenação no conjunto de teste</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1540"/>
        <w:gridCol w:w="1540"/>
        <w:gridCol w:w="1540"/>
      </w:tblGrid>
      <w:tr>
        <w:trPr>
          <w:cantSplit/>
          <w:tblHeader/>
        </w:trPr>
        <w:tc>
          <w:tcPr>
            <w:tcW w:type="dxa" w:w="3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Medida</w:t>
            </w:r>
          </w:p>
        </w:tc>
        <w:tc>
          <w:tcPr>
            <w:tcW w:type="dxa" w:w="154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BERTimbau</w:t>
            </w:r>
          </w:p>
        </w:tc>
        <w:tc>
          <w:tcPr>
            <w:tcW w:type="dxa" w:w="154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Bi-LSTM</w:t>
            </w:r>
          </w:p>
        </w:tc>
        <w:tc>
          <w:tcPr>
            <w:tcW w:type="dxa" w:w="154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F. Aleatória</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Confiança média da categoria prevista</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0,962</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0,922</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0,757</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Exactidão</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0,924</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0,819</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0,834</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ECE (menor é melhor)</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0,039</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0,106</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0,083</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Índice de Brier (menor é melhor)</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0,125</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0,297</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0,262</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AUC-ROC ameaça contra Normal</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0,977</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0,882</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0,876</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Precisão média (AP) da ordenação</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0,954</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0,788</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0,782</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Precisão nos primeiros 50 / 100 / 500</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1,00 / 1,00 / 1,00</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0,94 / 0,94 / 0,89</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0,86 / 0,92 / 0,94</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Fila revista para encontrar 80% das ameaças</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24,7%</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36,9%</w:t>
            </w:r>
          </w:p>
        </w:tc>
        <w:tc>
          <w:tcPr>
            <w:tcW w:type="dxa" w:w="15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36,2%</w:t>
            </w:r>
          </w:p>
        </w:tc>
      </w:tr>
      <w:tr>
        <w:trPr>
          <w:cantSplit/>
          <w:tblHeader w:val="false"/>
        </w:trPr>
        <w:tc>
          <w:tcPr>
            <w:tcW w:type="dxa" w:w="3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Fila revista para encontrar 95% das ameaças</w:t>
            </w:r>
          </w:p>
        </w:tc>
        <w:tc>
          <w:tcPr>
            <w:tcW w:type="dxa" w:w="154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37,3%</w:t>
            </w:r>
          </w:p>
        </w:tc>
        <w:tc>
          <w:tcPr>
            <w:tcW w:type="dxa" w:w="154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67,3%</w:t>
            </w:r>
          </w:p>
        </w:tc>
        <w:tc>
          <w:tcPr>
            <w:tcW w:type="dxa" w:w="154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73,8%</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n = 3.987, dos quais 1.144 ameaças (28,7%). Ordenação de todos os itens do teste pela prioridade 1 − P(Normal). A fila do sistema mostra por omissão apenas os 1.147 itens não classificados como Normais (28,8%), que contêm 88,2% das ameaças; acima desse valor, as restantes só se encontram pela amostra de controlo. ECE com 15 intervalos de igual amplitude sobre a confiança da categoria prevista.</w:t>
      </w:r>
    </w:p>
    <w:p>
      <w:pPr>
        <w:spacing w:after="120" w:before="0" w:line="360"/>
        <w:ind w:firstLine="567"/>
        <w:jc w:val="both"/>
      </w:pPr>
      <w:r>
        <w:rPr>
          <w:rFonts w:ascii="Times New Roman" w:cs="Times New Roman" w:eastAsia="Times New Roman" w:hAnsi="Times New Roman"/>
          <w:sz w:val="24"/>
          <w:szCs w:val="24"/>
        </w:rPr>
        <w:t xml:space="preserve">O BERTimbau é o modelo mais bem calibrado (ECE de 0,039), mas é ligeiramente confiante em excesso: a confiança média, de 0,962, excede a exactidão, de 0,924, em cerca de 4 pontos percentuais. A diferença concentra-se nas previsões de confiança intermédia. Dois terços das previsões (67%) têm confiança de pelo menos 0,99, e destas 99% estão certas; já nas cerca de 10% de previsões com confiança entre 0,5 e 0,9, a confiança média é de 0,75 e só 64% estão certas. O Bi-LSTM é bastante mais confiante do que justificam os seus acertos (confiança de 0,922 para uma exactidão de 0,819), e a Floresta Aleatória, ao contrário, é pouco confiante (0,757 para 0,834), o que é habitual em métodos que fazem a média de muitas árvores (Niculescu-Mizil &amp; Caruana, 2005).</w:t>
      </w:r>
    </w:p>
    <w:p>
      <w:pPr>
        <w:spacing w:after="120" w:before="0" w:line="360"/>
        <w:ind w:firstLine="567"/>
        <w:jc w:val="both"/>
      </w:pPr>
      <w:r>
        <w:rPr>
          <w:rFonts w:ascii="Times New Roman" w:cs="Times New Roman" w:eastAsia="Times New Roman" w:hAnsi="Times New Roman"/>
          <w:sz w:val="24"/>
          <w:szCs w:val="24"/>
        </w:rPr>
        <w:t xml:space="preserve">Para o analista, uma percentagem muito alta do BERTimbau é, no conteúdo do teste, uma estimativa razoável, e uma intermédia sobrestima a probabilidade de acerto. Em conteúdo angolano, onde o modelo acerta menos (Secção 4.6), a sobrestimação é maior, como se mostra no fim desta secção. O escalamento por temperatura corrige-a com um único parâmetro ajustado num conjunto de validação (Guo et al., 2017), que, para ser útil, teria de ser angolano.</w:t>
      </w:r>
    </w:p>
    <w:p>
      <w:pPr>
        <w:pStyle w:val="Heading3"/>
        <w:keepNext/>
        <w:spacing w:after="100" w:before="200"/>
      </w:pPr>
      <w:r>
        <w:rPr>
          <w:rFonts w:ascii="Times New Roman" w:cs="Times New Roman" w:eastAsia="Times New Roman" w:hAnsi="Times New Roman"/>
          <w:b/>
          <w:bCs/>
          <w:sz w:val="26"/>
          <w:szCs w:val="26"/>
        </w:rPr>
        <w:t xml:space="preserve">4.7.2 Ordenação da fila de revisão</w:t>
      </w:r>
    </w:p>
    <w:p>
      <w:pPr>
        <w:spacing w:after="120" w:before="0" w:line="360"/>
        <w:ind w:firstLine="567"/>
        <w:jc w:val="both"/>
      </w:pPr>
      <w:r>
        <w:rPr>
          <w:rFonts w:ascii="Times New Roman" w:cs="Times New Roman" w:eastAsia="Times New Roman" w:hAnsi="Times New Roman"/>
          <w:sz w:val="24"/>
          <w:szCs w:val="24"/>
        </w:rPr>
        <w:t xml:space="preserve">A Figura 4.4 mostra a curva de esforço de cada modelo: a fracção das 1.144 ameaças do teste que um analista encontraria ao rever, por ordem de prioridade, uma ordenação de todo o conjunto de teste, e não apenas a fila por omissão. Com o BERTimbau, revendo 25% da fila encontram-se 80% das ameaças, muito perto do ideal (23%, que corresponderia a ter todas as ameaças no topo); para chegar a 95%, basta rever 37%. Com o Bi-LSTM e a Floresta Aleatória, os mesmos 95% exigem rever 67% e 74% da fila. Os primeiros 500 itens da fila do BERTimbau são todos ameaças, contra 89% no Bi-LSTM e 94% na Floresta Aleatória.</w:t>
      </w:r>
    </w:p>
    <w:p>
      <w:pPr>
        <w:keepNext/>
        <w:spacing w:after="40" w:before="160"/>
        <w:jc w:val="center"/>
      </w:pPr>
      <w:r>
        <w:drawing>
          <wp:inline distT="0" distB="0" distL="0" distR="0">
            <wp:extent cx="3962400" cy="2305050"/>
            <wp:effectExtent t="0" r="0" b="0" l="0"/>
            <wp:docPr id="1" name="fig4_5_esforco.png" descr="fig4_5_esforco.png" title="fig4_5_esforc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3962400" cy="2305050"/>
                    </a:xfrm>
                    <a:prstGeom prst="rect">
                      <a:avLst/>
                    </a:prstGeom>
                  </pic:spPr>
                </pic:pic>
              </a:graphicData>
            </a:graphic>
          </wp:inline>
        </w:drawing>
      </w:r>
    </w:p>
    <w:p>
      <w:pPr>
        <w:pStyle w:val="LegendaFigura"/>
        <w:spacing w:after="120" w:before="60" w:line="240"/>
        <w:jc w:val="center"/>
      </w:pPr>
      <w:r>
        <w:rPr>
          <w:rFonts w:ascii="Times New Roman" w:cs="Times New Roman" w:eastAsia="Times New Roman" w:hAnsi="Times New Roman"/>
          <w:b/>
          <w:bCs/>
          <w:sz w:val="20"/>
          <w:szCs w:val="20"/>
        </w:rPr>
        <w:t xml:space="preserve">Figura 4.4 – Curva de esforço de revisão: ameaças encontradas em função da fila revista</w:t>
      </w:r>
    </w:p>
    <w:p>
      <w:pPr>
        <w:spacing w:after="120" w:before="0" w:line="360"/>
        <w:ind w:firstLine="567"/>
        <w:jc w:val="both"/>
      </w:pPr>
      <w:r>
        <w:rPr>
          <w:rFonts w:ascii="Times New Roman" w:cs="Times New Roman" w:eastAsia="Times New Roman" w:hAnsi="Times New Roman"/>
          <w:sz w:val="24"/>
          <w:szCs w:val="24"/>
        </w:rPr>
        <w:t xml:space="preserve">Este resultado global esconde, no entanto, um desequilíbrio entre categorias. Os primeiros 500 itens da fila do BERTimbau são todos de Desinformação, e a mediana da posição dos 47 itens de Mobilização Hostil é a 927.ª; nenhum deles aparece nos primeiros 10% da fila. A explicação está na Secção 4.6: as notícias do Fake.br são classificadas com probabilidade quase nula de serem Normais e ocupam o topo, enquanto os comentários de mobilização, mais ambíguos, recebem prioridades mais moderadas. Num fluxo angolano real não haverá notícias do Fake.br, mas o mecanismo mantém-se: a categoria em que o modelo é mais confiante ocupa o topo da fila, e essa não é necessariamente a mais grave nem aquela em que o modelo é mais fiável.</w:t>
      </w:r>
    </w:p>
    <w:p>
      <w:pPr>
        <w:spacing w:after="120" w:before="0" w:line="360"/>
        <w:ind w:firstLine="567"/>
        <w:jc w:val="both"/>
      </w:pPr>
      <w:r>
        <w:rPr>
          <w:rFonts w:ascii="Times New Roman" w:cs="Times New Roman" w:eastAsia="Times New Roman" w:hAnsi="Times New Roman"/>
          <w:sz w:val="24"/>
          <w:szCs w:val="24"/>
        </w:rPr>
        <w:t xml:space="preserve">O filtro por categoria da fila já permite contornar este efeito. Ordenar cada categoria pela sua própria probabilidade seria mais directo: os 47 itens com maior probabilidade de Mobilização Hostil contêm 25 dos 47 casos reais, e os primeiros 100 contêm 32. Filas por categoria, ou uma prioridade ponderada pela gravidade, são uma melhoria natural do sistema (Capítulo 6).</w:t>
      </w:r>
    </w:p>
    <w:p>
      <w:pPr>
        <w:spacing w:after="120" w:before="0" w:line="360"/>
        <w:ind w:firstLine="567"/>
        <w:jc w:val="both"/>
      </w:pPr>
      <w:r>
        <w:rPr>
          <w:rFonts w:ascii="Times New Roman" w:cs="Times New Roman" w:eastAsia="Times New Roman" w:hAnsi="Times New Roman"/>
          <w:sz w:val="24"/>
          <w:szCs w:val="24"/>
        </w:rPr>
        <w:t xml:space="preserve">Por fim, a fila mostra por omissão apenas os itens não classificados como Normais. Entre os 2.840 itens que o BERTimbau classificou como Normais estão 135 ameaças (11,8% do total: 104 de Discurso de Ódio, 19 de Desinformação e 12 de Mobilização Hostil); mesmo entre os 1.885 com P(Normal) de pelo menos 0,99 há 10 ameaças (0,5%; IC 95% de Wilson de 0,3% a 1,0%). É isto que justifica a amostra de controlo (Secção 3.8.5), cujos itens são também os mais úteis para novos ciclos de treino.</w:t>
      </w:r>
    </w:p>
    <w:p>
      <w:pPr>
        <w:spacing w:after="120" w:before="0" w:line="360"/>
        <w:ind w:firstLine="567"/>
        <w:jc w:val="both"/>
      </w:pPr>
      <w:r>
        <w:rPr>
          <w:rFonts w:ascii="Times New Roman" w:cs="Times New Roman" w:eastAsia="Times New Roman" w:hAnsi="Times New Roman"/>
          <w:sz w:val="24"/>
          <w:szCs w:val="24"/>
        </w:rPr>
        <w:t xml:space="preserve">No subconjunto angolano (n = 355, com 34,4% de ameaças), o quadro é pior. A confiança média (0,85) excede a exactidão (0,69) em 15 pontos percentuais e o ECE sobe para 0,160. Para encontrar 80% das ameaças é preciso rever 49% da ordenação (o ideal seria 27,5%), e 95% exigem 77%. Das 122 ameaças, 35 (28,7%) foram classificadas como Normais e não chegariam à fila por omissão, contra 11,8% no teste completo. Em conteúdo angolano, a amostra de controlo é ainda mais necessária.</w:t>
      </w:r>
    </w:p>
    <w:p>
      <w:pPr>
        <w:pStyle w:val="Heading2"/>
        <w:keepNext/>
        <w:keepLines/>
        <w:spacing w:after="160" w:before="360" w:line="300"/>
      </w:pPr>
      <w:r>
        <w:rPr>
          <w:rFonts w:ascii="Times New Roman" w:cs="Times New Roman" w:eastAsia="Times New Roman" w:hAnsi="Times New Roman"/>
          <w:b/>
          <w:bCs/>
          <w:sz w:val="26"/>
          <w:szCs w:val="26"/>
        </w:rPr>
        <w:t xml:space="preserve">4.8 Avaliação operacional do sistema (Hipóteses H2 e H3)</w:t>
      </w:r>
    </w:p>
    <w:p>
      <w:pPr>
        <w:spacing w:after="120" w:before="0" w:line="360"/>
        <w:ind w:firstLine="567"/>
        <w:jc w:val="both"/>
      </w:pPr>
      <w:r>
        <w:rPr>
          <w:rFonts w:ascii="Times New Roman" w:cs="Times New Roman" w:eastAsia="Times New Roman" w:hAnsi="Times New Roman"/>
          <w:sz w:val="24"/>
          <w:szCs w:val="24"/>
        </w:rPr>
        <w:t xml:space="preserve">As Hipóteses H2 (processamento de cada publicação em menos de 60 segundos) e H3 (antecedência de pelo menos 48 horas em relação a eventos de segurança) referem-se ao sistema em operação e não ao classificador. A H2 foi medida com o protótipo e o modelo do sistema; a H3 não pôde ser testada.</w:t>
      </w:r>
    </w:p>
    <w:p>
      <w:pPr>
        <w:pStyle w:val="Heading3"/>
        <w:keepNext/>
        <w:spacing w:after="100" w:before="200"/>
      </w:pPr>
      <w:r>
        <w:rPr>
          <w:rFonts w:ascii="Times New Roman" w:cs="Times New Roman" w:eastAsia="Times New Roman" w:hAnsi="Times New Roman"/>
          <w:b/>
          <w:bCs/>
          <w:sz w:val="26"/>
          <w:szCs w:val="26"/>
        </w:rPr>
        <w:t xml:space="preserve">4.8.1 Tempo de processamento (H2)</w:t>
      </w:r>
    </w:p>
    <w:p>
      <w:pPr>
        <w:spacing w:after="120" w:before="0" w:line="360"/>
        <w:ind w:firstLine="567"/>
        <w:jc w:val="both"/>
      </w:pPr>
      <w:r>
        <w:rPr>
          <w:rFonts w:ascii="Times New Roman" w:cs="Times New Roman" w:eastAsia="Times New Roman" w:hAnsi="Times New Roman"/>
          <w:sz w:val="24"/>
          <w:szCs w:val="24"/>
        </w:rPr>
        <w:t xml:space="preserve">A medição seguiu o protocolo da Secção 3.9. O comando de medição importou, anonimizou e classificou um lote de 200 comentários reais da base do piloto, numa base de dados temporária nova em cada repetição; 2 comentários foram descartados na importação por terem menos de três caracteres, restando 198. Repetiu-se o ensaio 3 vezes num computador pessoal, sem GPU, com processador Intel N100 (quatro núcleos, de baixo consumo) e 8 GB de memória RAM. Trata-se de equipamento modesto, pelo que os tempos obtidos tendem a ser conservadores face a um servidor de produção. A Tabela 4.9 resume os resultados.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4.9 – Tempo de processamento do protótipo com o modelo do sistema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700"/>
        <w:gridCol w:w="2260"/>
        <w:gridCol w:w="2260"/>
      </w:tblGrid>
      <w:tr>
        <w:trPr>
          <w:cantSplit/>
          <w:tblHeader/>
        </w:trPr>
        <w:tc>
          <w:tcPr>
            <w:tcW w:type="dxa" w:w="37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Medida</w:t>
            </w:r>
          </w:p>
        </w:tc>
        <w:tc>
          <w:tcPr>
            <w:tcW w:type="dxa" w:w="226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Gravação no fim do lote</w:t>
            </w:r>
          </w:p>
        </w:tc>
        <w:tc>
          <w:tcPr>
            <w:tcW w:type="dxa" w:w="226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Gravação por sublotes de 32</w:t>
            </w:r>
          </w:p>
        </w:tc>
      </w:tr>
      <w:tr>
        <w:trPr>
          <w:cantSplit/>
          <w:tblHeader w:val="false"/>
        </w:trPr>
        <w:tc>
          <w:tcPr>
            <w:tcW w:type="dxa" w:w="3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Publicações por lote</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198</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198</w:t>
            </w:r>
          </w:p>
        </w:tc>
      </w:tr>
      <w:tr>
        <w:trPr>
          <w:cantSplit/>
          <w:tblHeader w:val="false"/>
        </w:trPr>
        <w:tc>
          <w:tcPr>
            <w:tcW w:type="dxa" w:w="3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Repetições</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w:t>
            </w:r>
          </w:p>
        </w:tc>
      </w:tr>
      <w:tr>
        <w:trPr>
          <w:cantSplit/>
          <w:tblHeader w:val="false"/>
        </w:trPr>
        <w:tc>
          <w:tcPr>
            <w:tcW w:type="dxa" w:w="3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Tempo total por lote (mediana)</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125,5 s</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139,7 s</w:t>
            </w:r>
          </w:p>
        </w:tc>
      </w:tr>
      <w:tr>
        <w:trPr>
          <w:cantSplit/>
          <w:tblHeader w:val="false"/>
        </w:trPr>
        <w:tc>
          <w:tcPr>
            <w:tcW w:type="dxa" w:w="3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Tempo médio por publicação</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 s</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 s</w:t>
            </w:r>
          </w:p>
        </w:tc>
      </w:tr>
      <w:tr>
        <w:trPr>
          <w:cantSplit/>
          <w:tblHeader w:val="false"/>
        </w:trPr>
        <w:tc>
          <w:tcPr>
            <w:tcW w:type="dxa" w:w="3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Primeiras publicações na fila</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125,5 s (todas no fim)</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36,1 s</w:t>
            </w:r>
          </w:p>
        </w:tc>
      </w:tr>
      <w:tr>
        <w:trPr>
          <w:cantSplit/>
          <w:tblHeader w:val="false"/>
        </w:trPr>
        <w:tc>
          <w:tcPr>
            <w:tcW w:type="dxa" w:w="37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Intervalo entre sublotes</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w:t>
            </w:r>
          </w:p>
        </w:tc>
        <w:tc>
          <w:tcPr>
            <w:tcW w:type="dxa" w:w="22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cerca de 20 s</w:t>
            </w:r>
          </w:p>
        </w:tc>
      </w:tr>
      <w:tr>
        <w:trPr>
          <w:cantSplit/>
          <w:tblHeader w:val="false"/>
        </w:trPr>
        <w:tc>
          <w:tcPr>
            <w:tcW w:type="dxa" w:w="37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Lote máximo com todas as publicações em menos de 60 s</w:t>
            </w:r>
          </w:p>
        </w:tc>
        <w:tc>
          <w:tcPr>
            <w:tcW w:type="dxa" w:w="22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cerca de 94</w:t>
            </w:r>
          </w:p>
        </w:tc>
        <w:tc>
          <w:tcPr>
            <w:tcW w:type="dxa" w:w="22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cerca de 64</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O tempo inclui a leitura do ficheiro, a anonimização, a gravação na base de dados e a classificação com o BERTimbau (até 256 subpalavras, lotes de inferência de 32). Não inclui o carregamento inicial do modelo, que ocorre uma vez no arranque do serviço, nem o intervalo entre a publicação original e a sua recolha.</w:t>
      </w:r>
    </w:p>
    <w:p>
      <w:pPr>
        <w:spacing w:after="120" w:before="0" w:line="360"/>
        <w:ind w:firstLine="567"/>
        <w:jc w:val="both"/>
      </w:pPr>
      <w:r>
        <w:rPr>
          <w:rFonts w:ascii="Times New Roman" w:cs="Times New Roman" w:eastAsia="Times New Roman" w:hAnsi="Times New Roman"/>
          <w:sz w:val="24"/>
          <w:szCs w:val="24"/>
        </w:rPr>
        <w:t xml:space="preserve">O custo por publicação, de cerca de 0,63 segundos, está muito abaixo do limiar de 60 segundos. Com a gravação das classificações no fim do lote, porém, todas as publicações entravam na fila ao mesmo tempo, e a primeira só ficava disponível ao fim de cerca de 125 segundos; o critério só era cumprido para lotes até cerca de 94 publicações. O sistema passou por isso a gravar por sublotes de 32 publicações (Secção 3.8.3), e repetiu-se a medição no mesmo computador e com o mesmo lote (três repetições). As primeiras 32 publicações ficaram disponíveis em 36,1 segundos (mediana), e cada sublote seguinte chegou cerca de 20 segundos depois; o lote completo demorou 139,7 segundos (0,71 s por publicação, um pouco mais porque a aplicação web corria em simultâneo, pelo que as duas medições não decorreram nas mesmas condições; Tabela 4.9, coluna da direita). Com recolhas de até cerca de 64 publicações, todas ficam disponíveis em menos de 60 segundos. A medição cobre o processamento interno, não o intervalo entre a publicação na plataforma e a recolha, que, com recolhas periódicas de 15 minutos ou mais, é a parcela dominante do atraso. A H2 confirma-se, por isso, apenas para recolhas até cerca de 64 publicações.</w:t>
      </w:r>
    </w:p>
    <w:p>
      <w:pPr>
        <w:pStyle w:val="Heading3"/>
        <w:keepNext/>
        <w:spacing w:after="100" w:before="200"/>
      </w:pPr>
      <w:r>
        <w:rPr>
          <w:rFonts w:ascii="Times New Roman" w:cs="Times New Roman" w:eastAsia="Times New Roman" w:hAnsi="Times New Roman"/>
          <w:b/>
          <w:bCs/>
          <w:sz w:val="26"/>
          <w:szCs w:val="26"/>
        </w:rPr>
        <w:t xml:space="preserve">4.8.2 Antecedência de detecção (H3)</w:t>
      </w:r>
    </w:p>
    <w:p>
      <w:pPr>
        <w:spacing w:after="120" w:before="0" w:line="360"/>
        <w:ind w:firstLine="567"/>
        <w:jc w:val="both"/>
      </w:pPr>
      <w:r>
        <w:rPr>
          <w:rFonts w:ascii="Times New Roman" w:cs="Times New Roman" w:eastAsia="Times New Roman" w:hAnsi="Times New Roman"/>
          <w:sz w:val="24"/>
          <w:szCs w:val="24"/>
        </w:rPr>
        <w:t xml:space="preserve">A H3 exige um corpus com datas de publicação, dividido cronologicamente (treino anterior ao período de teste), e um conjunto de eventos de referência independentes do corpus; sem estes elementos, qualquer medida de antecedência seria circular. Como o corpus desta investigação não foi construído em torno de eventos datados, a H3 fica por testar.</w:t>
      </w:r>
    </w:p>
    <w:p>
      <w:pPr>
        <w:pStyle w:val="Heading3"/>
        <w:keepNext/>
        <w:spacing w:after="100" w:before="200"/>
      </w:pPr>
      <w:r>
        <w:rPr>
          <w:rFonts w:ascii="Times New Roman" w:cs="Times New Roman" w:eastAsia="Times New Roman" w:hAnsi="Times New Roman"/>
          <w:b/>
          <w:bCs/>
          <w:sz w:val="26"/>
          <w:szCs w:val="26"/>
        </w:rPr>
        <w:t xml:space="preserve">4.8.3 Implicações para o desenho operacional</w:t>
      </w:r>
    </w:p>
    <w:p>
      <w:pPr>
        <w:spacing w:after="120" w:before="0" w:line="360"/>
        <w:ind w:firstLine="567"/>
        <w:jc w:val="both"/>
      </w:pPr>
      <w:r>
        <w:rPr>
          <w:rFonts w:ascii="Times New Roman" w:cs="Times New Roman" w:eastAsia="Times New Roman" w:hAnsi="Times New Roman"/>
          <w:sz w:val="24"/>
          <w:szCs w:val="24"/>
        </w:rPr>
        <w:t xml:space="preserve">Os resultados das Secções 4.4 a 4.6 têm, no entanto, consequências directas para o desenho operacional. Com precisão de 0,509 e sensibilidade de 0,596 na Mobilização Hostil, e com desempenho em conteúdo angolano inferior ao global, o sistema só é defensável como apoio ao analista: uma fila de revisão ordenada pela confiança do modelo, com confirmação humana obrigatória antes de qualquer acção e sem decisões automáticas sobre indivíduos. Neste enquadramento, as métricas operacionais relevantes passam a ser a precisão nos primeiros </w:t>
      </w:r>
      <w:r>
        <w:rPr>
          <w:rFonts w:ascii="Times New Roman" w:cs="Times New Roman" w:eastAsia="Times New Roman" w:hAnsi="Times New Roman"/>
          <w:i/>
          <w:iCs/>
          <w:sz w:val="24"/>
          <w:szCs w:val="24"/>
        </w:rPr>
        <w:t xml:space="preserve">K</w:t>
      </w:r>
      <w:r>
        <w:rPr>
          <w:rFonts w:ascii="Times New Roman" w:cs="Times New Roman" w:eastAsia="Times New Roman" w:hAnsi="Times New Roman"/>
          <w:sz w:val="24"/>
          <w:szCs w:val="24"/>
        </w:rPr>
        <w:t xml:space="preserve"> itens da fila, o tempo de processamento e a concordância entre analista e sistema, medidas que o protótipo foi concebido para registar (Secção 3.9). A análise da Secção 4.7 antecipa, no conjunto de teste, duas destas medidas: a ordenação concentra as ameaças no início da fila, mas de forma desigual entre categorias, e uma fracção pequena mas não nula das ameaças fica entre os itens que o modelo considera normais.</w:t>
      </w:r>
    </w:p>
    <w:p>
      <w:pPr>
        <w:pStyle w:val="Heading3"/>
        <w:keepNext/>
        <w:spacing w:after="100" w:before="200"/>
      </w:pPr>
      <w:r>
        <w:rPr>
          <w:rFonts w:ascii="Times New Roman" w:cs="Times New Roman" w:eastAsia="Times New Roman" w:hAnsi="Times New Roman"/>
          <w:b/>
          <w:bCs/>
          <w:sz w:val="26"/>
          <w:szCs w:val="26"/>
        </w:rPr>
        <w:t xml:space="preserve">4.8.4 Verificação funcional do sistema</w:t>
      </w:r>
    </w:p>
    <w:p>
      <w:pPr>
        <w:spacing w:after="120" w:before="0" w:line="360"/>
        <w:ind w:firstLine="567"/>
        <w:jc w:val="both"/>
      </w:pPr>
      <w:r>
        <w:rPr>
          <w:rFonts w:ascii="Times New Roman" w:cs="Times New Roman" w:eastAsia="Times New Roman" w:hAnsi="Times New Roman"/>
          <w:sz w:val="24"/>
          <w:szCs w:val="24"/>
        </w:rPr>
        <w:t xml:space="preserve">Os 121 testes automáticos descritos na Secção 3.9 verificaram o funcionamento do sistema e passaram todos na versão final do protótipo, numa execução de cerca de 40 segundos: 14 do núcleo de dados e do modelo, 17 da recolha, 21 dos alertas, do mapa e do relatório, 17 do controlo de acesso, 36 da interface do analista e 16 da gestão de contas. Os testes que envolvem rede usam clientes e sítios simulados localmente. Verificam que o sistema faz o que foi especificado (a Tabela F.2 liga cada requisito aos seus testes), mas não substituem a avaliação com analistas, que dirá se o que foi especificado é útil.</w:t>
      </w:r>
    </w:p>
    <w:p>
      <w:pPr>
        <w:pStyle w:val="Heading2"/>
        <w:keepNext/>
        <w:keepLines/>
        <w:spacing w:after="160" w:before="360" w:line="300"/>
      </w:pPr>
      <w:r>
        <w:rPr>
          <w:rFonts w:ascii="Times New Roman" w:cs="Times New Roman" w:eastAsia="Times New Roman" w:hAnsi="Times New Roman"/>
          <w:b/>
          <w:bCs/>
          <w:sz w:val="26"/>
          <w:szCs w:val="26"/>
        </w:rPr>
        <w:t xml:space="preserve">4.9 Discussão e verificação formal das hipóteses</w:t>
      </w:r>
    </w:p>
    <w:p>
      <w:pPr>
        <w:spacing w:after="120" w:before="0" w:line="360"/>
        <w:ind w:firstLine="567"/>
        <w:jc w:val="both"/>
      </w:pPr>
      <w:r>
        <w:rPr>
          <w:rFonts w:ascii="Times New Roman" w:cs="Times New Roman" w:eastAsia="Times New Roman" w:hAnsi="Times New Roman"/>
          <w:sz w:val="24"/>
          <w:szCs w:val="24"/>
        </w:rPr>
        <w:t xml:space="preserve">A Tabela 4.10 sintetiza a verificação das quatro hipóteses face aos critérios definidos na Secção 1.3.</w:t>
      </w:r>
    </w:p>
    <w:p>
      <w:pPr>
        <w:pStyle w:val="LegendaTabela"/>
        <w:keepNext/>
        <w:spacing w:after="80" w:before="240" w:line="240"/>
        <w:jc w:val="center"/>
      </w:pPr>
      <w:r>
        <w:rPr>
          <w:rFonts w:ascii="Times New Roman" w:cs="Times New Roman" w:eastAsia="Times New Roman" w:hAnsi="Times New Roman"/>
          <w:b/>
          <w:bCs/>
          <w:sz w:val="20"/>
          <w:szCs w:val="20"/>
        </w:rPr>
        <w:t xml:space="preserve">Tabela 4.10 – Verificação formal das hipóteses de investigação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3500"/>
        <w:gridCol w:w="1720"/>
      </w:tblGrid>
      <w:tr>
        <w:trPr>
          <w:cantSplit/>
          <w:tblHeader/>
        </w:trPr>
        <w:tc>
          <w:tcPr>
            <w:tcW w:type="dxa" w:w="3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Hipótese e critério</w:t>
            </w:r>
          </w:p>
        </w:tc>
        <w:tc>
          <w:tcPr>
            <w:tcW w:type="dxa" w:w="3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Evidência</w:t>
            </w:r>
          </w:p>
        </w:tc>
        <w:tc>
          <w:tcPr>
            <w:tcW w:type="dxa" w:w="17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Decisão</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H1. Modelos profundos superam os clássicos (ΔF1 ≥ 5 p.p.; p &lt; 0,05 com Bonferroni)</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BERTimbau: ΔF1 de 14,6 a 17,4 p.p., p &lt; 10</w:t>
            </w:r>
            <w:r>
              <w:rPr>
                <w:rFonts w:ascii="Times New Roman" w:cs="Times New Roman" w:eastAsia="Times New Roman" w:hAnsi="Times New Roman"/>
                <w:b w:val="false"/>
                <w:bCs w:val="false"/>
                <w:sz w:val="19"/>
                <w:szCs w:val="19"/>
                <w:vertAlign w:val="superscript"/>
              </w:rPr>
              <w:t xml:space="preserve">-47</w:t>
            </w:r>
            <w:r>
              <w:rPr>
                <w:rFonts w:ascii="Times New Roman" w:cs="Times New Roman" w:eastAsia="Times New Roman" w:hAnsi="Times New Roman"/>
                <w:b w:val="false"/>
                <w:bCs w:val="false"/>
                <w:sz w:val="19"/>
                <w:szCs w:val="19"/>
              </w:rPr>
              <w:t xml:space="preserve">. Bi-LSTM: ΔF1 de 0,2 e 2,8 p.p. (IC incluem 0)</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Parcialmente confirmada</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H2. Processamento de cada publicação em menos de 60 s</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0,63 s por publicação em CPU; com sublotes, primeiras publicações na fila em 36 s; todas em menos de 60 s para recolhas até cerca de 64 publicações; não cumprido para lotes maiores</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Confirmada com condições</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H3. Antecedência ≥ 48 h face a eventos</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Sem corpus datado nem divisão cronológica</w:t>
            </w:r>
          </w:p>
        </w:tc>
        <w:tc>
          <w:tcPr>
            <w:tcW w:type="dxa" w:w="17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Não testada</w:t>
            </w:r>
          </w:p>
        </w:tc>
      </w:tr>
      <w:tr>
        <w:trPr>
          <w:cantSplit/>
          <w:tblHeader w:val="false"/>
        </w:trPr>
        <w:tc>
          <w:tcPr>
            <w:tcW w:type="dxa" w:w="3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H4. Degradação ≥ 5 p.p. em conteúdo angolano</w:t>
            </w:r>
          </w:p>
        </w:tc>
        <w:tc>
          <w:tcPr>
            <w:tcW w:type="dxa" w:w="3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ΔF1-macro = 38,6 p.p.; IC sem sobreposição; κ 0,436 contra 0,879</w:t>
            </w:r>
          </w:p>
        </w:tc>
        <w:tc>
          <w:tcPr>
            <w:tcW w:type="dxa" w:w="17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Confirmada</w:t>
            </w:r>
            <w:r>
              <w:rPr>
                <w:rFonts w:ascii="Times New Roman" w:cs="Times New Roman" w:eastAsia="Times New Roman" w:hAnsi="Times New Roman"/>
                <w:b w:val="false"/>
                <w:bCs w:val="false"/>
                <w:sz w:val="19"/>
                <w:szCs w:val="19"/>
              </w:rPr>
              <w:t xml:space="preserve"> (com reservas)</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A designação «não testada» significa que os dados disponíveis não permitem confirmar nem rejeitar a hipótese.</w:t>
      </w:r>
    </w:p>
    <w:p>
      <w:pPr>
        <w:spacing w:after="120" w:before="0" w:line="360"/>
        <w:ind w:firstLine="567"/>
        <w:jc w:val="both"/>
      </w:pPr>
      <w:r>
        <w:rPr>
          <w:rFonts w:ascii="Times New Roman" w:cs="Times New Roman" w:eastAsia="Times New Roman" w:hAnsi="Times New Roman"/>
          <w:b/>
          <w:bCs/>
          <w:sz w:val="24"/>
          <w:szCs w:val="24"/>
        </w:rPr>
        <w:t xml:space="preserve">H1: parcialmente confirmada.</w:t>
      </w:r>
      <w:r>
        <w:rPr>
          <w:rFonts w:ascii="Times New Roman" w:cs="Times New Roman" w:eastAsia="Times New Roman" w:hAnsi="Times New Roman"/>
          <w:sz w:val="24"/>
          <w:szCs w:val="24"/>
        </w:rPr>
        <w:t xml:space="preserve"> A hipótese previa que ambos os modelos de aprendizagem profunda superassem os clássicos. O BERTimbau cumpre o critério com margem ampla (ΔF1-macro ≥ 14,6 p.p.; p corrigido &lt; 10</w:t>
      </w:r>
      <w:r>
        <w:rPr>
          <w:rFonts w:ascii="Times New Roman" w:cs="Times New Roman" w:eastAsia="Times New Roman" w:hAnsi="Times New Roman"/>
          <w:sz w:val="24"/>
          <w:szCs w:val="24"/>
          <w:vertAlign w:val="superscript"/>
        </w:rPr>
        <w:t xml:space="preserve">-47</w:t>
      </w:r>
      <w:r>
        <w:rPr>
          <w:rFonts w:ascii="Times New Roman" w:cs="Times New Roman" w:eastAsia="Times New Roman" w:hAnsi="Times New Roman"/>
          <w:sz w:val="24"/>
          <w:szCs w:val="24"/>
        </w:rPr>
        <w:t xml:space="preserve">). O Bi-LSTM não o cumpre: não se distingue da Floresta Aleatória na semente de referência, fica abaixo dela nas sementes 43 e 44 (Secção 4.5.1), e a sua vantagem sobre o SVM (2,8 p.p.) fica abaixo do limiar de 5 p.p., com intervalo que inclui o zero. Uma explicação plausível, que o desenho não isola, é o pré-treino: o BERTimbau parte de representações aprendidas num grande corpus de português, ao passo que o Bi-LSTM as aprende apenas com o corpus de treino.</w:t>
      </w:r>
    </w:p>
    <w:p>
      <w:pPr>
        <w:spacing w:after="120" w:before="0" w:line="360"/>
        <w:ind w:firstLine="567"/>
        <w:jc w:val="both"/>
      </w:pPr>
      <w:r>
        <w:rPr>
          <w:rFonts w:ascii="Times New Roman" w:cs="Times New Roman" w:eastAsia="Times New Roman" w:hAnsi="Times New Roman"/>
          <w:b/>
          <w:bCs/>
          <w:sz w:val="24"/>
          <w:szCs w:val="24"/>
        </w:rPr>
        <w:t xml:space="preserve">H2: confirmada com condições.</w:t>
      </w:r>
      <w:r>
        <w:rPr>
          <w:rFonts w:ascii="Times New Roman" w:cs="Times New Roman" w:eastAsia="Times New Roman" w:hAnsi="Times New Roman"/>
          <w:sz w:val="24"/>
          <w:szCs w:val="24"/>
        </w:rPr>
        <w:t xml:space="preserve"> O protótipo processa cada publicação em cerca de 0,63 segundos sem GPU; com a gravação por sublotes, as primeiras publicações chegam à fila em 36 segundos e todas em menos de 60 segundos para recolhas até cerca de 64 publicações; para lotes maiores, o critério não é cumprido. A medição cobre o processamento interno, não o intervalo até à recolha.</w:t>
      </w:r>
    </w:p>
    <w:p>
      <w:pPr>
        <w:spacing w:after="120" w:before="0" w:line="360"/>
        <w:ind w:firstLine="567"/>
        <w:jc w:val="both"/>
      </w:pPr>
      <w:r>
        <w:rPr>
          <w:rFonts w:ascii="Times New Roman" w:cs="Times New Roman" w:eastAsia="Times New Roman" w:hAnsi="Times New Roman"/>
          <w:b/>
          <w:bCs/>
          <w:sz w:val="24"/>
          <w:szCs w:val="24"/>
        </w:rPr>
        <w:t xml:space="preserve">H3: não testada.</w:t>
      </w:r>
      <w:r>
        <w:rPr>
          <w:rFonts w:ascii="Times New Roman" w:cs="Times New Roman" w:eastAsia="Times New Roman" w:hAnsi="Times New Roman"/>
          <w:sz w:val="24"/>
          <w:szCs w:val="24"/>
        </w:rPr>
        <w:t xml:space="preserve"> Exige um corpus datado em torno de eventos documentados, que não existe nesta fase.</w:t>
      </w:r>
    </w:p>
    <w:p>
      <w:pPr>
        <w:spacing w:after="120" w:before="0" w:line="360"/>
        <w:ind w:firstLine="567"/>
        <w:jc w:val="both"/>
      </w:pPr>
      <w:r>
        <w:rPr>
          <w:rFonts w:ascii="Times New Roman" w:cs="Times New Roman" w:eastAsia="Times New Roman" w:hAnsi="Times New Roman"/>
          <w:b/>
          <w:bCs/>
          <w:sz w:val="24"/>
          <w:szCs w:val="24"/>
        </w:rPr>
        <w:t xml:space="preserve">H4: confirmada, com reservas.</w:t>
      </w:r>
      <w:r>
        <w:rPr>
          <w:rFonts w:ascii="Times New Roman" w:cs="Times New Roman" w:eastAsia="Times New Roman" w:hAnsi="Times New Roman"/>
          <w:sz w:val="24"/>
          <w:szCs w:val="24"/>
        </w:rPr>
        <w:t xml:space="preserve"> A degradação do desempenho em conteúdo angolano é grande (38,6 p.p.), mantém-se quando se exclui a Mobilização Hostil da média (37,3 p.p., IC 95% de 30,6 a 44,7) e é consistente no Kappa. As reservas, discutidas na Secção 4.6, são a dimensão do piloto e as explicações concorrentes que o desenho não separa (língua, plataforma, registo, construto das etiquetas e atalhos de estilo). Se o efeito de estilo se confirmar, corpora de notícias completas não servirão para treinar detectores de desinformação em comentários, e o desempenho nesta categoria terá de ser medido no domínio de aplicação.</w:t>
      </w:r>
    </w:p>
    <w:p>
      <w:pPr>
        <w:spacing w:after="120" w:before="0" w:line="360"/>
        <w:ind w:firstLine="567"/>
        <w:jc w:val="both"/>
      </w:pPr>
      <w:r>
        <w:rPr>
          <w:rFonts w:ascii="Times New Roman" w:cs="Times New Roman" w:eastAsia="Times New Roman" w:hAnsi="Times New Roman"/>
          <w:sz w:val="24"/>
          <w:szCs w:val="24"/>
        </w:rPr>
        <w:t xml:space="preserve">Os resultados concordam com a literatura. A vantagem do modelo pré-treinado é o padrão habitual (Souza et al., 2020), e a queda fora do domínio de treino é coerente com a fraca generalização entre conjuntos de dados descrita por Fortuna, Soler-Company e Wanner (2021): em nove corpora em inglês, a transferência variava com o modelo, era pior no discurso de ódio do que em categorias mais amplas, como linguagem tóxica ou ofensiva, e dependia da proporção de vocabulário fora do domínio. A falha na Desinformação é compatível com a aprendizagem de atalhos (Geirhos et al., 2020) e a dificuldade em separar mobilização de protesto confirma que o discurso perigoso depende de contexto que o texto não contém (Benesch, 2012).</w:t>
      </w:r>
    </w:p>
    <w:p>
      <w:pPr>
        <w:spacing w:after="120" w:before="0" w:line="360"/>
        <w:ind w:firstLine="567"/>
        <w:jc w:val="both"/>
      </w:pPr>
      <w:r>
        <w:rPr>
          <w:rFonts w:ascii="Times New Roman" w:cs="Times New Roman" w:eastAsia="Times New Roman" w:hAnsi="Times New Roman"/>
          <w:sz w:val="24"/>
          <w:szCs w:val="24"/>
        </w:rPr>
        <w:t xml:space="preserve">Destes resultados tiram-se três conclusões. Só o BERTimbau serve como classificador principal, com vantagem estatisticamente sólida. O F1-macro global, de cerca de 0,80, foi obtido sobretudo em conteúdo brasileiro; em Angola, a estimativa disponível ronda 0,53. Por último, a Mobilização Hostil, a categoria com mais interesse para a segurança, é aquela em que a evidência é mais frágil.</w:t>
      </w:r>
    </w:p>
    <w:p>
      <w:pPr>
        <w:sectPr>
          <w:headerReference w:type="default" r:id="rId19"/>
          <w:footerReference w:type="default" r:id="rId20"/>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5 – CONCLUSÕES</w:t>
      </w:r>
    </w:p>
    <w:p>
      <w:pPr>
        <w:spacing w:after="120" w:before="0" w:line="360"/>
        <w:ind w:firstLine="567"/>
        <w:jc w:val="both"/>
      </w:pPr>
      <w:r>
        <w:rPr>
          <w:rFonts w:ascii="Times New Roman" w:cs="Times New Roman" w:eastAsia="Times New Roman" w:hAnsi="Times New Roman"/>
          <w:sz w:val="24"/>
          <w:szCs w:val="24"/>
        </w:rPr>
        <w:t xml:space="preserve">Esta dissertação partiu de uma pergunta: em que medida a aprendizagem automática consegue apoiar, de forma fiável e juridicamente responsável, a triagem de publicações ameaçadoras nas redes sociais angolanas. Os resultados sugerem que pode ajudar a ordenar o trabalho do analista, mas não o substitui nem deve substituí-lo; essa utilidade foi medida num teste dominado por conteúdo brasileiro e, em conteúdo angolano e com analistas, está por demonstrar.</w:t>
      </w:r>
    </w:p>
    <w:p>
      <w:pPr>
        <w:pStyle w:val="Heading2"/>
        <w:keepNext/>
        <w:keepLines/>
        <w:spacing w:after="160" w:before="360" w:line="300"/>
      </w:pPr>
      <w:r>
        <w:rPr>
          <w:rFonts w:ascii="Times New Roman" w:cs="Times New Roman" w:eastAsia="Times New Roman" w:hAnsi="Times New Roman"/>
          <w:b/>
          <w:bCs/>
          <w:sz w:val="26"/>
          <w:szCs w:val="26"/>
        </w:rPr>
        <w:t xml:space="preserve">5.1 Síntese dos objectivos</w:t>
      </w:r>
    </w:p>
    <w:p>
      <w:pPr>
        <w:spacing w:after="120" w:before="0" w:line="360"/>
        <w:ind w:firstLine="567"/>
        <w:jc w:val="both"/>
      </w:pPr>
      <w:r>
        <w:rPr>
          <w:rFonts w:ascii="Times New Roman" w:cs="Times New Roman" w:eastAsia="Times New Roman" w:hAnsi="Times New Roman"/>
          <w:sz w:val="24"/>
          <w:szCs w:val="24"/>
        </w:rPr>
        <w:t xml:space="preserve">A Tabela 5.1 resume o grau de cumprimento dos objectivos específicos.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5.1 – Cumprimento dos objectivos específicos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4520"/>
        <w:gridCol w:w="1400"/>
      </w:tblGrid>
      <w:tr>
        <w:trPr>
          <w:cantSplit/>
          <w:tblHeader/>
        </w:trPr>
        <w:tc>
          <w:tcPr>
            <w:tcW w:type="dxa" w:w="2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Objectivo</w:t>
            </w:r>
          </w:p>
        </w:tc>
        <w:tc>
          <w:tcPr>
            <w:tcW w:type="dxa" w:w="4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Resultado</w:t>
            </w:r>
          </w:p>
        </w:tc>
        <w:tc>
          <w:tcPr>
            <w:tcW w:type="dxa" w:w="14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Estado</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OE1. Corpus angolano anotado</w:t>
            </w:r>
          </w:p>
        </w:tc>
        <w:tc>
          <w:tcPr>
            <w:tcW w:type="dxa" w:w="4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2.637 publicações públicas angolanas anotadas por 3 anotadores; κ de Fleiss 0,718; proveniência registada por lote</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Cumprido</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OE2. Comparação de algoritmos</w:t>
            </w:r>
          </w:p>
        </w:tc>
        <w:tc>
          <w:tcPr>
            <w:tcW w:type="dxa" w:w="4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BERTimbau F1-macro 0,807 [0,774; 0,838]; superior aos restantes com p &lt; 10</w:t>
            </w:r>
            <w:r>
              <w:rPr>
                <w:rFonts w:ascii="Times New Roman" w:cs="Times New Roman" w:eastAsia="Times New Roman" w:hAnsi="Times New Roman"/>
                <w:b w:val="false"/>
                <w:bCs w:val="false"/>
                <w:sz w:val="18"/>
                <w:szCs w:val="18"/>
                <w:vertAlign w:val="superscript"/>
              </w:rPr>
              <w:t xml:space="preserve">-47</w:t>
            </w:r>
            <w:r>
              <w:rPr>
                <w:rFonts w:ascii="Times New Roman" w:cs="Times New Roman" w:eastAsia="Times New Roman" w:hAnsi="Times New Roman"/>
                <w:b w:val="false"/>
                <w:bCs w:val="false"/>
                <w:sz w:val="18"/>
                <w:szCs w:val="18"/>
              </w:rPr>
              <w:t xml:space="preserve">; Bi-LSTM sem vantagem sobre a Floresta Aleatória</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Cumprido</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OE3. Lacuna de domínio</w:t>
            </w:r>
          </w:p>
        </w:tc>
        <w:tc>
          <w:tcPr>
            <w:tcW w:type="dxa" w:w="4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F1-macro 0,533 no piloto contra 0,919 no corpus público (Δ 38,6 p.p.); duas explicações concorrentes para a queda na Desinformação</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Parcialmente cumprido (causas por separar)</w:t>
            </w:r>
          </w:p>
        </w:tc>
      </w:tr>
      <w:tr>
        <w:trPr>
          <w:cantSplit/>
          <w:tblHeader w:val="false"/>
        </w:trPr>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OE4. Protótipo do sistema</w:t>
            </w:r>
          </w:p>
        </w:tc>
        <w:tc>
          <w:tcPr>
            <w:tcW w:type="dxa" w:w="4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Aplicação web com contas e papéis, ingestão anonimizada, base de dados auditada, classificação em segundo plano, fila por analista, revisão cega e amostra de controlo; recolha integrada do YouTube e de sítios públicos; base de dados SQLite; alertas na aplicação (actualizados a cada 20 s) e por e-mail, mapa interactivo por província com evolução semanal e relatório de alertas; ficha do modelo com o desempenho em conteúdo angolano; modo de demonstração com dados fictícios e troca de modo com o sistema aberto; recolha automática periódica com estimativa da quota; recuperação do acesso sem serviços externos e fim da sessão ao fechar a janela; aspecto ajustável por utilizador; interface própria, sem recursos externos, utilizável sem Internet; 121 testes; tempo de processamento medido (0,6 a 0,7 s por publicação em CPU; primeiras publicações na fila em 36 s com sublotes); avaliação com analistas por fazer</w:t>
            </w:r>
          </w:p>
        </w:tc>
        <w:tc>
          <w:tcPr>
            <w:tcW w:type="dxa" w:w="14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Parcialmente cumprido</w:t>
            </w:r>
          </w:p>
        </w:tc>
      </w:tr>
      <w:tr>
        <w:trPr>
          <w:cantSplit/>
          <w:tblHeader w:val="false"/>
        </w:trPr>
        <w:tc>
          <w:tcPr>
            <w:tcW w:type="dxa" w:w="2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OE5. Quadro ético e legal</w:t>
            </w:r>
          </w:p>
        </w:tc>
        <w:tc>
          <w:tcPr>
            <w:tcW w:type="dxa" w:w="4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Salvaguardas implementadas no sistema (pseudonimização, minimização, conservação, auditoria, revisão humana) e obrigações institucionais propostas (Secção 5.6); parecer jurídico recomendado</w:t>
            </w:r>
          </w:p>
        </w:tc>
        <w:tc>
          <w:tcPr>
            <w:tcW w:type="dxa" w:w="14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Cumprido como proposta; conformidade dependente de parecer jurídico</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5.2 Resposta às hipóteses e às perguntas de investigação</w:t>
      </w:r>
    </w:p>
    <w:p>
      <w:pPr>
        <w:spacing w:after="120" w:before="0" w:line="360"/>
        <w:ind w:firstLine="567"/>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b/>
          <w:bCs/>
          <w:sz w:val="24"/>
          <w:szCs w:val="24"/>
        </w:rPr>
        <w:t xml:space="preserve">H1</w:t>
      </w:r>
      <w:r>
        <w:rPr>
          <w:rFonts w:ascii="Times New Roman" w:cs="Times New Roman" w:eastAsia="Times New Roman" w:hAnsi="Times New Roman"/>
          <w:sz w:val="24"/>
          <w:szCs w:val="24"/>
        </w:rPr>
        <w:t xml:space="preserve"> foi parcialmente confirmada. O BERTimbau superou os modelos clássicos por 14,6 a 17,4 pontos percentuais de F1-macro, com diferenças estatisticamente significativas. Já o Bi-LSTM não se distinguiu da Floresta Aleatória (ΔF1 = 0,2 p.p.) e, repetido o treino com três sementes, nunca a superou, o que é compatível com a ideia de que, neste volume de dados, o factor decisivo é o pré-treino linguístico, embora o desenho não o isole.</w:t>
      </w:r>
    </w:p>
    <w:p>
      <w:pPr>
        <w:spacing w:after="120" w:before="0" w:line="360"/>
        <w:ind w:firstLine="567"/>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b/>
          <w:bCs/>
          <w:sz w:val="24"/>
          <w:szCs w:val="24"/>
        </w:rPr>
        <w:t xml:space="preserve">H2</w:t>
      </w:r>
      <w:r>
        <w:rPr>
          <w:rFonts w:ascii="Times New Roman" w:cs="Times New Roman" w:eastAsia="Times New Roman" w:hAnsi="Times New Roman"/>
          <w:sz w:val="24"/>
          <w:szCs w:val="24"/>
        </w:rPr>
        <w:t xml:space="preserve"> foi confirmada com condições. O sistema processa cada publicação em cerca de 0,6 a 0,7 segundos num computador sem GPU. Com a gravação por sublotes, no lote medido (198 itens, Intel N100), as primeiras publicações chegaram à fila em 36 segundos, e todas chegam em menos de 60 segundos quando cada recolha traz até cerca de 64 publicações; para lotes maiores, o critério não é cumprido, e o intervalo entre a publicação e a recolha não foi medido. A </w:t>
      </w:r>
      <w:r>
        <w:rPr>
          <w:rFonts w:ascii="Times New Roman" w:cs="Times New Roman" w:eastAsia="Times New Roman" w:hAnsi="Times New Roman"/>
          <w:b/>
          <w:bCs/>
          <w:sz w:val="24"/>
          <w:szCs w:val="24"/>
        </w:rPr>
        <w:t xml:space="preserve">H3</w:t>
      </w:r>
      <w:r>
        <w:rPr>
          <w:rFonts w:ascii="Times New Roman" w:cs="Times New Roman" w:eastAsia="Times New Roman" w:hAnsi="Times New Roman"/>
          <w:sz w:val="24"/>
          <w:szCs w:val="24"/>
        </w:rPr>
        <w:t xml:space="preserve"> não foi testada: exige um corpus datado em torno de eventos documentados, que não existe nesta fase.</w:t>
      </w:r>
    </w:p>
    <w:p>
      <w:pPr>
        <w:spacing w:after="120" w:before="0" w:line="360"/>
        <w:ind w:firstLine="567"/>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b/>
          <w:bCs/>
          <w:sz w:val="24"/>
          <w:szCs w:val="24"/>
        </w:rPr>
        <w:t xml:space="preserve">H4</w:t>
      </w:r>
      <w:r>
        <w:rPr>
          <w:rFonts w:ascii="Times New Roman" w:cs="Times New Roman" w:eastAsia="Times New Roman" w:hAnsi="Times New Roman"/>
          <w:sz w:val="24"/>
          <w:szCs w:val="24"/>
        </w:rPr>
        <w:t xml:space="preserve"> foi confirmada, com reservas. Em conteúdo angolano, o F1-macro do BERTimbau desce 38,6 pontos percentuais, e a diferença mantém-se quando se exclui a Mobilização Hostil da média. A queda na Desinformação, de 0,99 para 0,24, é compatível com a aprendizagem do estilo das notícias do Fake.br, mas também com a diferença de construto entre as etiquetas do piloto e as do Fake.br; os dados não permitem separar as duas explicações.</w:t>
      </w:r>
    </w:p>
    <w:p>
      <w:pPr>
        <w:spacing w:after="120" w:before="0" w:line="360"/>
        <w:ind w:firstLine="567"/>
        <w:jc w:val="both"/>
      </w:pPr>
      <w:r>
        <w:rPr>
          <w:rFonts w:ascii="Times New Roman" w:cs="Times New Roman" w:eastAsia="Times New Roman" w:hAnsi="Times New Roman"/>
          <w:sz w:val="24"/>
          <w:szCs w:val="24"/>
        </w:rPr>
        <w:t xml:space="preserve">As perguntas de investigação têm, assim, as seguintes respostas. À </w:t>
      </w:r>
      <w:r>
        <w:rPr>
          <w:rFonts w:ascii="Times New Roman" w:cs="Times New Roman" w:eastAsia="Times New Roman" w:hAnsi="Times New Roman"/>
          <w:b/>
          <w:bCs/>
          <w:sz w:val="24"/>
          <w:szCs w:val="24"/>
        </w:rPr>
        <w:t xml:space="preserve">P1</w:t>
      </w:r>
      <w:r>
        <w:rPr>
          <w:rFonts w:ascii="Times New Roman" w:cs="Times New Roman" w:eastAsia="Times New Roman" w:hAnsi="Times New Roman"/>
          <w:sz w:val="24"/>
          <w:szCs w:val="24"/>
        </w:rPr>
        <w:t xml:space="preserve">: o BERTimbau é o melhor dos quatro algoritmos, com vantagem estatisticamente sólida no teste global; a comparação não foi repetida apenas em conteúdo angolano. À </w:t>
      </w:r>
      <w:r>
        <w:rPr>
          <w:rFonts w:ascii="Times New Roman" w:cs="Times New Roman" w:eastAsia="Times New Roman" w:hAnsi="Times New Roman"/>
          <w:b/>
          <w:bCs/>
          <w:sz w:val="24"/>
          <w:szCs w:val="24"/>
        </w:rPr>
        <w:t xml:space="preserve">P2</w:t>
      </w:r>
      <w:r>
        <w:rPr>
          <w:rFonts w:ascii="Times New Roman" w:cs="Times New Roman" w:eastAsia="Times New Roman" w:hAnsi="Times New Roman"/>
          <w:sz w:val="24"/>
          <w:szCs w:val="24"/>
        </w:rPr>
        <w:t xml:space="preserve">: perdem-se cerca de 39 pontos percentuais de F1-macro, sobretudo na Desinformação e no Discurso de Ódio. À </w:t>
      </w:r>
      <w:r>
        <w:rPr>
          <w:rFonts w:ascii="Times New Roman" w:cs="Times New Roman" w:eastAsia="Times New Roman" w:hAnsi="Times New Roman"/>
          <w:b/>
          <w:bCs/>
          <w:sz w:val="24"/>
          <w:szCs w:val="24"/>
        </w:rPr>
        <w:t xml:space="preserve">P3</w:t>
      </w:r>
      <w:r>
        <w:rPr>
          <w:rFonts w:ascii="Times New Roman" w:cs="Times New Roman" w:eastAsia="Times New Roman" w:hAnsi="Times New Roman"/>
          <w:sz w:val="24"/>
          <w:szCs w:val="24"/>
        </w:rPr>
        <w:t xml:space="preserve">: sim, para o processamento interno de recolhas pequenas; o intervalo até à recolha não foi medido. À </w:t>
      </w:r>
      <w:r>
        <w:rPr>
          <w:rFonts w:ascii="Times New Roman" w:cs="Times New Roman" w:eastAsia="Times New Roman" w:hAnsi="Times New Roman"/>
          <w:b/>
          <w:bCs/>
          <w:sz w:val="24"/>
          <w:szCs w:val="24"/>
        </w:rPr>
        <w:t xml:space="preserve">P4</w:t>
      </w:r>
      <w:r>
        <w:rPr>
          <w:rFonts w:ascii="Times New Roman" w:cs="Times New Roman" w:eastAsia="Times New Roman" w:hAnsi="Times New Roman"/>
          <w:sz w:val="24"/>
          <w:szCs w:val="24"/>
        </w:rPr>
        <w:t xml:space="preserve">: com revisão humana obrigatória, sem perfis de pessoas, com alertas apenas por decisão humana e com as obrigações institucionais da Secção 5.6; a conformidade jurídica depende de um parecer ainda por obter.</w:t>
      </w:r>
    </w:p>
    <w:p>
      <w:pPr>
        <w:spacing w:after="120" w:before="0" w:line="360"/>
        <w:ind w:firstLine="567"/>
        <w:jc w:val="both"/>
      </w:pPr>
      <w:r>
        <w:rPr>
          <w:rFonts w:ascii="Times New Roman" w:cs="Times New Roman" w:eastAsia="Times New Roman" w:hAnsi="Times New Roman"/>
          <w:sz w:val="24"/>
          <w:szCs w:val="24"/>
        </w:rPr>
        <w:t xml:space="preserve">Quanto à pergunta de partida, em conteúdo angolano o classificador não é fiável como decisor (F1-macro de cerca de 0,53) e só pode apoiar a triagem como ordenador sujeito a revisão humana. A utilidade dessa ordenação para analistas reais e a responsabilidade jurídica do uso estão ainda por demonstrar.</w:t>
      </w:r>
    </w:p>
    <w:p>
      <w:pPr>
        <w:pStyle w:val="Heading2"/>
        <w:keepNext/>
        <w:keepLines/>
        <w:spacing w:after="160" w:before="360" w:line="300"/>
      </w:pPr>
      <w:r>
        <w:rPr>
          <w:rFonts w:ascii="Times New Roman" w:cs="Times New Roman" w:eastAsia="Times New Roman" w:hAnsi="Times New Roman"/>
          <w:b/>
          <w:bCs/>
          <w:sz w:val="26"/>
          <w:szCs w:val="26"/>
        </w:rPr>
        <w:t xml:space="preserve">5.3 Contributos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Corpus angolano anotado.</w:t>
      </w:r>
      <w:r>
        <w:rPr>
          <w:rFonts w:ascii="Times New Roman" w:cs="Times New Roman" w:eastAsia="Times New Roman" w:hAnsi="Times New Roman"/>
          <w:sz w:val="24"/>
          <w:szCs w:val="24"/>
        </w:rPr>
        <w:t xml:space="preserve"> Tanto quanto foi possível apurar, é o primeiro corpus de publicações angolanas anotado para estas quatro categorias, com acordo entre anotadores medido e proveniência documentada.</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Medida da lacuna de domínio.</w:t>
      </w:r>
      <w:r>
        <w:rPr>
          <w:rFonts w:ascii="Times New Roman" w:cs="Times New Roman" w:eastAsia="Times New Roman" w:hAnsi="Times New Roman"/>
          <w:sz w:val="24"/>
          <w:szCs w:val="24"/>
        </w:rPr>
        <w:t xml:space="preserve"> A dissertação quantifica, com intervalos de confiança, quanto se perde ao aplicar a conteúdo angolano um modelo treinado sobretudo com dados brasileiros, e identifica duas explicações concorrentes, que os dados não permitem separar: a aprendizagem do estilo jornalístico do Fake.br e a diferença de construto entre as etiquetas.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Avaliação com controlo estatístico.</w:t>
      </w:r>
      <w:r>
        <w:rPr>
          <w:rFonts w:ascii="Times New Roman" w:cs="Times New Roman" w:eastAsia="Times New Roman" w:hAnsi="Times New Roman"/>
          <w:sz w:val="24"/>
          <w:szCs w:val="24"/>
        </w:rPr>
        <w:t xml:space="preserve"> Intervalos de confiança, testes emparelhados com correcção para comparações múltiplas, repetição com várias sementes e selecção de variantes na validação, sem escolha pelo teste. A avaliação vai além da exactidão e mede também a calibração das probabilidades e o esforço de revisão que a ordenação poupa, que são as propriedades de que depende o uso do modelo numa fila de triagem.</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Arquitectura de triagem responsável.</w:t>
      </w:r>
      <w:r>
        <w:rPr>
          <w:rFonts w:ascii="Times New Roman" w:cs="Times New Roman" w:eastAsia="Times New Roman" w:hAnsi="Times New Roman"/>
          <w:sz w:val="24"/>
          <w:szCs w:val="24"/>
        </w:rPr>
        <w:t xml:space="preserve"> Um protótipo de código aberto, testado e documentado, que incorpora a protecção de dados desde a concepção e mantém o analista no centro da decisão, adequado aos recursos disponíveis e à soberania sobre os dados. A interface mostra ao analista, na página Sobre o modelo, onde o modelo falha, em vez de lhe apresentar apenas o desempenho global.</w:t>
      </w:r>
    </w:p>
    <w:p>
      <w:pPr>
        <w:pStyle w:val="Heading2"/>
        <w:keepNext/>
        <w:keepLines/>
        <w:spacing w:after="160" w:before="360" w:line="300"/>
      </w:pPr>
      <w:r>
        <w:rPr>
          <w:rFonts w:ascii="Times New Roman" w:cs="Times New Roman" w:eastAsia="Times New Roman" w:hAnsi="Times New Roman"/>
          <w:b/>
          <w:bCs/>
          <w:sz w:val="26"/>
          <w:szCs w:val="26"/>
        </w:rPr>
        <w:t xml:space="preserve">5.4 Limitações</w:t>
      </w:r>
    </w:p>
    <w:p>
      <w:pPr>
        <w:spacing w:after="120" w:before="0" w:line="360"/>
        <w:ind w:firstLine="567"/>
        <w:jc w:val="both"/>
      </w:pPr>
      <w:r>
        <w:rPr>
          <w:rFonts w:ascii="Times New Roman" w:cs="Times New Roman" w:eastAsia="Times New Roman" w:hAnsi="Times New Roman"/>
          <w:b/>
          <w:bCs/>
          <w:sz w:val="24"/>
          <w:szCs w:val="24"/>
        </w:rPr>
        <w:t xml:space="preserve">Dimensão e composição do corpus angolano.</w:t>
      </w:r>
      <w:r>
        <w:rPr>
          <w:rFonts w:ascii="Times New Roman" w:cs="Times New Roman" w:eastAsia="Times New Roman" w:hAnsi="Times New Roman"/>
          <w:sz w:val="24"/>
          <w:szCs w:val="24"/>
        </w:rPr>
        <w:t xml:space="preserve"> O piloto tem 2.637 publicações, das quais cerca de 86% são comentários do YouTube. A Mobilização Hostil conta com apenas 47 exemplos no teste, o que torna as estimativas desta categoria instáveis (IC 95% do F1 entre 0,42 e 0,66) e sensíveis à semente de treino.</w:t>
      </w:r>
    </w:p>
    <w:p>
      <w:pPr>
        <w:spacing w:after="120" w:before="0" w:line="360"/>
        <w:ind w:firstLine="567"/>
        <w:jc w:val="both"/>
      </w:pPr>
      <w:r>
        <w:rPr>
          <w:rFonts w:ascii="Times New Roman" w:cs="Times New Roman" w:eastAsia="Times New Roman" w:hAnsi="Times New Roman"/>
          <w:b/>
          <w:bCs/>
          <w:sz w:val="24"/>
          <w:szCs w:val="24"/>
        </w:rPr>
        <w:t xml:space="preserve">Validade das etiquetas do piloto.</w:t>
      </w:r>
      <w:r>
        <w:rPr>
          <w:rFonts w:ascii="Times New Roman" w:cs="Times New Roman" w:eastAsia="Times New Roman" w:hAnsi="Times New Roman"/>
          <w:sz w:val="24"/>
          <w:szCs w:val="24"/>
        </w:rPr>
        <w:t xml:space="preserve"> Os anotadores aplicaram, por vezes, critérios mais amplos do que os do guia, e a regra de agregação pela categoria mais grave alarga ainda mais as categorias de ameaça. As etiquetas do piloto não são, por isso, inteiramente equivalentes às dos corpora públicos, o que pode explicar parte da lacuna medida na H4. Parte dos itens do teste angolano foi escolhida pelo investigador, e esses itens têm acordo baixo (κ de 0,42 nos 104 itens do piloto original e de 0,28 nos 180 títulos de notícias); sem eles, nos 289 comentários sorteados, o F1-macro é praticamente o mesmo (0,535).</w:t>
      </w:r>
    </w:p>
    <w:p>
      <w:pPr>
        <w:spacing w:after="120" w:before="0" w:line="360"/>
        <w:ind w:firstLine="567"/>
        <w:jc w:val="both"/>
      </w:pPr>
      <w:r>
        <w:rPr>
          <w:rFonts w:ascii="Times New Roman" w:cs="Times New Roman" w:eastAsia="Times New Roman" w:hAnsi="Times New Roman"/>
          <w:b/>
          <w:bCs/>
          <w:sz w:val="24"/>
          <w:szCs w:val="24"/>
        </w:rPr>
        <w:t xml:space="preserve">Variabilidade do treino.</w:t>
      </w:r>
      <w:r>
        <w:rPr>
          <w:rFonts w:ascii="Times New Roman" w:cs="Times New Roman" w:eastAsia="Times New Roman" w:hAnsi="Times New Roman"/>
          <w:sz w:val="24"/>
          <w:szCs w:val="24"/>
        </w:rPr>
        <w:t xml:space="preserve"> Cada modelo foi treinado com apenas três sementes, e o Bi-LSTM varia 3,2 p.p. entre elas (0,629 a 0,660).</w:t>
      </w:r>
    </w:p>
    <w:p>
      <w:pPr>
        <w:spacing w:after="120" w:before="0" w:line="360"/>
        <w:ind w:firstLine="567"/>
        <w:jc w:val="both"/>
      </w:pPr>
      <w:r>
        <w:rPr>
          <w:rFonts w:ascii="Times New Roman" w:cs="Times New Roman" w:eastAsia="Times New Roman" w:hAnsi="Times New Roman"/>
          <w:b/>
          <w:bCs/>
          <w:sz w:val="24"/>
          <w:szCs w:val="24"/>
        </w:rPr>
        <w:t xml:space="preserve">Predomínio de dados brasileiros.</w:t>
      </w:r>
      <w:r>
        <w:rPr>
          <w:rFonts w:ascii="Times New Roman" w:cs="Times New Roman" w:eastAsia="Times New Roman" w:hAnsi="Times New Roman"/>
          <w:sz w:val="24"/>
          <w:szCs w:val="24"/>
        </w:rPr>
        <w:t xml:space="preserve"> Cerca de 91% do conjunto de teste provém de corpora brasileiros. O desempenho global descreve, por isso, sobretudo conteúdo brasileiro; a estimativa disponível para Angola é a do piloto (F1-macro de cerca de 0,53), baseada em 355 itens. Como a única fonte pública de desinformação são notícias completas, o valor elevado desta categoria não indica capacidade de detectar desinformação em redes sociais.</w:t>
      </w:r>
    </w:p>
    <w:p>
      <w:pPr>
        <w:spacing w:after="120" w:before="0" w:line="360"/>
        <w:ind w:firstLine="567"/>
        <w:jc w:val="both"/>
      </w:pPr>
      <w:r>
        <w:rPr>
          <w:rFonts w:ascii="Times New Roman" w:cs="Times New Roman" w:eastAsia="Times New Roman" w:hAnsi="Times New Roman"/>
          <w:b/>
          <w:bCs/>
          <w:sz w:val="24"/>
          <w:szCs w:val="24"/>
        </w:rPr>
        <w:t xml:space="preserve">Variação linguística.</w:t>
      </w:r>
      <w:r>
        <w:rPr>
          <w:rFonts w:ascii="Times New Roman" w:cs="Times New Roman" w:eastAsia="Times New Roman" w:hAnsi="Times New Roman"/>
          <w:sz w:val="24"/>
          <w:szCs w:val="24"/>
        </w:rPr>
        <w:t xml:space="preserve"> O corpus não tem marcação de calão ou de línguas nacionais, pelo que não é possível separar o efeito da variedade linguística do efeito da plataforma e do registo. Textos integralmente em kimbundu, kikongo, umbundu ou tchokwe ficam fora do alcance do sistema.</w:t>
      </w:r>
    </w:p>
    <w:p>
      <w:pPr>
        <w:spacing w:after="120" w:before="0" w:line="360"/>
        <w:ind w:firstLine="567"/>
        <w:jc w:val="both"/>
      </w:pPr>
      <w:r>
        <w:rPr>
          <w:rFonts w:ascii="Times New Roman" w:cs="Times New Roman" w:eastAsia="Times New Roman" w:hAnsi="Times New Roman"/>
          <w:b/>
          <w:bCs/>
          <w:sz w:val="24"/>
          <w:szCs w:val="24"/>
        </w:rPr>
        <w:t xml:space="preserve">Avaliação operacional.</w:t>
      </w:r>
      <w:r>
        <w:rPr>
          <w:rFonts w:ascii="Times New Roman" w:cs="Times New Roman" w:eastAsia="Times New Roman" w:hAnsi="Times New Roman"/>
          <w:sz w:val="24"/>
          <w:szCs w:val="24"/>
        </w:rPr>
        <w:t xml:space="preserve"> Mediu-se o tempo de processamento num único computador, com um único lote; a medição não inclui o intervalo entre a publicação e a sua recolha. A utilidade da fila para analistas reais e a capacidade de antecipação não foram medidas. O protótipo funciona e está testado, mas a sua eficácia operacional está por demonstrar.</w:t>
      </w:r>
    </w:p>
    <w:p>
      <w:pPr>
        <w:spacing w:after="120" w:before="0" w:line="360"/>
        <w:ind w:firstLine="567"/>
        <w:jc w:val="both"/>
      </w:pPr>
      <w:r>
        <w:rPr>
          <w:rFonts w:ascii="Times New Roman" w:cs="Times New Roman" w:eastAsia="Times New Roman" w:hAnsi="Times New Roman"/>
          <w:b/>
          <w:bCs/>
          <w:sz w:val="24"/>
          <w:szCs w:val="24"/>
        </w:rPr>
        <w:t xml:space="preserve">Probabilidades e ordenação.</w:t>
      </w:r>
      <w:r>
        <w:rPr>
          <w:rFonts w:ascii="Times New Roman" w:cs="Times New Roman" w:eastAsia="Times New Roman" w:hAnsi="Times New Roman"/>
          <w:sz w:val="24"/>
          <w:szCs w:val="24"/>
        </w:rPr>
        <w:t xml:space="preserve"> No subconjunto angolano, a calibração é pior (ECE de 0,160), encontrar 80% das ameaças exige rever 49% da ordenação, e 28,7% das ameaças ficam entre os itens classificados como Normais. A ordenação pela probabilidade de não ser Normal favorece a categoria em que o modelo é mais confiante, o que, no teste, afastou a Mobilização Hostil do topo da fila.</w:t>
      </w:r>
    </w:p>
    <w:p>
      <w:pPr>
        <w:spacing w:after="120" w:before="0" w:line="360"/>
        <w:ind w:firstLine="567"/>
        <w:jc w:val="both"/>
      </w:pPr>
      <w:r>
        <w:rPr>
          <w:rFonts w:ascii="Times New Roman" w:cs="Times New Roman" w:eastAsia="Times New Roman" w:hAnsi="Times New Roman"/>
          <w:b/>
          <w:bCs/>
          <w:sz w:val="24"/>
          <w:szCs w:val="24"/>
        </w:rPr>
        <w:t xml:space="preserve">Localização.</w:t>
      </w:r>
      <w:r>
        <w:rPr>
          <w:rFonts w:ascii="Times New Roman" w:cs="Times New Roman" w:eastAsia="Times New Roman" w:hAnsi="Times New Roman"/>
          <w:sz w:val="24"/>
          <w:szCs w:val="24"/>
        </w:rPr>
        <w:t xml:space="preserve"> O mapa e os alertas por província usam o lugar mencionado nas publicações, não a localização de quem as escreveu. Uma província muito citada em notícias nacionais pode aparecer com mais ameaças do que aquelas que nela ocorrem, e as publicações sem lugar mencionado ficam fora do mapa. A lista de topónimos deixa de fora nomes ambíguos, o que reduz os falsos positivos à custa de alguma cobertura. No corpus anotado, só 3,6% das publicações mencionam uma província (65 delas Luanda); o mapa e os alertas provinciais cobrem, por isso, uma fracção pequena do fluxo e exigirão volumes de recolha elevados.</w:t>
      </w:r>
    </w:p>
    <w:p>
      <w:pPr>
        <w:spacing w:after="120" w:before="0" w:line="360"/>
        <w:ind w:firstLine="567"/>
        <w:jc w:val="both"/>
      </w:pPr>
      <w:r>
        <w:rPr>
          <w:rFonts w:ascii="Times New Roman" w:cs="Times New Roman" w:eastAsia="Times New Roman" w:hAnsi="Times New Roman"/>
          <w:b/>
          <w:bCs/>
          <w:sz w:val="24"/>
          <w:szCs w:val="24"/>
        </w:rPr>
        <w:t xml:space="preserve">Segurança do protótipo.</w:t>
      </w:r>
      <w:r>
        <w:rPr>
          <w:rFonts w:ascii="Times New Roman" w:cs="Times New Roman" w:eastAsia="Times New Roman" w:hAnsi="Times New Roman"/>
          <w:sz w:val="24"/>
          <w:szCs w:val="24"/>
        </w:rPr>
        <w:t xml:space="preserve"> O sistema segue práticas reconhecidas de autenticação e de protecção das aplicações web, mas não foi objecto de uma auditoria de segurança independente nem de testes de intrusão. Em instalação institucional, deve ser servido por HTTPS e o acesso ao servidor deve ser restringido à rede interna.</w:t>
      </w:r>
    </w:p>
    <w:p>
      <w:pPr>
        <w:spacing w:after="120" w:before="0" w:line="360"/>
        <w:ind w:firstLine="567"/>
        <w:jc w:val="both"/>
      </w:pPr>
      <w:r>
        <w:rPr>
          <w:rFonts w:ascii="Times New Roman" w:cs="Times New Roman" w:eastAsia="Times New Roman" w:hAnsi="Times New Roman"/>
          <w:b/>
          <w:bCs/>
          <w:sz w:val="24"/>
          <w:szCs w:val="24"/>
        </w:rPr>
        <w:t xml:space="preserve">Fronteira entre protesto e mobilização hostil.</w:t>
      </w:r>
      <w:r>
        <w:rPr>
          <w:rFonts w:ascii="Times New Roman" w:cs="Times New Roman" w:eastAsia="Times New Roman" w:hAnsi="Times New Roman"/>
          <w:sz w:val="24"/>
          <w:szCs w:val="24"/>
        </w:rPr>
        <w:t xml:space="preserve"> Esta fronteira é ambígua mesmo para anotadores humanos. Nenhum resultado desta dissertação autoriza o uso do sistema para fundamentar acções sobre pessoas sem revisão humana e sem enquadramento jurídico.</w:t>
      </w:r>
    </w:p>
    <w:p>
      <w:pPr>
        <w:pStyle w:val="Heading2"/>
        <w:keepNext/>
        <w:keepLines/>
        <w:spacing w:after="160" w:before="360" w:line="300"/>
      </w:pPr>
      <w:r>
        <w:rPr>
          <w:rFonts w:ascii="Times New Roman" w:cs="Times New Roman" w:eastAsia="Times New Roman" w:hAnsi="Times New Roman"/>
          <w:b/>
          <w:bCs/>
          <w:sz w:val="26"/>
          <w:szCs w:val="26"/>
        </w:rPr>
        <w:t xml:space="preserve">5.5 Implicações para a defesa e segurança nacional</w:t>
      </w:r>
    </w:p>
    <w:p>
      <w:pPr>
        <w:spacing w:after="120" w:before="0" w:line="360"/>
        <w:ind w:firstLine="567"/>
        <w:jc w:val="both"/>
      </w:pPr>
      <w:r>
        <w:rPr>
          <w:rFonts w:ascii="Times New Roman" w:cs="Times New Roman" w:eastAsia="Times New Roman" w:hAnsi="Times New Roman"/>
          <w:sz w:val="24"/>
          <w:szCs w:val="24"/>
        </w:rPr>
        <w:t xml:space="preserve">Para as estruturas de defesa e segurança, os resultados têm três implicações práticas. A automação reduz o volume de leitura, mas não a dispensa: numa ordenação de todo o conjunto de teste, rever um quarto bastou para encontrar quatro em cada cinco ameaças, mas este valor depende da proporção de ameaças (28,7% no teste) e não se transpõe para um fluxo real, onde essa proporção é muito menor. Só a avaliação com analistas permitirá dimensionar as equipas. O sistema dirige a atenção para temas e lugares e não tem vistas por autor, embora o pseudónimo permita, a quem aceda à base de dados, agrupar publicações do mesmo autor; as obrigações institucionais da Secção 5.6 existem para impedir esse uso. E a capacidade técnica pode ser desenvolvida internamente, com software livre e recursos modestos, desde que se invista em dados angolanos anotados e em pessoas que os produzam e mantenham o sistema.</w:t>
      </w:r>
    </w:p>
    <w:p>
      <w:pPr>
        <w:pStyle w:val="Heading2"/>
        <w:keepNext/>
        <w:keepLines/>
        <w:spacing w:after="160" w:before="360" w:line="300"/>
      </w:pPr>
      <w:r>
        <w:rPr>
          <w:rFonts w:ascii="Times New Roman" w:cs="Times New Roman" w:eastAsia="Times New Roman" w:hAnsi="Times New Roman"/>
          <w:b/>
          <w:bCs/>
          <w:sz w:val="26"/>
          <w:szCs w:val="26"/>
        </w:rPr>
        <w:t xml:space="preserve">5.6 Quadro de uso responsável</w:t>
      </w:r>
    </w:p>
    <w:p>
      <w:pPr>
        <w:spacing w:after="120" w:before="0" w:line="360"/>
        <w:ind w:firstLine="567"/>
        <w:jc w:val="both"/>
      </w:pPr>
      <w:r>
        <w:rPr>
          <w:rFonts w:ascii="Times New Roman" w:cs="Times New Roman" w:eastAsia="Times New Roman" w:hAnsi="Times New Roman"/>
          <w:sz w:val="24"/>
          <w:szCs w:val="24"/>
        </w:rPr>
        <w:t xml:space="preserve">O quinto objectivo específico pedia um quadro de uso responsável do sistema. As salvaguardas técnicas estão implementadas no protótipo, mas um sistema deste tipo só é responsável se a instituição que o usa assumir também obrigações que o software não pode impor. A Tabela 5.2 junta as duas partes, organizadas pelos princípios revistos no Capítulo 2.</w:t>
      </w:r>
    </w:p>
    <w:p>
      <w:pPr>
        <w:pStyle w:val="LegendaTabela"/>
        <w:keepNext/>
        <w:spacing w:after="80" w:before="240" w:line="240"/>
        <w:jc w:val="center"/>
      </w:pPr>
      <w:r>
        <w:rPr>
          <w:rFonts w:ascii="Times New Roman" w:cs="Times New Roman" w:eastAsia="Times New Roman" w:hAnsi="Times New Roman"/>
          <w:b/>
          <w:bCs/>
          <w:sz w:val="20"/>
          <w:szCs w:val="20"/>
        </w:rPr>
        <w:t xml:space="preserve">Tabela 5.2 – Quadro de uso responsável: salvaguardas do sistema e obrigações institucionais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3160"/>
        <w:gridCol w:w="3160"/>
      </w:tblGrid>
      <w:tr>
        <w:trPr>
          <w:cantSplit/>
          <w:tblHeader/>
        </w:trPr>
        <w:tc>
          <w:tcPr>
            <w:tcW w:type="dxa" w:w="1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Princípio</w:t>
            </w:r>
          </w:p>
        </w:tc>
        <w:tc>
          <w:tcPr>
            <w:tcW w:type="dxa" w:w="316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Salvaguarda no sistema</w:t>
            </w:r>
          </w:p>
        </w:tc>
        <w:tc>
          <w:tcPr>
            <w:tcW w:type="dxa" w:w="316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Obrigação da instituição</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Finalidade e necessidade</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Recolha apenas de fontes registadas e públicas; registo da proveniência de cada lote</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Definir por escrito a finalidade, os temas e as fontes autorizadas; rever a lista periodicamente</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Proporcionalidade e minimização</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Anonimização à entrada; sem vistas por autor; localização apenas ao nível da província; prazo de conservação</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Não cruzar os dados com outras bases para identificar autores sem autorização judicial</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Decisão humana</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Classificação apenas para ordenar; decisões e alertas só por analistas; revisão cega e amostra de controlo</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Proibir qualquer acção sobre pessoas fundamentada apenas no sistema; formar os analistas nas limitações do modelo</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Transparência</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Ficha do modelo com o desempenho em Angola e as limitações; probabilidades visíveis</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Publicar a existência do sistema, a sua finalidade e as regras de uso, nos termos que a lei permitir</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Responsabilização</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Contas individuais; auditoria de todas as acções; fim da sessão ao fechar a janela</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Designar um responsável pelo tratamento; auditoria independente anual dos registos</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Segurança</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Palavras-passe derivadas, bloqueio, recuperação sem serviços externos, funcionamento sem Internet</w:t>
            </w:r>
          </w:p>
        </w:tc>
        <w:tc>
          <w:tcPr>
            <w:tcW w:type="dxa" w:w="316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Servidor próprio em rede interna, HTTPS, cópias de segurança cifradas, testes de intrusão</w:t>
            </w:r>
          </w:p>
        </w:tc>
      </w:tr>
      <w:tr>
        <w:trPr>
          <w:cantSplit/>
          <w:tblHeader w:val="false"/>
        </w:trPr>
        <w:tc>
          <w:tcPr>
            <w:tcW w:type="dxa" w:w="1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Melhoria e correcção</w:t>
            </w:r>
          </w:p>
        </w:tc>
        <w:tc>
          <w:tcPr>
            <w:tcW w:type="dxa" w:w="31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Exportação das decisões para novo treino; métricas operacionais</w:t>
            </w:r>
          </w:p>
        </w:tc>
        <w:tc>
          <w:tcPr>
            <w:tcW w:type="dxa" w:w="316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Medir o desempenho em conteúdo angolano em cada versão; retirar o modelo se o desempenho cair</w:t>
            </w:r>
          </w:p>
        </w:tc>
      </w:tr>
    </w:tbl>
    <w:p>
      <w:pPr>
        <w:spacing w:after="240" w:before="60" w:line="240"/>
        <w:jc w:val="both"/>
      </w:pPr>
    </w:p>
    <w:p>
      <w:pPr>
        <w:spacing w:after="120" w:before="0" w:line="360"/>
        <w:ind w:firstLine="567"/>
        <w:jc w:val="both"/>
      </w:pPr>
      <w:r>
        <w:rPr>
          <w:rFonts w:ascii="Times New Roman" w:cs="Times New Roman" w:eastAsia="Times New Roman" w:hAnsi="Times New Roman"/>
          <w:sz w:val="24"/>
          <w:szCs w:val="24"/>
        </w:rPr>
        <w:t xml:space="preserve">A coluna da direita não é opcional. Sem ela, as salvaguardas do sistema podem ser contornadas por quem tem acesso ao servidor, e a revisão humana pode tornar-se uma formalidade. O parecer jurídico recomendado em seguida deve, por isso, incidir tanto sobre o sistema como sobre estas obrigações.</w:t>
      </w:r>
    </w:p>
    <w:p>
      <w:pPr>
        <w:pStyle w:val="Heading2"/>
        <w:keepNext/>
        <w:keepLines/>
        <w:spacing w:after="160" w:before="360" w:line="300"/>
      </w:pPr>
      <w:r>
        <w:rPr>
          <w:rFonts w:ascii="Times New Roman" w:cs="Times New Roman" w:eastAsia="Times New Roman" w:hAnsi="Times New Roman"/>
          <w:b/>
          <w:bCs/>
          <w:sz w:val="26"/>
          <w:szCs w:val="26"/>
        </w:rPr>
        <w:t xml:space="preserve">5.7 Considerações finais</w:t>
      </w:r>
    </w:p>
    <w:p>
      <w:pPr>
        <w:spacing w:after="120" w:before="0" w:line="360"/>
        <w:ind w:firstLine="567"/>
        <w:jc w:val="both"/>
      </w:pPr>
      <w:r>
        <w:rPr>
          <w:rFonts w:ascii="Times New Roman" w:cs="Times New Roman" w:eastAsia="Times New Roman" w:hAnsi="Times New Roman"/>
          <w:sz w:val="24"/>
          <w:szCs w:val="24"/>
        </w:rPr>
        <w:t xml:space="preserve">Os resultados mostram que um modelo de linguagem pré-treinado em português supera com folga os métodos clássicos, mas também que esse desempenho não se transfere intacto para o conteúdo angolano. A segunda conclusão é a mais útil, porque indica onde investir: em dados angolanos anotados, em avaliação no domínio real e em sistemas que tratem a classificação como uma sugestão e não como um veredicto. O protótipo segue esse princípio e fica disponível como base para as fases seguintes. Várias das suas funções nasceram, aliás, de dificuldades encontradas ao instalá-lo e usá-lo: um sistema institucional só fica completo quando é usado por quem o vai operar.</w:t>
      </w:r>
    </w:p>
    <w:p>
      <w:pPr>
        <w:sectPr>
          <w:headerReference w:type="default" r:id="rId21"/>
          <w:footerReference w:type="default" r:id="rId22"/>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CAPÍTULO 6 – RECOMENDAÇÕES</w:t>
      </w:r>
    </w:p>
    <w:p>
      <w:pPr>
        <w:spacing w:after="120" w:before="0" w:line="360"/>
        <w:ind w:firstLine="567"/>
        <w:jc w:val="both"/>
      </w:pPr>
      <w:r>
        <w:rPr>
          <w:rFonts w:ascii="Times New Roman" w:cs="Times New Roman" w:eastAsia="Times New Roman" w:hAnsi="Times New Roman"/>
          <w:sz w:val="24"/>
          <w:szCs w:val="24"/>
        </w:rPr>
        <w:t xml:space="preserve">Seguem por ordem de prioridade; as três primeiras são condições para qualquer uso institucional.</w:t>
      </w:r>
    </w:p>
    <w:p>
      <w:pPr>
        <w:spacing w:after="120" w:before="0" w:line="360"/>
        <w:ind w:firstLine="567"/>
        <w:jc w:val="both"/>
      </w:pPr>
      <w:r>
        <w:rPr>
          <w:rFonts w:ascii="Times New Roman" w:cs="Times New Roman" w:eastAsia="Times New Roman" w:hAnsi="Times New Roman"/>
          <w:b/>
          <w:bCs/>
          <w:sz w:val="24"/>
          <w:szCs w:val="24"/>
        </w:rPr>
        <w:t xml:space="preserve">1. Avaliar o sistema com analistas.</w:t>
      </w:r>
      <w:r>
        <w:rPr>
          <w:rFonts w:ascii="Times New Roman" w:cs="Times New Roman" w:eastAsia="Times New Roman" w:hAnsi="Times New Roman"/>
          <w:sz w:val="24"/>
          <w:szCs w:val="24"/>
        </w:rPr>
        <w:t xml:space="preserve"> Aplicar o protocolo da Secção 3.9 a um lote novo, com analistas: precisão nos primeiros K itens, κ analista–sistema e sensibilidade estimada na amostra de controlo, funções que o sistema já tem. Repetir a medição da H2 em equipamento de produção, com recolhas agendadas e pequenas.</w:t>
      </w:r>
    </w:p>
    <w:p>
      <w:pPr>
        <w:spacing w:after="120" w:before="0" w:line="360"/>
        <w:ind w:firstLine="567"/>
        <w:jc w:val="both"/>
      </w:pPr>
      <w:r>
        <w:rPr>
          <w:rFonts w:ascii="Times New Roman" w:cs="Times New Roman" w:eastAsia="Times New Roman" w:hAnsi="Times New Roman"/>
          <w:b/>
          <w:bCs/>
          <w:sz w:val="24"/>
          <w:szCs w:val="24"/>
        </w:rPr>
        <w:t xml:space="preserve">2. Obter parecer jurídico.</w:t>
      </w:r>
      <w:r>
        <w:rPr>
          <w:rFonts w:ascii="Times New Roman" w:cs="Times New Roman" w:eastAsia="Times New Roman" w:hAnsi="Times New Roman"/>
          <w:sz w:val="24"/>
          <w:szCs w:val="24"/>
        </w:rPr>
        <w:t xml:space="preserve"> Antes de qualquer integração institucional, obter parecer sobre a recolha de conteúdos públicos à luz da Lei n.º 22/11, da Lei n.º 7/17, dos termos das plataformas e dos limites constitucionais à monitorização de cidadãos.</w:t>
      </w:r>
    </w:p>
    <w:p>
      <w:pPr>
        <w:spacing w:after="120" w:before="0" w:line="360"/>
        <w:ind w:firstLine="567"/>
        <w:jc w:val="both"/>
      </w:pPr>
      <w:r>
        <w:rPr>
          <w:rFonts w:ascii="Times New Roman" w:cs="Times New Roman" w:eastAsia="Times New Roman" w:hAnsi="Times New Roman"/>
          <w:b/>
          <w:bCs/>
          <w:sz w:val="24"/>
          <w:szCs w:val="24"/>
        </w:rPr>
        <w:t xml:space="preserve">3. Ampliar o corpus angolano e medir sempre em Angola.</w:t>
      </w:r>
      <w:r>
        <w:rPr>
          <w:rFonts w:ascii="Times New Roman" w:cs="Times New Roman" w:eastAsia="Times New Roman" w:hAnsi="Times New Roman"/>
          <w:sz w:val="24"/>
          <w:szCs w:val="24"/>
        </w:rPr>
        <w:t xml:space="preserve"> Aumentar os exemplos anotados, sobretudo de Mobilização Hostil e de Desinformação em comentários, diversificar as plataformas por vias oficiais, marcar no guia de anotação o calão e as línguas nacionais, para medir o seu efeito, e tornar o desempenho em conteúdo angolano a métrica principal do sistema.</w:t>
      </w:r>
    </w:p>
    <w:p>
      <w:pPr>
        <w:spacing w:after="120" w:before="0" w:line="360"/>
        <w:ind w:firstLine="567"/>
        <w:jc w:val="both"/>
      </w:pPr>
      <w:r>
        <w:rPr>
          <w:rFonts w:ascii="Times New Roman" w:cs="Times New Roman" w:eastAsia="Times New Roman" w:hAnsi="Times New Roman"/>
          <w:b/>
          <w:bCs/>
          <w:sz w:val="24"/>
          <w:szCs w:val="24"/>
        </w:rPr>
        <w:t xml:space="preserve">4. Substituir a fonte de desinformação.</w:t>
      </w:r>
      <w:r>
        <w:rPr>
          <w:rFonts w:ascii="Times New Roman" w:cs="Times New Roman" w:eastAsia="Times New Roman" w:hAnsi="Times New Roman"/>
          <w:sz w:val="24"/>
          <w:szCs w:val="24"/>
        </w:rPr>
        <w:t xml:space="preserve"> Usar exemplos de desinformação em publicações curtas, de preferência angolanas, para que o modelo não aprenda o estilo jornalístico em vez do fenómeno.</w:t>
      </w:r>
    </w:p>
    <w:p>
      <w:pPr>
        <w:spacing w:after="120" w:before="0" w:line="360"/>
        <w:ind w:firstLine="567"/>
        <w:jc w:val="both"/>
      </w:pPr>
      <w:r>
        <w:rPr>
          <w:rFonts w:ascii="Times New Roman" w:cs="Times New Roman" w:eastAsia="Times New Roman" w:hAnsi="Times New Roman"/>
          <w:b/>
          <w:bCs/>
          <w:sz w:val="24"/>
          <w:szCs w:val="24"/>
        </w:rPr>
        <w:t xml:space="preserve">5. Adaptar o modelo ao domínio.</w:t>
      </w:r>
      <w:r>
        <w:rPr>
          <w:rFonts w:ascii="Times New Roman" w:cs="Times New Roman" w:eastAsia="Times New Roman" w:hAnsi="Times New Roman"/>
          <w:sz w:val="24"/>
          <w:szCs w:val="24"/>
        </w:rPr>
        <w:t xml:space="preserve"> Continuar o pré-treino do BERTimbau com comentários angolanos não anotados, quando houver dezenas de milhares de textos (Gururangan et al., 2020), e compará-lo com o Albertina PT-PT (Rodrigues et al., 2023), mais próximo da norma usada em Angola.</w:t>
      </w:r>
    </w:p>
    <w:p>
      <w:pPr>
        <w:spacing w:after="120" w:before="0" w:line="360"/>
        <w:ind w:firstLine="567"/>
        <w:jc w:val="both"/>
      </w:pPr>
      <w:r>
        <w:rPr>
          <w:rFonts w:ascii="Times New Roman" w:cs="Times New Roman" w:eastAsia="Times New Roman" w:hAnsi="Times New Roman"/>
          <w:b/>
          <w:bCs/>
          <w:sz w:val="24"/>
          <w:szCs w:val="24"/>
        </w:rPr>
        <w:t xml:space="preserve">6. Melhorar a fila de revisão.</w:t>
      </w:r>
      <w:r>
        <w:rPr>
          <w:rFonts w:ascii="Times New Roman" w:cs="Times New Roman" w:eastAsia="Times New Roman" w:hAnsi="Times New Roman"/>
          <w:sz w:val="24"/>
          <w:szCs w:val="24"/>
        </w:rPr>
        <w:t xml:space="preserve"> Ordenar cada categoria pela sua probabilidade, ou ponderar a prioridade pela gravidade, para que a Mobilização Hostil não fique atrás das categorias em que o modelo é mais confiante; calibrar as probabilidades por escalamento de temperatura num conjunto de validação angolano; e usar as decisões da amostra de controlo como exemplos prioritários de novo treino (Settles, 2009).</w:t>
      </w:r>
    </w:p>
    <w:p>
      <w:pPr>
        <w:spacing w:after="120" w:before="0" w:line="360"/>
        <w:ind w:firstLine="567"/>
        <w:jc w:val="both"/>
      </w:pPr>
      <w:r>
        <w:rPr>
          <w:rFonts w:ascii="Times New Roman" w:cs="Times New Roman" w:eastAsia="Times New Roman" w:hAnsi="Times New Roman"/>
          <w:b/>
          <w:bCs/>
          <w:sz w:val="24"/>
          <w:szCs w:val="24"/>
        </w:rPr>
        <w:t xml:space="preserve">7. Validar a antecipação (H3).</w:t>
      </w:r>
      <w:r>
        <w:rPr>
          <w:rFonts w:ascii="Times New Roman" w:cs="Times New Roman" w:eastAsia="Times New Roman" w:hAnsi="Times New Roman"/>
          <w:sz w:val="24"/>
          <w:szCs w:val="24"/>
        </w:rPr>
        <w:t xml:space="preserve"> Constituir um corpus datado em torno de eventos documentados, com divisão cronológica estrita, verificar se os alertas de tendência os antecedem e acrescentar análise de redes para detectar publicação coordenada.</w:t>
      </w:r>
    </w:p>
    <w:p>
      <w:pPr>
        <w:spacing w:after="120" w:before="0" w:line="360"/>
        <w:ind w:firstLine="567"/>
        <w:jc w:val="both"/>
      </w:pPr>
      <w:r>
        <w:rPr>
          <w:rFonts w:ascii="Times New Roman" w:cs="Times New Roman" w:eastAsia="Times New Roman" w:hAnsi="Times New Roman"/>
          <w:b/>
          <w:bCs/>
          <w:sz w:val="24"/>
          <w:szCs w:val="24"/>
        </w:rPr>
        <w:t xml:space="preserve">8. Cooperação e enquadramento normativo.</w:t>
      </w:r>
      <w:r>
        <w:rPr>
          <w:rFonts w:ascii="Times New Roman" w:cs="Times New Roman" w:eastAsia="Times New Roman" w:hAnsi="Times New Roman"/>
          <w:sz w:val="24"/>
          <w:szCs w:val="24"/>
        </w:rPr>
        <w:t xml:space="preserve"> Partilhar recursos com instituições da CPLP e contribuir para um enquadramento nacional do uso de inteligência artificial em segurança, com transparência, auditoria e supervisão humana.</w:t>
      </w:r>
    </w:p>
    <w:p>
      <w:pPr>
        <w:sectPr>
          <w:headerReference w:type="default" r:id="rId23"/>
          <w:footerReference w:type="default" r:id="rId24"/>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REFERÊNCIAS BIBLIOGRÁFICAS</w:t>
      </w:r>
    </w:p>
    <w:p>
      <w:pPr>
        <w:spacing w:after="160" w:line="240"/>
        <w:ind w:left="567" w:hanging="567"/>
        <w:jc w:val="left"/>
      </w:pPr>
      <w:r>
        <w:rPr>
          <w:rFonts w:ascii="Times New Roman" w:cs="Times New Roman" w:eastAsia="Times New Roman" w:hAnsi="Times New Roman"/>
          <w:sz w:val="24"/>
          <w:szCs w:val="24"/>
        </w:rPr>
        <w:t xml:space="preserve">Amershi, S., Cakmak, M., Knox, W. B., &amp; Kulesza, T. (2014). Power to the people: The role of humans in interactive machine learning. </w:t>
      </w:r>
      <w:r>
        <w:rPr>
          <w:rFonts w:ascii="Times New Roman" w:cs="Times New Roman" w:eastAsia="Times New Roman" w:hAnsi="Times New Roman"/>
          <w:i/>
          <w:iCs/>
          <w:sz w:val="24"/>
          <w:szCs w:val="24"/>
        </w:rPr>
        <w:t xml:space="preserve">AI Magazine, 35</w:t>
      </w:r>
      <w:r>
        <w:rPr>
          <w:rFonts w:ascii="Times New Roman" w:cs="Times New Roman" w:eastAsia="Times New Roman" w:hAnsi="Times New Roman"/>
          <w:sz w:val="24"/>
          <w:szCs w:val="24"/>
        </w:rPr>
        <w:t xml:space="preserve">(4), 105–120. https://doi.org/10.1609/aimag.v35i4.2513</w:t>
      </w:r>
    </w:p>
    <w:p>
      <w:pPr>
        <w:spacing w:after="160" w:line="240"/>
        <w:ind w:left="567" w:hanging="567"/>
        <w:jc w:val="left"/>
      </w:pPr>
      <w:r>
        <w:rPr>
          <w:rFonts w:ascii="Times New Roman" w:cs="Times New Roman" w:eastAsia="Times New Roman" w:hAnsi="Times New Roman"/>
          <w:sz w:val="24"/>
          <w:szCs w:val="24"/>
        </w:rPr>
        <w:t xml:space="preserve">Benesch, S. (2012). </w:t>
      </w:r>
      <w:r>
        <w:rPr>
          <w:rFonts w:ascii="Times New Roman" w:cs="Times New Roman" w:eastAsia="Times New Roman" w:hAnsi="Times New Roman"/>
          <w:i/>
          <w:iCs/>
          <w:sz w:val="24"/>
          <w:szCs w:val="24"/>
        </w:rPr>
        <w:t xml:space="preserve">Dangerous speech: A proposal to prevent group violence</w:t>
      </w:r>
      <w:r>
        <w:rPr>
          <w:rFonts w:ascii="Times New Roman" w:cs="Times New Roman" w:eastAsia="Times New Roman" w:hAnsi="Times New Roman"/>
          <w:sz w:val="24"/>
          <w:szCs w:val="24"/>
        </w:rPr>
        <w:t xml:space="preserve">. World Policy Institute.</w:t>
      </w:r>
    </w:p>
    <w:p>
      <w:pPr>
        <w:spacing w:after="160" w:line="240"/>
        <w:ind w:left="567" w:hanging="567"/>
        <w:jc w:val="left"/>
      </w:pPr>
      <w:r>
        <w:rPr>
          <w:rFonts w:ascii="Times New Roman" w:cs="Times New Roman" w:eastAsia="Times New Roman" w:hAnsi="Times New Roman"/>
          <w:sz w:val="24"/>
          <w:szCs w:val="24"/>
        </w:rPr>
        <w:t xml:space="preserve">Boyd, D. M., &amp; Ellison, N. B. (2007). Social network sites: Definition, history, and scholarship. </w:t>
      </w:r>
      <w:r>
        <w:rPr>
          <w:rFonts w:ascii="Times New Roman" w:cs="Times New Roman" w:eastAsia="Times New Roman" w:hAnsi="Times New Roman"/>
          <w:i/>
          <w:iCs/>
          <w:sz w:val="24"/>
          <w:szCs w:val="24"/>
        </w:rPr>
        <w:t xml:space="preserve">Journal of Computer-Mediated Communication, 13</w:t>
      </w:r>
      <w:r>
        <w:rPr>
          <w:rFonts w:ascii="Times New Roman" w:cs="Times New Roman" w:eastAsia="Times New Roman" w:hAnsi="Times New Roman"/>
          <w:sz w:val="24"/>
          <w:szCs w:val="24"/>
        </w:rPr>
        <w:t xml:space="preserve">(1), 210–230. https://doi.org/10.1111/j.1083-6101.2007.00393.x</w:t>
      </w:r>
    </w:p>
    <w:p>
      <w:pPr>
        <w:spacing w:after="160" w:line="240"/>
        <w:ind w:left="567" w:hanging="567"/>
        <w:jc w:val="left"/>
      </w:pPr>
      <w:r>
        <w:rPr>
          <w:rFonts w:ascii="Times New Roman" w:cs="Times New Roman" w:eastAsia="Times New Roman" w:hAnsi="Times New Roman"/>
          <w:sz w:val="24"/>
          <w:szCs w:val="24"/>
        </w:rPr>
        <w:t xml:space="preserve">Breiman, L. (2001). Random forests. </w:t>
      </w:r>
      <w:r>
        <w:rPr>
          <w:rFonts w:ascii="Times New Roman" w:cs="Times New Roman" w:eastAsia="Times New Roman" w:hAnsi="Times New Roman"/>
          <w:i/>
          <w:iCs/>
          <w:sz w:val="24"/>
          <w:szCs w:val="24"/>
        </w:rPr>
        <w:t xml:space="preserve">Machine Learning, 45</w:t>
      </w:r>
      <w:r>
        <w:rPr>
          <w:rFonts w:ascii="Times New Roman" w:cs="Times New Roman" w:eastAsia="Times New Roman" w:hAnsi="Times New Roman"/>
          <w:sz w:val="24"/>
          <w:szCs w:val="24"/>
        </w:rPr>
        <w:t xml:space="preserve">(1), 5–32. https://doi.org/10.1023/A:1010933404324</w:t>
      </w:r>
    </w:p>
    <w:p>
      <w:pPr>
        <w:spacing w:after="160" w:line="240"/>
        <w:ind w:left="567" w:hanging="567"/>
        <w:jc w:val="left"/>
      </w:pPr>
      <w:r>
        <w:rPr>
          <w:rFonts w:ascii="Times New Roman" w:cs="Times New Roman" w:eastAsia="Times New Roman" w:hAnsi="Times New Roman"/>
          <w:sz w:val="24"/>
          <w:szCs w:val="24"/>
        </w:rPr>
        <w:t xml:space="preserve">Brier, G. W. (1950). Verification of forecasts expressed in terms of probability. </w:t>
      </w:r>
      <w:r>
        <w:rPr>
          <w:rFonts w:ascii="Times New Roman" w:cs="Times New Roman" w:eastAsia="Times New Roman" w:hAnsi="Times New Roman"/>
          <w:i/>
          <w:iCs/>
          <w:sz w:val="24"/>
          <w:szCs w:val="24"/>
        </w:rPr>
        <w:t xml:space="preserve">Monthly Weather Review, 78</w:t>
      </w:r>
      <w:r>
        <w:rPr>
          <w:rFonts w:ascii="Times New Roman" w:cs="Times New Roman" w:eastAsia="Times New Roman" w:hAnsi="Times New Roman"/>
          <w:sz w:val="24"/>
          <w:szCs w:val="24"/>
        </w:rPr>
        <w:t xml:space="preserve">(1), 1–3. https://doi.org/10.1175/1520-0493(1950)078&lt;0001:VOFEIT&gt;2.0.CO;2</w:t>
      </w:r>
    </w:p>
    <w:p>
      <w:pPr>
        <w:spacing w:after="160" w:line="240"/>
        <w:ind w:left="567" w:hanging="567"/>
        <w:jc w:val="left"/>
      </w:pPr>
      <w:r>
        <w:rPr>
          <w:rFonts w:ascii="Times New Roman" w:cs="Times New Roman" w:eastAsia="Times New Roman" w:hAnsi="Times New Roman"/>
          <w:sz w:val="24"/>
          <w:szCs w:val="24"/>
        </w:rPr>
        <w:t xml:space="preserve">Castells, M. (2013). </w:t>
      </w:r>
      <w:r>
        <w:rPr>
          <w:rFonts w:ascii="Times New Roman" w:cs="Times New Roman" w:eastAsia="Times New Roman" w:hAnsi="Times New Roman"/>
          <w:i/>
          <w:iCs/>
          <w:sz w:val="24"/>
          <w:szCs w:val="24"/>
        </w:rPr>
        <w:t xml:space="preserve">Redes de indignação e esperança: Movimentos sociais na era da Internet</w:t>
      </w:r>
      <w:r>
        <w:rPr>
          <w:rFonts w:ascii="Times New Roman" w:cs="Times New Roman" w:eastAsia="Times New Roman" w:hAnsi="Times New Roman"/>
          <w:sz w:val="24"/>
          <w:szCs w:val="24"/>
        </w:rPr>
        <w:t xml:space="preserve">. Zahar.</w:t>
      </w:r>
    </w:p>
    <w:p>
      <w:pPr>
        <w:spacing w:after="160" w:line="240"/>
        <w:ind w:left="567" w:hanging="567"/>
        <w:jc w:val="left"/>
      </w:pPr>
      <w:r>
        <w:rPr>
          <w:rFonts w:ascii="Times New Roman" w:cs="Times New Roman" w:eastAsia="Times New Roman" w:hAnsi="Times New Roman"/>
          <w:sz w:val="24"/>
          <w:szCs w:val="24"/>
        </w:rPr>
        <w:t xml:space="preserve">Chawla, N. V., Bowyer, K. W., Hall, L. O., &amp; Kegelmeyer, W. P. (2002). SMOTE: Synthetic minority over-sampling technique. </w:t>
      </w:r>
      <w:r>
        <w:rPr>
          <w:rFonts w:ascii="Times New Roman" w:cs="Times New Roman" w:eastAsia="Times New Roman" w:hAnsi="Times New Roman"/>
          <w:i/>
          <w:iCs/>
          <w:sz w:val="24"/>
          <w:szCs w:val="24"/>
        </w:rPr>
        <w:t xml:space="preserve">Journal of Artificial Intelligence Research, 16</w:t>
      </w:r>
      <w:r>
        <w:rPr>
          <w:rFonts w:ascii="Times New Roman" w:cs="Times New Roman" w:eastAsia="Times New Roman" w:hAnsi="Times New Roman"/>
          <w:sz w:val="24"/>
          <w:szCs w:val="24"/>
        </w:rPr>
        <w:t xml:space="preserve">, 321–357. https://doi.org/10.1613/jair.953</w:t>
      </w:r>
    </w:p>
    <w:p>
      <w:pPr>
        <w:spacing w:after="160" w:line="240"/>
        <w:ind w:left="567" w:hanging="567"/>
        <w:jc w:val="left"/>
      </w:pPr>
      <w:r>
        <w:rPr>
          <w:rFonts w:ascii="Times New Roman" w:cs="Times New Roman" w:eastAsia="Times New Roman" w:hAnsi="Times New Roman"/>
          <w:sz w:val="24"/>
          <w:szCs w:val="24"/>
        </w:rPr>
        <w:t xml:space="preserve">Cintra, E. S. (2025). </w:t>
      </w:r>
      <w:r>
        <w:rPr>
          <w:rFonts w:ascii="Times New Roman" w:cs="Times New Roman" w:eastAsia="Times New Roman" w:hAnsi="Times New Roman"/>
          <w:i/>
          <w:iCs/>
          <w:sz w:val="24"/>
          <w:szCs w:val="24"/>
        </w:rPr>
        <w:t xml:space="preserve">Desafios midiáticos digitais contemporâneos: Um estudo da ciência das redes como contribuição ao Ministério da Defesa do Brasil sobre as aplicações do terrorismo peer-to-peer</w:t>
      </w:r>
      <w:r>
        <w:rPr>
          <w:rFonts w:ascii="Times New Roman" w:cs="Times New Roman" w:eastAsia="Times New Roman" w:hAnsi="Times New Roman"/>
          <w:sz w:val="24"/>
          <w:szCs w:val="24"/>
        </w:rPr>
        <w:t xml:space="preserve"> [Dissertação de mestrado, Escola Superior de Guerra].</w:t>
      </w:r>
    </w:p>
    <w:p>
      <w:pPr>
        <w:spacing w:after="160" w:line="240"/>
        <w:ind w:left="567" w:hanging="567"/>
        <w:jc w:val="left"/>
      </w:pPr>
      <w:r>
        <w:rPr>
          <w:rFonts w:ascii="Times New Roman" w:cs="Times New Roman" w:eastAsia="Times New Roman" w:hAnsi="Times New Roman"/>
          <w:sz w:val="24"/>
          <w:szCs w:val="24"/>
        </w:rPr>
        <w:t xml:space="preserve">Cohen, J. (1960). A coefficient of agreement for nominal scales. </w:t>
      </w:r>
      <w:r>
        <w:rPr>
          <w:rFonts w:ascii="Times New Roman" w:cs="Times New Roman" w:eastAsia="Times New Roman" w:hAnsi="Times New Roman"/>
          <w:i/>
          <w:iCs/>
          <w:sz w:val="24"/>
          <w:szCs w:val="24"/>
        </w:rPr>
        <w:t xml:space="preserve">Educational and Psychological Measurement, 20</w:t>
      </w:r>
      <w:r>
        <w:rPr>
          <w:rFonts w:ascii="Times New Roman" w:cs="Times New Roman" w:eastAsia="Times New Roman" w:hAnsi="Times New Roman"/>
          <w:sz w:val="24"/>
          <w:szCs w:val="24"/>
        </w:rPr>
        <w:t xml:space="preserve">(1), 37–46. https://doi.org/10.1177/001316446002000104</w:t>
      </w:r>
    </w:p>
    <w:p>
      <w:pPr>
        <w:spacing w:after="160" w:line="240"/>
        <w:ind w:left="567" w:hanging="567"/>
        <w:jc w:val="left"/>
      </w:pPr>
      <w:r>
        <w:rPr>
          <w:rFonts w:ascii="Times New Roman" w:cs="Times New Roman" w:eastAsia="Times New Roman" w:hAnsi="Times New Roman"/>
          <w:sz w:val="24"/>
          <w:szCs w:val="24"/>
        </w:rPr>
        <w:t xml:space="preserve">Conneau, A., Khandelwal, K., Goyal, N., Chaudhary, V., Wenzek, G., Guzmán, F., Grave, E., Ott, M., Zettlemoyer, L., &amp; Stoyanov, V. (2020). Unsupervised cross-lingual representation learning at scale. In </w:t>
      </w:r>
      <w:r>
        <w:rPr>
          <w:rFonts w:ascii="Times New Roman" w:cs="Times New Roman" w:eastAsia="Times New Roman" w:hAnsi="Times New Roman"/>
          <w:i/>
          <w:iCs/>
          <w:sz w:val="24"/>
          <w:szCs w:val="24"/>
        </w:rPr>
        <w:t xml:space="preserve">Proceedings of the 58th Annual Meeting of the Association for Computational Linguistics</w:t>
      </w:r>
      <w:r>
        <w:rPr>
          <w:rFonts w:ascii="Times New Roman" w:cs="Times New Roman" w:eastAsia="Times New Roman" w:hAnsi="Times New Roman"/>
          <w:sz w:val="24"/>
          <w:szCs w:val="24"/>
        </w:rPr>
        <w:t xml:space="preserve"> (pp. 8440–8451). Association for Computational Linguistics. https://doi.org/10.18653/v1/2020.acl-main.747</w:t>
      </w:r>
    </w:p>
    <w:p>
      <w:pPr>
        <w:spacing w:after="160" w:line="240"/>
        <w:ind w:left="567" w:hanging="567"/>
        <w:jc w:val="left"/>
      </w:pPr>
      <w:r>
        <w:rPr>
          <w:rFonts w:ascii="Times New Roman" w:cs="Times New Roman" w:eastAsia="Times New Roman" w:hAnsi="Times New Roman"/>
          <w:sz w:val="24"/>
          <w:szCs w:val="24"/>
        </w:rPr>
        <w:t xml:space="preserve">Conselho da Europa. (2022). </w:t>
      </w:r>
      <w:r>
        <w:rPr>
          <w:rFonts w:ascii="Times New Roman" w:cs="Times New Roman" w:eastAsia="Times New Roman" w:hAnsi="Times New Roman"/>
          <w:i/>
          <w:iCs/>
          <w:sz w:val="24"/>
          <w:szCs w:val="24"/>
        </w:rPr>
        <w:t xml:space="preserve">Recomendação CM/Rec(2022)16 do Comité de Ministros aos Estados-membros sobre o combate ao discurso de ódio</w:t>
      </w:r>
      <w:r>
        <w:rPr>
          <w:rFonts w:ascii="Times New Roman" w:cs="Times New Roman" w:eastAsia="Times New Roman" w:hAnsi="Times New Roman"/>
          <w:sz w:val="24"/>
          <w:szCs w:val="24"/>
        </w:rPr>
        <w:t xml:space="preserve">. Conselho da Europa.</w:t>
      </w:r>
    </w:p>
    <w:p>
      <w:pPr>
        <w:spacing w:after="160" w:line="240"/>
        <w:ind w:left="567" w:hanging="567"/>
        <w:jc w:val="left"/>
      </w:pPr>
      <w:r>
        <w:rPr>
          <w:rFonts w:ascii="Times New Roman" w:cs="Times New Roman" w:eastAsia="Times New Roman" w:hAnsi="Times New Roman"/>
          <w:sz w:val="24"/>
          <w:szCs w:val="24"/>
        </w:rPr>
        <w:t xml:space="preserve">Cortes, C., &amp; Vapnik, V. (1995). Support-vector networks. </w:t>
      </w:r>
      <w:r>
        <w:rPr>
          <w:rFonts w:ascii="Times New Roman" w:cs="Times New Roman" w:eastAsia="Times New Roman" w:hAnsi="Times New Roman"/>
          <w:i/>
          <w:iCs/>
          <w:sz w:val="24"/>
          <w:szCs w:val="24"/>
        </w:rPr>
        <w:t xml:space="preserve">Machine Learning, 20</w:t>
      </w:r>
      <w:r>
        <w:rPr>
          <w:rFonts w:ascii="Times New Roman" w:cs="Times New Roman" w:eastAsia="Times New Roman" w:hAnsi="Times New Roman"/>
          <w:sz w:val="24"/>
          <w:szCs w:val="24"/>
        </w:rPr>
        <w:t xml:space="preserve">(3), 273–297. https://doi.org/10.1007/BF00994018</w:t>
      </w:r>
    </w:p>
    <w:p>
      <w:pPr>
        <w:spacing w:after="160" w:line="240"/>
        <w:ind w:left="567" w:hanging="567"/>
        <w:jc w:val="left"/>
      </w:pPr>
      <w:r>
        <w:rPr>
          <w:rFonts w:ascii="Times New Roman" w:cs="Times New Roman" w:eastAsia="Times New Roman" w:hAnsi="Times New Roman"/>
          <w:sz w:val="24"/>
          <w:szCs w:val="24"/>
        </w:rPr>
        <w:t xml:space="preserve">Davidson, T., Warmsley, D., Macy, M., &amp; Weber, I. (2017). Automated hate speech detection and the problem of offensive language. In </w:t>
      </w:r>
      <w:r>
        <w:rPr>
          <w:rFonts w:ascii="Times New Roman" w:cs="Times New Roman" w:eastAsia="Times New Roman" w:hAnsi="Times New Roman"/>
          <w:i/>
          <w:iCs/>
          <w:sz w:val="24"/>
          <w:szCs w:val="24"/>
        </w:rPr>
        <w:t xml:space="preserve">Proceedings of the Eleventh International AAAI Conference on Web and Social Media</w:t>
      </w:r>
      <w:r>
        <w:rPr>
          <w:rFonts w:ascii="Times New Roman" w:cs="Times New Roman" w:eastAsia="Times New Roman" w:hAnsi="Times New Roman"/>
          <w:sz w:val="24"/>
          <w:szCs w:val="24"/>
        </w:rPr>
        <w:t xml:space="preserve"> (pp. 512–515). AAAI Press.</w:t>
      </w:r>
    </w:p>
    <w:p>
      <w:pPr>
        <w:spacing w:after="160" w:line="240"/>
        <w:ind w:left="567" w:hanging="567"/>
        <w:jc w:val="left"/>
      </w:pPr>
      <w:r>
        <w:rPr>
          <w:rFonts w:ascii="Times New Roman" w:cs="Times New Roman" w:eastAsia="Times New Roman" w:hAnsi="Times New Roman"/>
          <w:sz w:val="24"/>
          <w:szCs w:val="24"/>
        </w:rPr>
        <w:t xml:space="preserve">Defense Advanced Research Projects Agency. (2016). </w:t>
      </w:r>
      <w:r>
        <w:rPr>
          <w:rFonts w:ascii="Times New Roman" w:cs="Times New Roman" w:eastAsia="Times New Roman" w:hAnsi="Times New Roman"/>
          <w:i/>
          <w:iCs/>
          <w:sz w:val="24"/>
          <w:szCs w:val="24"/>
        </w:rPr>
        <w:t xml:space="preserve">Media forensics (MediFor)</w:t>
      </w:r>
      <w:r>
        <w:rPr>
          <w:rFonts w:ascii="Times New Roman" w:cs="Times New Roman" w:eastAsia="Times New Roman" w:hAnsi="Times New Roman"/>
          <w:sz w:val="24"/>
          <w:szCs w:val="24"/>
        </w:rPr>
        <w:t xml:space="preserve">. U.S. Department of Defense. https://www.darpa.mil/research/programs/media-forensics</w:t>
      </w:r>
    </w:p>
    <w:p>
      <w:pPr>
        <w:spacing w:after="160" w:line="240"/>
        <w:ind w:left="567" w:hanging="567"/>
        <w:jc w:val="left"/>
      </w:pPr>
      <w:r>
        <w:rPr>
          <w:rFonts w:ascii="Times New Roman" w:cs="Times New Roman" w:eastAsia="Times New Roman" w:hAnsi="Times New Roman"/>
          <w:sz w:val="24"/>
          <w:szCs w:val="24"/>
        </w:rPr>
        <w:t xml:space="preserve">Devlin, J., Chang, M.-W., Lee, K., &amp; Toutanova, K. (2018). </w:t>
      </w:r>
      <w:r>
        <w:rPr>
          <w:rFonts w:ascii="Times New Roman" w:cs="Times New Roman" w:eastAsia="Times New Roman" w:hAnsi="Times New Roman"/>
          <w:i/>
          <w:iCs/>
          <w:sz w:val="24"/>
          <w:szCs w:val="24"/>
        </w:rPr>
        <w:t xml:space="preserve">BERT: Pre-training of deep bidirectional transformers for language understanding</w:t>
      </w:r>
      <w:r>
        <w:rPr>
          <w:rFonts w:ascii="Times New Roman" w:cs="Times New Roman" w:eastAsia="Times New Roman" w:hAnsi="Times New Roman"/>
          <w:sz w:val="24"/>
          <w:szCs w:val="24"/>
        </w:rPr>
        <w:t xml:space="preserve"> (arXiv:1810.04805). arXiv. https://arxiv.org/abs/1810.04805</w:t>
      </w:r>
    </w:p>
    <w:p>
      <w:pPr>
        <w:spacing w:after="160" w:line="240"/>
        <w:ind w:left="567" w:hanging="567"/>
        <w:jc w:val="left"/>
      </w:pPr>
      <w:r>
        <w:rPr>
          <w:rFonts w:ascii="Times New Roman" w:cs="Times New Roman" w:eastAsia="Times New Roman" w:hAnsi="Times New Roman"/>
          <w:sz w:val="24"/>
          <w:szCs w:val="24"/>
        </w:rPr>
        <w:t xml:space="preserve">Dietterich, T. G. (1998). Approximate statistical tests for comparing supervised classification learning algorithms. </w:t>
      </w:r>
      <w:r>
        <w:rPr>
          <w:rFonts w:ascii="Times New Roman" w:cs="Times New Roman" w:eastAsia="Times New Roman" w:hAnsi="Times New Roman"/>
          <w:i/>
          <w:iCs/>
          <w:sz w:val="24"/>
          <w:szCs w:val="24"/>
        </w:rPr>
        <w:t xml:space="preserve">Neural Computation, 10</w:t>
      </w:r>
      <w:r>
        <w:rPr>
          <w:rFonts w:ascii="Times New Roman" w:cs="Times New Roman" w:eastAsia="Times New Roman" w:hAnsi="Times New Roman"/>
          <w:sz w:val="24"/>
          <w:szCs w:val="24"/>
        </w:rPr>
        <w:t xml:space="preserve">(7), 1895–1923. https://doi.org/10.1162/089976698300017197</w:t>
      </w:r>
    </w:p>
    <w:p>
      <w:pPr>
        <w:spacing w:after="160" w:line="240"/>
        <w:ind w:left="567" w:hanging="567"/>
        <w:jc w:val="left"/>
      </w:pPr>
      <w:r>
        <w:rPr>
          <w:rFonts w:ascii="Times New Roman" w:cs="Times New Roman" w:eastAsia="Times New Roman" w:hAnsi="Times New Roman"/>
          <w:sz w:val="24"/>
          <w:szCs w:val="24"/>
        </w:rPr>
        <w:t xml:space="preserve">Efron, B., &amp; Tibshirani, R. J. (1993). </w:t>
      </w:r>
      <w:r>
        <w:rPr>
          <w:rFonts w:ascii="Times New Roman" w:cs="Times New Roman" w:eastAsia="Times New Roman" w:hAnsi="Times New Roman"/>
          <w:i/>
          <w:iCs/>
          <w:sz w:val="24"/>
          <w:szCs w:val="24"/>
        </w:rPr>
        <w:t xml:space="preserve">An introduction to the bootstrap</w:t>
      </w:r>
      <w:r>
        <w:rPr>
          <w:rFonts w:ascii="Times New Roman" w:cs="Times New Roman" w:eastAsia="Times New Roman" w:hAnsi="Times New Roman"/>
          <w:sz w:val="24"/>
          <w:szCs w:val="24"/>
        </w:rPr>
        <w:t xml:space="preserve">. Chapman &amp; Hall.</w:t>
      </w:r>
    </w:p>
    <w:p>
      <w:pPr>
        <w:spacing w:after="160" w:line="240"/>
        <w:ind w:left="567" w:hanging="567"/>
        <w:jc w:val="left"/>
      </w:pPr>
      <w:r>
        <w:rPr>
          <w:rFonts w:ascii="Times New Roman" w:cs="Times New Roman" w:eastAsia="Times New Roman" w:hAnsi="Times New Roman"/>
          <w:sz w:val="24"/>
          <w:szCs w:val="24"/>
        </w:rPr>
        <w:t xml:space="preserve">Elias, L. (2019). O terrorismo transnacional contemporâneo: Segurança, justiça e cooperação. </w:t>
      </w:r>
      <w:r>
        <w:rPr>
          <w:rFonts w:ascii="Times New Roman" w:cs="Times New Roman" w:eastAsia="Times New Roman" w:hAnsi="Times New Roman"/>
          <w:i/>
          <w:iCs/>
          <w:sz w:val="24"/>
          <w:szCs w:val="24"/>
        </w:rPr>
        <w:t xml:space="preserve">Nação e Defesa, 152</w:t>
      </w:r>
      <w:r>
        <w:rPr>
          <w:rFonts w:ascii="Times New Roman" w:cs="Times New Roman" w:eastAsia="Times New Roman" w:hAnsi="Times New Roman"/>
          <w:sz w:val="24"/>
          <w:szCs w:val="24"/>
        </w:rPr>
        <w:t xml:space="preserve">, 78–112.</w:t>
      </w:r>
    </w:p>
    <w:p>
      <w:pPr>
        <w:spacing w:after="160" w:line="240"/>
        <w:ind w:left="567" w:hanging="567"/>
        <w:jc w:val="left"/>
      </w:pPr>
      <w:r>
        <w:rPr>
          <w:rFonts w:ascii="Times New Roman" w:cs="Times New Roman" w:eastAsia="Times New Roman" w:hAnsi="Times New Roman"/>
          <w:sz w:val="24"/>
          <w:szCs w:val="24"/>
        </w:rPr>
        <w:t xml:space="preserve">EU DisinfoLab. (2020). </w:t>
      </w:r>
      <w:r>
        <w:rPr>
          <w:rFonts w:ascii="Times New Roman" w:cs="Times New Roman" w:eastAsia="Times New Roman" w:hAnsi="Times New Roman"/>
          <w:i/>
          <w:iCs/>
          <w:sz w:val="24"/>
          <w:szCs w:val="24"/>
        </w:rPr>
        <w:t xml:space="preserve">Indian chronicles: Deep dive into a 15-year operation targeting the EU and UN to serve Indian interests</w:t>
      </w:r>
      <w:r>
        <w:rPr>
          <w:rFonts w:ascii="Times New Roman" w:cs="Times New Roman" w:eastAsia="Times New Roman" w:hAnsi="Times New Roman"/>
          <w:sz w:val="24"/>
          <w:szCs w:val="24"/>
        </w:rPr>
        <w:t xml:space="preserve">. https://www.disinfo.eu/publications/indian-chronicles-deep-dive-into-a-15-year-operation-targeting-the-eu-and-un-to-serve-indian-interests/</w:t>
      </w:r>
    </w:p>
    <w:p>
      <w:pPr>
        <w:spacing w:after="160" w:line="240"/>
        <w:ind w:left="567" w:hanging="567"/>
        <w:jc w:val="left"/>
      </w:pPr>
      <w:r>
        <w:rPr>
          <w:rFonts w:ascii="Times New Roman" w:cs="Times New Roman" w:eastAsia="Times New Roman" w:hAnsi="Times New Roman"/>
          <w:sz w:val="24"/>
          <w:szCs w:val="24"/>
        </w:rPr>
        <w:t xml:space="preserve">Fleiss, J. L. (1971). Measuring nominal scale agreement among many raters. </w:t>
      </w:r>
      <w:r>
        <w:rPr>
          <w:rFonts w:ascii="Times New Roman" w:cs="Times New Roman" w:eastAsia="Times New Roman" w:hAnsi="Times New Roman"/>
          <w:i/>
          <w:iCs/>
          <w:sz w:val="24"/>
          <w:szCs w:val="24"/>
        </w:rPr>
        <w:t xml:space="preserve">Psychological Bulletin, 76</w:t>
      </w:r>
      <w:r>
        <w:rPr>
          <w:rFonts w:ascii="Times New Roman" w:cs="Times New Roman" w:eastAsia="Times New Roman" w:hAnsi="Times New Roman"/>
          <w:sz w:val="24"/>
          <w:szCs w:val="24"/>
        </w:rPr>
        <w:t xml:space="preserve">(5), 378–382. https://doi.org/10.1037/h0031619</w:t>
      </w:r>
    </w:p>
    <w:p>
      <w:pPr>
        <w:spacing w:after="160" w:line="240"/>
        <w:ind w:left="567" w:hanging="567"/>
        <w:jc w:val="left"/>
      </w:pPr>
      <w:r>
        <w:rPr>
          <w:rFonts w:ascii="Times New Roman" w:cs="Times New Roman" w:eastAsia="Times New Roman" w:hAnsi="Times New Roman"/>
          <w:sz w:val="24"/>
          <w:szCs w:val="24"/>
        </w:rPr>
        <w:t xml:space="preserve">Fortuna, P., &amp; Nunes, S. (2018). A survey on automatic detection of hate speech in text. </w:t>
      </w:r>
      <w:r>
        <w:rPr>
          <w:rFonts w:ascii="Times New Roman" w:cs="Times New Roman" w:eastAsia="Times New Roman" w:hAnsi="Times New Roman"/>
          <w:i/>
          <w:iCs/>
          <w:sz w:val="24"/>
          <w:szCs w:val="24"/>
        </w:rPr>
        <w:t xml:space="preserve">ACM Computing Surveys, 51</w:t>
      </w:r>
      <w:r>
        <w:rPr>
          <w:rFonts w:ascii="Times New Roman" w:cs="Times New Roman" w:eastAsia="Times New Roman" w:hAnsi="Times New Roman"/>
          <w:sz w:val="24"/>
          <w:szCs w:val="24"/>
        </w:rPr>
        <w:t xml:space="preserve">(4), Artigo 85. https://doi.org/10.1145/3232676</w:t>
      </w:r>
    </w:p>
    <w:p>
      <w:pPr>
        <w:spacing w:after="160" w:line="240"/>
        <w:ind w:left="567" w:hanging="567"/>
        <w:jc w:val="left"/>
      </w:pPr>
      <w:r>
        <w:rPr>
          <w:rFonts w:ascii="Times New Roman" w:cs="Times New Roman" w:eastAsia="Times New Roman" w:hAnsi="Times New Roman"/>
          <w:sz w:val="24"/>
          <w:szCs w:val="24"/>
        </w:rPr>
        <w:t xml:space="preserve">Fortuna, P., Soler-Company, J., &amp; Wanner, L. (2021). How well do hate speech, toxicity, abusive and offensive language classification models generalize across datasets? </w:t>
      </w:r>
      <w:r>
        <w:rPr>
          <w:rFonts w:ascii="Times New Roman" w:cs="Times New Roman" w:eastAsia="Times New Roman" w:hAnsi="Times New Roman"/>
          <w:i/>
          <w:iCs/>
          <w:sz w:val="24"/>
          <w:szCs w:val="24"/>
        </w:rPr>
        <w:t xml:space="preserve">Information Processing &amp; Management, 58</w:t>
      </w:r>
      <w:r>
        <w:rPr>
          <w:rFonts w:ascii="Times New Roman" w:cs="Times New Roman" w:eastAsia="Times New Roman" w:hAnsi="Times New Roman"/>
          <w:sz w:val="24"/>
          <w:szCs w:val="24"/>
        </w:rPr>
        <w:t xml:space="preserve">(3), Artigo 102524. https://doi.org/10.1016/j.ipm.2021.102524</w:t>
      </w:r>
    </w:p>
    <w:p>
      <w:pPr>
        <w:spacing w:after="160" w:line="240"/>
        <w:ind w:left="567" w:hanging="567"/>
        <w:jc w:val="left"/>
      </w:pPr>
      <w:r>
        <w:rPr>
          <w:rFonts w:ascii="Times New Roman" w:cs="Times New Roman" w:eastAsia="Times New Roman" w:hAnsi="Times New Roman"/>
          <w:sz w:val="24"/>
          <w:szCs w:val="24"/>
        </w:rPr>
        <w:t xml:space="preserve">Freire, C. P. (2015). </w:t>
      </w:r>
      <w:r>
        <w:rPr>
          <w:rFonts w:ascii="Times New Roman" w:cs="Times New Roman" w:eastAsia="Times New Roman" w:hAnsi="Times New Roman"/>
          <w:i/>
          <w:iCs/>
          <w:sz w:val="24"/>
          <w:szCs w:val="24"/>
        </w:rPr>
        <w:t xml:space="preserve">Método de monitoramento de redes sociais: Epistemologia, técnicas e propostas de mineração de banco de dados para conteúdos gerados por fãs de telenovela em redes sociais</w:t>
      </w:r>
      <w:r>
        <w:rPr>
          <w:rFonts w:ascii="Times New Roman" w:cs="Times New Roman" w:eastAsia="Times New Roman" w:hAnsi="Times New Roman"/>
          <w:sz w:val="24"/>
          <w:szCs w:val="24"/>
        </w:rPr>
        <w:t xml:space="preserve"> [Tese de doutoramento, Universidade de São Paulo].</w:t>
      </w:r>
    </w:p>
    <w:p>
      <w:pPr>
        <w:spacing w:after="160" w:line="240"/>
        <w:ind w:left="567" w:hanging="567"/>
        <w:jc w:val="left"/>
      </w:pPr>
      <w:r>
        <w:rPr>
          <w:rFonts w:ascii="Times New Roman" w:cs="Times New Roman" w:eastAsia="Times New Roman" w:hAnsi="Times New Roman"/>
          <w:sz w:val="24"/>
          <w:szCs w:val="24"/>
        </w:rPr>
        <w:t xml:space="preserve">Geirhos, R., Jacobsen, J.-H., Michaelis, C., Zemel, R., Brendel, W., Bethge, M., &amp; Wichmann, F. A. (2020). Shortcut learning in deep neural networks. </w:t>
      </w:r>
      <w:r>
        <w:rPr>
          <w:rFonts w:ascii="Times New Roman" w:cs="Times New Roman" w:eastAsia="Times New Roman" w:hAnsi="Times New Roman"/>
          <w:i/>
          <w:iCs/>
          <w:sz w:val="24"/>
          <w:szCs w:val="24"/>
        </w:rPr>
        <w:t xml:space="preserve">Nature Machine Intelligence, 2</w:t>
      </w:r>
      <w:r>
        <w:rPr>
          <w:rFonts w:ascii="Times New Roman" w:cs="Times New Roman" w:eastAsia="Times New Roman" w:hAnsi="Times New Roman"/>
          <w:sz w:val="24"/>
          <w:szCs w:val="24"/>
        </w:rPr>
        <w:t xml:space="preserve">(11), 665–673. https://doi.org/10.1038/s42256-020-00257-z</w:t>
      </w:r>
    </w:p>
    <w:p>
      <w:pPr>
        <w:spacing w:after="160" w:line="240"/>
        <w:ind w:left="567" w:hanging="567"/>
        <w:jc w:val="left"/>
      </w:pPr>
      <w:r>
        <w:rPr>
          <w:rFonts w:ascii="Times New Roman" w:cs="Times New Roman" w:eastAsia="Times New Roman" w:hAnsi="Times New Roman"/>
          <w:sz w:val="24"/>
          <w:szCs w:val="24"/>
        </w:rPr>
        <w:t xml:space="preserve">Grassi, P. A., Fenton, J. L., Newton, E. M., Perlner, R. A., Regenscheid, A. R., Burr, W. E., Richer, J. P., Lefkovitz, N. B., Danker, J. M., Choong, Y.-Y., Greene, K. K., &amp; Theofanos, M. F. (2017). </w:t>
      </w:r>
      <w:r>
        <w:rPr>
          <w:rFonts w:ascii="Times New Roman" w:cs="Times New Roman" w:eastAsia="Times New Roman" w:hAnsi="Times New Roman"/>
          <w:i/>
          <w:iCs/>
          <w:sz w:val="24"/>
          <w:szCs w:val="24"/>
        </w:rPr>
        <w:t xml:space="preserve">Digital identity guidelines: Authentication and lifecycle management</w:t>
      </w:r>
      <w:r>
        <w:rPr>
          <w:rFonts w:ascii="Times New Roman" w:cs="Times New Roman" w:eastAsia="Times New Roman" w:hAnsi="Times New Roman"/>
          <w:sz w:val="24"/>
          <w:szCs w:val="24"/>
        </w:rPr>
        <w:t xml:space="preserve"> (NIST Special Publication 800-63B). National Institute of Standards and Technology. https://doi.org/10.6028/NIST.SP.800-63b</w:t>
      </w:r>
    </w:p>
    <w:p>
      <w:pPr>
        <w:spacing w:after="160" w:line="240"/>
        <w:ind w:left="567" w:hanging="567"/>
        <w:jc w:val="left"/>
      </w:pPr>
      <w:r>
        <w:rPr>
          <w:rFonts w:ascii="Times New Roman" w:cs="Times New Roman" w:eastAsia="Times New Roman" w:hAnsi="Times New Roman"/>
          <w:sz w:val="24"/>
          <w:szCs w:val="24"/>
        </w:rPr>
        <w:t xml:space="preserve">Guo, C., Pleiss, G., Sun, Y., &amp; Weinberger, K. Q. (2017). On calibration of modern neural networks. In </w:t>
      </w:r>
      <w:r>
        <w:rPr>
          <w:rFonts w:ascii="Times New Roman" w:cs="Times New Roman" w:eastAsia="Times New Roman" w:hAnsi="Times New Roman"/>
          <w:i/>
          <w:iCs/>
          <w:sz w:val="24"/>
          <w:szCs w:val="24"/>
        </w:rPr>
        <w:t xml:space="preserve">Proceedings of the 34th International Conference on Machine Learning</w:t>
      </w:r>
      <w:r>
        <w:rPr>
          <w:rFonts w:ascii="Times New Roman" w:cs="Times New Roman" w:eastAsia="Times New Roman" w:hAnsi="Times New Roman"/>
          <w:sz w:val="24"/>
          <w:szCs w:val="24"/>
        </w:rPr>
        <w:t xml:space="preserve"> (pp. 1321–1330). PMLR.</w:t>
      </w:r>
    </w:p>
    <w:p>
      <w:pPr>
        <w:spacing w:after="160" w:line="240"/>
        <w:ind w:left="567" w:hanging="567"/>
        <w:jc w:val="left"/>
      </w:pPr>
      <w:r>
        <w:rPr>
          <w:rFonts w:ascii="Times New Roman" w:cs="Times New Roman" w:eastAsia="Times New Roman" w:hAnsi="Times New Roman"/>
          <w:sz w:val="24"/>
          <w:szCs w:val="24"/>
        </w:rPr>
        <w:t xml:space="preserve">Gururangan, S., Marasović, A., Swayamdipta, S., Lo, K., Beltagy, I., Downey, D., &amp; Smith, N. A. (2020). Don't stop pretraining: Adapt language models to domains and tasks. In </w:t>
      </w:r>
      <w:r>
        <w:rPr>
          <w:rFonts w:ascii="Times New Roman" w:cs="Times New Roman" w:eastAsia="Times New Roman" w:hAnsi="Times New Roman"/>
          <w:i/>
          <w:iCs/>
          <w:sz w:val="24"/>
          <w:szCs w:val="24"/>
        </w:rPr>
        <w:t xml:space="preserve">Proceedings of the 58th Annual Meeting of the Association for Computational Linguistics</w:t>
      </w:r>
      <w:r>
        <w:rPr>
          <w:rFonts w:ascii="Times New Roman" w:cs="Times New Roman" w:eastAsia="Times New Roman" w:hAnsi="Times New Roman"/>
          <w:sz w:val="24"/>
          <w:szCs w:val="24"/>
        </w:rPr>
        <w:t xml:space="preserve"> (pp. 8342–8360). Association for Computational Linguistics. https://doi.org/10.18653/v1/2020.acl-main.740</w:t>
      </w:r>
    </w:p>
    <w:p>
      <w:pPr>
        <w:spacing w:after="160" w:line="240"/>
        <w:ind w:left="567" w:hanging="567"/>
        <w:jc w:val="left"/>
      </w:pPr>
      <w:r>
        <w:rPr>
          <w:rFonts w:ascii="Times New Roman" w:cs="Times New Roman" w:eastAsia="Times New Roman" w:hAnsi="Times New Roman"/>
          <w:sz w:val="24"/>
          <w:szCs w:val="24"/>
        </w:rPr>
        <w:t xml:space="preserve">Hassane, A. C. J. (2021). 2022 vais gostar: A onda de manifestações da juventude em Angola – Que lição para juventude moçambicana (2020-2021)? </w:t>
      </w:r>
      <w:r>
        <w:rPr>
          <w:rFonts w:ascii="Times New Roman" w:cs="Times New Roman" w:eastAsia="Times New Roman" w:hAnsi="Times New Roman"/>
          <w:i/>
          <w:iCs/>
          <w:sz w:val="24"/>
          <w:szCs w:val="24"/>
        </w:rPr>
        <w:t xml:space="preserve">Revista Relações Internacionais e Diplomacia em Análise, 2</w:t>
      </w:r>
      <w:r>
        <w:rPr>
          <w:rFonts w:ascii="Times New Roman" w:cs="Times New Roman" w:eastAsia="Times New Roman" w:hAnsi="Times New Roman"/>
          <w:sz w:val="24"/>
          <w:szCs w:val="24"/>
        </w:rPr>
        <w:t xml:space="preserve">(3), 28–40.</w:t>
      </w:r>
    </w:p>
    <w:p>
      <w:pPr>
        <w:spacing w:after="160" w:line="240"/>
        <w:ind w:left="567" w:hanging="567"/>
        <w:jc w:val="left"/>
      </w:pPr>
      <w:r>
        <w:rPr>
          <w:rFonts w:ascii="Times New Roman" w:cs="Times New Roman" w:eastAsia="Times New Roman" w:hAnsi="Times New Roman"/>
          <w:sz w:val="24"/>
          <w:szCs w:val="24"/>
        </w:rPr>
        <w:t xml:space="preserve">Hochreiter, S., &amp; Schmidhuber, J. (1997). Long short-term memory. </w:t>
      </w:r>
      <w:r>
        <w:rPr>
          <w:rFonts w:ascii="Times New Roman" w:cs="Times New Roman" w:eastAsia="Times New Roman" w:hAnsi="Times New Roman"/>
          <w:i/>
          <w:iCs/>
          <w:sz w:val="24"/>
          <w:szCs w:val="24"/>
        </w:rPr>
        <w:t xml:space="preserve">Neural Computation, 9</w:t>
      </w:r>
      <w:r>
        <w:rPr>
          <w:rFonts w:ascii="Times New Roman" w:cs="Times New Roman" w:eastAsia="Times New Roman" w:hAnsi="Times New Roman"/>
          <w:sz w:val="24"/>
          <w:szCs w:val="24"/>
        </w:rPr>
        <w:t xml:space="preserve">(8), 1735–1780. https://doi.org/10.1162/neco.1997.9.8.1735</w:t>
      </w:r>
    </w:p>
    <w:p>
      <w:pPr>
        <w:spacing w:after="160" w:line="240"/>
        <w:ind w:left="567" w:hanging="567"/>
        <w:jc w:val="left"/>
      </w:pPr>
      <w:r>
        <w:rPr>
          <w:rFonts w:ascii="Times New Roman" w:cs="Times New Roman" w:eastAsia="Times New Roman" w:hAnsi="Times New Roman"/>
          <w:sz w:val="24"/>
          <w:szCs w:val="24"/>
        </w:rPr>
        <w:t xml:space="preserve">INTERPOL. (2023). </w:t>
      </w:r>
      <w:r>
        <w:rPr>
          <w:rFonts w:ascii="Times New Roman" w:cs="Times New Roman" w:eastAsia="Times New Roman" w:hAnsi="Times New Roman"/>
          <w:i/>
          <w:iCs/>
          <w:sz w:val="24"/>
          <w:szCs w:val="24"/>
        </w:rPr>
        <w:t xml:space="preserve">African cyberthreat assessment report 2023: Cyberthreat trends</w:t>
      </w:r>
      <w:r>
        <w:rPr>
          <w:rFonts w:ascii="Times New Roman" w:cs="Times New Roman" w:eastAsia="Times New Roman" w:hAnsi="Times New Roman"/>
          <w:sz w:val="24"/>
          <w:szCs w:val="24"/>
        </w:rPr>
        <w:t xml:space="preserve">. INTERPOL Africa Cybercrime Operations Desk.</w:t>
      </w:r>
    </w:p>
    <w:p>
      <w:pPr>
        <w:spacing w:after="160" w:line="240"/>
        <w:ind w:left="567" w:hanging="567"/>
        <w:jc w:val="left"/>
      </w:pPr>
      <w:r>
        <w:rPr>
          <w:rFonts w:ascii="Times New Roman" w:cs="Times New Roman" w:eastAsia="Times New Roman" w:hAnsi="Times New Roman"/>
          <w:sz w:val="24"/>
          <w:szCs w:val="24"/>
        </w:rPr>
        <w:t xml:space="preserve">Ireton, C., &amp; Posetti, J. (Eds.). (2018). </w:t>
      </w:r>
      <w:r>
        <w:rPr>
          <w:rFonts w:ascii="Times New Roman" w:cs="Times New Roman" w:eastAsia="Times New Roman" w:hAnsi="Times New Roman"/>
          <w:i/>
          <w:iCs/>
          <w:sz w:val="24"/>
          <w:szCs w:val="24"/>
        </w:rPr>
        <w:t xml:space="preserve">Journalism, "fake news" &amp; disinformation: Handbook for journalism education and training</w:t>
      </w:r>
      <w:r>
        <w:rPr>
          <w:rFonts w:ascii="Times New Roman" w:cs="Times New Roman" w:eastAsia="Times New Roman" w:hAnsi="Times New Roman"/>
          <w:sz w:val="24"/>
          <w:szCs w:val="24"/>
        </w:rPr>
        <w:t xml:space="preserve">. UNESCO.</w:t>
      </w:r>
    </w:p>
    <w:p>
      <w:pPr>
        <w:spacing w:after="160" w:line="240"/>
        <w:ind w:left="567" w:hanging="567"/>
        <w:jc w:val="left"/>
      </w:pPr>
      <w:r>
        <w:rPr>
          <w:rFonts w:ascii="Times New Roman" w:cs="Times New Roman" w:eastAsia="Times New Roman" w:hAnsi="Times New Roman"/>
          <w:sz w:val="24"/>
          <w:szCs w:val="24"/>
        </w:rPr>
        <w:t xml:space="preserve">Joachims, T. (1998). Text categorization with support vector machines: Learning with many relevant features. In C. Nédellec &amp; C. Rouveirol (Eds.), </w:t>
      </w:r>
      <w:r>
        <w:rPr>
          <w:rFonts w:ascii="Times New Roman" w:cs="Times New Roman" w:eastAsia="Times New Roman" w:hAnsi="Times New Roman"/>
          <w:i/>
          <w:iCs/>
          <w:sz w:val="24"/>
          <w:szCs w:val="24"/>
        </w:rPr>
        <w:t xml:space="preserve">Machine Learning: ECML-98</w:t>
      </w:r>
      <w:r>
        <w:rPr>
          <w:rFonts w:ascii="Times New Roman" w:cs="Times New Roman" w:eastAsia="Times New Roman" w:hAnsi="Times New Roman"/>
          <w:sz w:val="24"/>
          <w:szCs w:val="24"/>
        </w:rPr>
        <w:t xml:space="preserve"> (pp. 137–142). Springer. https://doi.org/10.1007/BFb0026683</w:t>
      </w:r>
    </w:p>
    <w:p>
      <w:pPr>
        <w:spacing w:after="160" w:line="240"/>
        <w:ind w:left="567" w:hanging="567"/>
        <w:jc w:val="left"/>
      </w:pPr>
      <w:r>
        <w:rPr>
          <w:rFonts w:ascii="Times New Roman" w:cs="Times New Roman" w:eastAsia="Times New Roman" w:hAnsi="Times New Roman"/>
          <w:sz w:val="24"/>
          <w:szCs w:val="24"/>
        </w:rPr>
        <w:t xml:space="preserve">Kemp, S. (2025). </w:t>
      </w:r>
      <w:r>
        <w:rPr>
          <w:rFonts w:ascii="Times New Roman" w:cs="Times New Roman" w:eastAsia="Times New Roman" w:hAnsi="Times New Roman"/>
          <w:i/>
          <w:iCs/>
          <w:sz w:val="24"/>
          <w:szCs w:val="24"/>
        </w:rPr>
        <w:t xml:space="preserve">Digital 2026: Angola</w:t>
      </w:r>
      <w:r>
        <w:rPr>
          <w:rFonts w:ascii="Times New Roman" w:cs="Times New Roman" w:eastAsia="Times New Roman" w:hAnsi="Times New Roman"/>
          <w:sz w:val="24"/>
          <w:szCs w:val="24"/>
        </w:rPr>
        <w:t xml:space="preserve">. DataReportal. https://datareportal.com/reports/digital-2026-angola</w:t>
      </w:r>
    </w:p>
    <w:p>
      <w:pPr>
        <w:spacing w:after="160" w:line="240"/>
        <w:ind w:left="567" w:hanging="567"/>
        <w:jc w:val="left"/>
      </w:pPr>
      <w:r>
        <w:rPr>
          <w:rFonts w:ascii="Times New Roman" w:cs="Times New Roman" w:eastAsia="Times New Roman" w:hAnsi="Times New Roman"/>
          <w:sz w:val="24"/>
          <w:szCs w:val="24"/>
        </w:rPr>
        <w:t xml:space="preserve">Landis, J. R., &amp; Koch, G. G. (1977). The measurement of observer agreement for categorical data. </w:t>
      </w:r>
      <w:r>
        <w:rPr>
          <w:rFonts w:ascii="Times New Roman" w:cs="Times New Roman" w:eastAsia="Times New Roman" w:hAnsi="Times New Roman"/>
          <w:i/>
          <w:iCs/>
          <w:sz w:val="24"/>
          <w:szCs w:val="24"/>
        </w:rPr>
        <w:t xml:space="preserve">Biometrics, 33</w:t>
      </w:r>
      <w:r>
        <w:rPr>
          <w:rFonts w:ascii="Times New Roman" w:cs="Times New Roman" w:eastAsia="Times New Roman" w:hAnsi="Times New Roman"/>
          <w:sz w:val="24"/>
          <w:szCs w:val="24"/>
        </w:rPr>
        <w:t xml:space="preserve">(1), 159–174. https://doi.org/10.2307/2529310</w:t>
      </w:r>
    </w:p>
    <w:p>
      <w:pPr>
        <w:spacing w:after="160" w:line="240"/>
        <w:ind w:left="567" w:hanging="567"/>
        <w:jc w:val="left"/>
      </w:pPr>
      <w:r>
        <w:rPr>
          <w:rFonts w:ascii="Times New Roman" w:cs="Times New Roman" w:eastAsia="Times New Roman" w:hAnsi="Times New Roman"/>
          <w:sz w:val="24"/>
          <w:szCs w:val="24"/>
        </w:rPr>
        <w:t xml:space="preserve">Leite, J. A., Silva, D., Bontcheva, K., &amp; Scarton, C. (2020). Toxic language detection in social media for Brazilian Portuguese: New dataset and multilingual analysis. In </w:t>
      </w:r>
      <w:r>
        <w:rPr>
          <w:rFonts w:ascii="Times New Roman" w:cs="Times New Roman" w:eastAsia="Times New Roman" w:hAnsi="Times New Roman"/>
          <w:i/>
          <w:iCs/>
          <w:sz w:val="24"/>
          <w:szCs w:val="24"/>
        </w:rPr>
        <w:t xml:space="preserve">Proceedings of the 1st Conference of the Asia-Pacific Chapter of the Association for Computational Linguistics and the 10th International Joint Conference on Natural Language Processing</w:t>
      </w:r>
      <w:r>
        <w:rPr>
          <w:rFonts w:ascii="Times New Roman" w:cs="Times New Roman" w:eastAsia="Times New Roman" w:hAnsi="Times New Roman"/>
          <w:sz w:val="24"/>
          <w:szCs w:val="24"/>
        </w:rPr>
        <w:t xml:space="preserve"> (pp. 914–924). Association for Computational Linguistics.</w:t>
      </w:r>
    </w:p>
    <w:p>
      <w:pPr>
        <w:spacing w:after="160" w:line="240"/>
        <w:ind w:left="567" w:hanging="567"/>
        <w:jc w:val="left"/>
      </w:pPr>
      <w:r>
        <w:rPr>
          <w:rFonts w:ascii="Times New Roman" w:cs="Times New Roman" w:eastAsia="Times New Roman" w:hAnsi="Times New Roman"/>
          <w:sz w:val="24"/>
          <w:szCs w:val="24"/>
        </w:rPr>
        <w:t xml:space="preserve">Manning, C. D., Raghavan, P., &amp; Schütze, H. (2008). </w:t>
      </w:r>
      <w:r>
        <w:rPr>
          <w:rFonts w:ascii="Times New Roman" w:cs="Times New Roman" w:eastAsia="Times New Roman" w:hAnsi="Times New Roman"/>
          <w:i/>
          <w:iCs/>
          <w:sz w:val="24"/>
          <w:szCs w:val="24"/>
        </w:rPr>
        <w:t xml:space="preserve">Introduction to information retrieval</w:t>
      </w:r>
      <w:r>
        <w:rPr>
          <w:rFonts w:ascii="Times New Roman" w:cs="Times New Roman" w:eastAsia="Times New Roman" w:hAnsi="Times New Roman"/>
          <w:sz w:val="24"/>
          <w:szCs w:val="24"/>
        </w:rPr>
        <w:t xml:space="preserve">. Cambridge University Press.</w:t>
      </w:r>
    </w:p>
    <w:p>
      <w:pPr>
        <w:spacing w:after="160" w:line="240"/>
        <w:ind w:left="567" w:hanging="567"/>
        <w:jc w:val="left"/>
      </w:pPr>
      <w:r>
        <w:rPr>
          <w:rFonts w:ascii="Times New Roman" w:cs="Times New Roman" w:eastAsia="Times New Roman" w:hAnsi="Times New Roman"/>
          <w:sz w:val="24"/>
          <w:szCs w:val="24"/>
        </w:rPr>
        <w:t xml:space="preserve">Marcon, F. (2019). Agências estetizadas: Juventudes, mobilizações e ativismos em Angola. </w:t>
      </w:r>
      <w:r>
        <w:rPr>
          <w:rFonts w:ascii="Times New Roman" w:cs="Times New Roman" w:eastAsia="Times New Roman" w:hAnsi="Times New Roman"/>
          <w:i/>
          <w:iCs/>
          <w:sz w:val="24"/>
          <w:szCs w:val="24"/>
        </w:rPr>
        <w:t xml:space="preserve">Crítica e Sociedade, 9</w:t>
      </w:r>
      <w:r>
        <w:rPr>
          <w:rFonts w:ascii="Times New Roman" w:cs="Times New Roman" w:eastAsia="Times New Roman" w:hAnsi="Times New Roman"/>
          <w:sz w:val="24"/>
          <w:szCs w:val="24"/>
        </w:rPr>
        <w:t xml:space="preserve">(2), 191–208. https://doi.org/10.14393/RCS-v9n2-2019-56679</w:t>
      </w:r>
    </w:p>
    <w:p>
      <w:pPr>
        <w:spacing w:after="160" w:line="240"/>
        <w:ind w:left="567" w:hanging="567"/>
        <w:jc w:val="left"/>
      </w:pPr>
      <w:r>
        <w:rPr>
          <w:rFonts w:ascii="Times New Roman" w:cs="Times New Roman" w:eastAsia="Times New Roman" w:hAnsi="Times New Roman"/>
          <w:sz w:val="24"/>
          <w:szCs w:val="24"/>
        </w:rPr>
        <w:t xml:space="preserve">McNemar, Q. (1947). Note on the sampling error of the difference between correlated proportions or percentages. </w:t>
      </w:r>
      <w:r>
        <w:rPr>
          <w:rFonts w:ascii="Times New Roman" w:cs="Times New Roman" w:eastAsia="Times New Roman" w:hAnsi="Times New Roman"/>
          <w:i/>
          <w:iCs/>
          <w:sz w:val="24"/>
          <w:szCs w:val="24"/>
        </w:rPr>
        <w:t xml:space="preserve">Psychometrika, 12</w:t>
      </w:r>
      <w:r>
        <w:rPr>
          <w:rFonts w:ascii="Times New Roman" w:cs="Times New Roman" w:eastAsia="Times New Roman" w:hAnsi="Times New Roman"/>
          <w:sz w:val="24"/>
          <w:szCs w:val="24"/>
        </w:rPr>
        <w:t xml:space="preserve">(2), 153–157. https://doi.org/10.1007/BF02295996</w:t>
      </w:r>
    </w:p>
    <w:p>
      <w:pPr>
        <w:spacing w:after="160" w:line="240"/>
        <w:ind w:left="567" w:hanging="567"/>
        <w:jc w:val="left"/>
      </w:pPr>
      <w:r>
        <w:rPr>
          <w:rFonts w:ascii="Times New Roman" w:cs="Times New Roman" w:eastAsia="Times New Roman" w:hAnsi="Times New Roman"/>
          <w:sz w:val="24"/>
          <w:szCs w:val="24"/>
        </w:rPr>
        <w:t xml:space="preserve">Mitchell, M., Wu, S., Zaldivar, A., Barnes, P., Vasserman, L., Hutchinson, B., Spitzer, E., Raji, I. D., &amp; Gebru, T. (2019). Model cards for model reporting. In </w:t>
      </w:r>
      <w:r>
        <w:rPr>
          <w:rFonts w:ascii="Times New Roman" w:cs="Times New Roman" w:eastAsia="Times New Roman" w:hAnsi="Times New Roman"/>
          <w:i/>
          <w:iCs/>
          <w:sz w:val="24"/>
          <w:szCs w:val="24"/>
        </w:rPr>
        <w:t xml:space="preserve">Proceedings of the Conference on Fairness, Accountability, and Transparency</w:t>
      </w:r>
      <w:r>
        <w:rPr>
          <w:rFonts w:ascii="Times New Roman" w:cs="Times New Roman" w:eastAsia="Times New Roman" w:hAnsi="Times New Roman"/>
          <w:sz w:val="24"/>
          <w:szCs w:val="24"/>
        </w:rPr>
        <w:t xml:space="preserve"> (pp. 220–229). ACM. https://doi.org/10.1145/3287560.3287596</w:t>
      </w:r>
    </w:p>
    <w:p>
      <w:pPr>
        <w:spacing w:after="160" w:line="240"/>
        <w:ind w:left="567" w:hanging="567"/>
        <w:jc w:val="left"/>
      </w:pPr>
      <w:r>
        <w:rPr>
          <w:rFonts w:ascii="Times New Roman" w:cs="Times New Roman" w:eastAsia="Times New Roman" w:hAnsi="Times New Roman"/>
          <w:sz w:val="24"/>
          <w:szCs w:val="24"/>
        </w:rPr>
        <w:t xml:space="preserve">Monaco, N., &amp; Arnaudo, D. (2020). </w:t>
      </w:r>
      <w:r>
        <w:rPr>
          <w:rFonts w:ascii="Times New Roman" w:cs="Times New Roman" w:eastAsia="Times New Roman" w:hAnsi="Times New Roman"/>
          <w:i/>
          <w:iCs/>
          <w:sz w:val="24"/>
          <w:szCs w:val="24"/>
        </w:rPr>
        <w:t xml:space="preserve">Análise de dados para o monitoramento de redes sociais</w:t>
      </w:r>
      <w:r>
        <w:rPr>
          <w:rFonts w:ascii="Times New Roman" w:cs="Times New Roman" w:eastAsia="Times New Roman" w:hAnsi="Times New Roman"/>
          <w:sz w:val="24"/>
          <w:szCs w:val="24"/>
        </w:rPr>
        <w:t xml:space="preserve">. National Democratic Institute.</w:t>
      </w:r>
    </w:p>
    <w:p>
      <w:pPr>
        <w:spacing w:after="160" w:line="240"/>
        <w:ind w:left="567" w:hanging="567"/>
        <w:jc w:val="left"/>
      </w:pPr>
      <w:r>
        <w:rPr>
          <w:rFonts w:ascii="Times New Roman" w:cs="Times New Roman" w:eastAsia="Times New Roman" w:hAnsi="Times New Roman"/>
          <w:sz w:val="24"/>
          <w:szCs w:val="24"/>
        </w:rPr>
        <w:t xml:space="preserve">Monteiro, R. A., Santos, R. L. S., Pardo, T. A. S., de Almeida, T. A., Ruiz, E. E. S., &amp; Vale, O. A. (2018). Contributions to the study of fake news in Portuguese: New corpus and automatic detection results. In </w:t>
      </w:r>
      <w:r>
        <w:rPr>
          <w:rFonts w:ascii="Times New Roman" w:cs="Times New Roman" w:eastAsia="Times New Roman" w:hAnsi="Times New Roman"/>
          <w:i/>
          <w:iCs/>
          <w:sz w:val="24"/>
          <w:szCs w:val="24"/>
        </w:rPr>
        <w:t xml:space="preserve">Computational Processing of the Portuguese Language: PROPOR 2018</w:t>
      </w:r>
      <w:r>
        <w:rPr>
          <w:rFonts w:ascii="Times New Roman" w:cs="Times New Roman" w:eastAsia="Times New Roman" w:hAnsi="Times New Roman"/>
          <w:sz w:val="24"/>
          <w:szCs w:val="24"/>
        </w:rPr>
        <w:t xml:space="preserve"> (pp. 324–334). Springer. https://doi.org/10.1007/978-3-319-99722-3_33</w:t>
      </w:r>
    </w:p>
    <w:p>
      <w:pPr>
        <w:spacing w:after="160" w:line="240"/>
        <w:ind w:left="567" w:hanging="567"/>
        <w:jc w:val="left"/>
      </w:pPr>
      <w:r>
        <w:rPr>
          <w:rFonts w:ascii="Times New Roman" w:cs="Times New Roman" w:eastAsia="Times New Roman" w:hAnsi="Times New Roman"/>
          <w:sz w:val="24"/>
          <w:szCs w:val="24"/>
        </w:rPr>
        <w:t xml:space="preserve">Naeini, M. P., Cooper, G. F., &amp; Hauskrecht, M. (2015). Obtaining well calibrated probabilities using Bayesian binning. In </w:t>
      </w:r>
      <w:r>
        <w:rPr>
          <w:rFonts w:ascii="Times New Roman" w:cs="Times New Roman" w:eastAsia="Times New Roman" w:hAnsi="Times New Roman"/>
          <w:i/>
          <w:iCs/>
          <w:sz w:val="24"/>
          <w:szCs w:val="24"/>
        </w:rPr>
        <w:t xml:space="preserve">Proceedings of the Twenty-Ninth AAAI Conference on Artificial Intelligence</w:t>
      </w:r>
      <w:r>
        <w:rPr>
          <w:rFonts w:ascii="Times New Roman" w:cs="Times New Roman" w:eastAsia="Times New Roman" w:hAnsi="Times New Roman"/>
          <w:sz w:val="24"/>
          <w:szCs w:val="24"/>
        </w:rPr>
        <w:t xml:space="preserve"> (pp. 2901–2907). AAAI Press.</w:t>
      </w:r>
    </w:p>
    <w:p>
      <w:pPr>
        <w:spacing w:after="160" w:line="240"/>
        <w:ind w:left="567" w:hanging="567"/>
        <w:jc w:val="left"/>
      </w:pPr>
      <w:r>
        <w:rPr>
          <w:rFonts w:ascii="Times New Roman" w:cs="Times New Roman" w:eastAsia="Times New Roman" w:hAnsi="Times New Roman"/>
          <w:sz w:val="24"/>
          <w:szCs w:val="24"/>
        </w:rPr>
        <w:t xml:space="preserve">Niculescu-Mizil, A., &amp; Caruana, R. (2005). Predicting good probabilities with supervised learning. In </w:t>
      </w:r>
      <w:r>
        <w:rPr>
          <w:rFonts w:ascii="Times New Roman" w:cs="Times New Roman" w:eastAsia="Times New Roman" w:hAnsi="Times New Roman"/>
          <w:i/>
          <w:iCs/>
          <w:sz w:val="24"/>
          <w:szCs w:val="24"/>
        </w:rPr>
        <w:t xml:space="preserve">Proceedings of the 22nd International Conference on Machine Learning</w:t>
      </w:r>
      <w:r>
        <w:rPr>
          <w:rFonts w:ascii="Times New Roman" w:cs="Times New Roman" w:eastAsia="Times New Roman" w:hAnsi="Times New Roman"/>
          <w:sz w:val="24"/>
          <w:szCs w:val="24"/>
        </w:rPr>
        <w:t xml:space="preserve"> (pp. 625–632). ACM. https://doi.org/10.1145/1102351.1102430</w:t>
      </w:r>
    </w:p>
    <w:p>
      <w:pPr>
        <w:spacing w:after="160" w:line="240"/>
        <w:ind w:left="567" w:hanging="567"/>
        <w:jc w:val="left"/>
      </w:pPr>
      <w:r>
        <w:rPr>
          <w:rFonts w:ascii="Times New Roman" w:cs="Times New Roman" w:eastAsia="Times New Roman" w:hAnsi="Times New Roman"/>
          <w:sz w:val="24"/>
          <w:szCs w:val="24"/>
        </w:rPr>
        <w:t xml:space="preserve">Omand, D., Bartlett, J., &amp; Miller, C. (2012). Introducing social media intelligence (SOCMINT). </w:t>
      </w:r>
      <w:r>
        <w:rPr>
          <w:rFonts w:ascii="Times New Roman" w:cs="Times New Roman" w:eastAsia="Times New Roman" w:hAnsi="Times New Roman"/>
          <w:i/>
          <w:iCs/>
          <w:sz w:val="24"/>
          <w:szCs w:val="24"/>
        </w:rPr>
        <w:t xml:space="preserve">Intelligence and National Security, 27</w:t>
      </w:r>
      <w:r>
        <w:rPr>
          <w:rFonts w:ascii="Times New Roman" w:cs="Times New Roman" w:eastAsia="Times New Roman" w:hAnsi="Times New Roman"/>
          <w:sz w:val="24"/>
          <w:szCs w:val="24"/>
        </w:rPr>
        <w:t xml:space="preserve">(6), 801–823. https://doi.org/10.1080/02684527.2012.716965</w:t>
      </w:r>
    </w:p>
    <w:p>
      <w:pPr>
        <w:spacing w:after="160" w:line="240"/>
        <w:ind w:left="567" w:hanging="567"/>
        <w:jc w:val="left"/>
      </w:pPr>
      <w:r>
        <w:rPr>
          <w:rFonts w:ascii="Times New Roman" w:cs="Times New Roman" w:eastAsia="Times New Roman" w:hAnsi="Times New Roman"/>
          <w:sz w:val="24"/>
          <w:szCs w:val="24"/>
        </w:rPr>
        <w:t xml:space="preserve">OWASP Foundation. (2021). </w:t>
      </w:r>
      <w:r>
        <w:rPr>
          <w:rFonts w:ascii="Times New Roman" w:cs="Times New Roman" w:eastAsia="Times New Roman" w:hAnsi="Times New Roman"/>
          <w:i/>
          <w:iCs/>
          <w:sz w:val="24"/>
          <w:szCs w:val="24"/>
        </w:rPr>
        <w:t xml:space="preserve">OWASP Top 10: 2021</w:t>
      </w:r>
      <w:r>
        <w:rPr>
          <w:rFonts w:ascii="Times New Roman" w:cs="Times New Roman" w:eastAsia="Times New Roman" w:hAnsi="Times New Roman"/>
          <w:sz w:val="24"/>
          <w:szCs w:val="24"/>
        </w:rPr>
        <w:t xml:space="preserve">. https://owasp.org/Top10/</w:t>
      </w:r>
    </w:p>
    <w:p>
      <w:pPr>
        <w:spacing w:after="160" w:line="240"/>
        <w:ind w:left="567" w:hanging="567"/>
        <w:jc w:val="left"/>
      </w:pPr>
      <w:r>
        <w:rPr>
          <w:rFonts w:ascii="Times New Roman" w:cs="Times New Roman" w:eastAsia="Times New Roman" w:hAnsi="Times New Roman"/>
          <w:sz w:val="24"/>
          <w:szCs w:val="24"/>
        </w:rPr>
        <w:t xml:space="preserve">Palantir Technologies. (2024). </w:t>
      </w:r>
      <w:r>
        <w:rPr>
          <w:rFonts w:ascii="Times New Roman" w:cs="Times New Roman" w:eastAsia="Times New Roman" w:hAnsi="Times New Roman"/>
          <w:i/>
          <w:iCs/>
          <w:sz w:val="24"/>
          <w:szCs w:val="24"/>
        </w:rPr>
        <w:t xml:space="preserve">Palantir Platform: Gotham – Service definition document</w:t>
      </w:r>
      <w:r>
        <w:rPr>
          <w:rFonts w:ascii="Times New Roman" w:cs="Times New Roman" w:eastAsia="Times New Roman" w:hAnsi="Times New Roman"/>
          <w:sz w:val="24"/>
          <w:szCs w:val="24"/>
        </w:rPr>
        <w:t xml:space="preserve"> (G-Cloud 14). Digital Marketplace, UK Government. https://www.applytosupply.digitalmarketplace.service.gov.uk/g-cloud-14/services/801146272055049</w:t>
      </w:r>
    </w:p>
    <w:p>
      <w:pPr>
        <w:spacing w:after="160" w:line="240"/>
        <w:ind w:left="567" w:hanging="567"/>
        <w:jc w:val="left"/>
      </w:pPr>
      <w:r>
        <w:rPr>
          <w:rFonts w:ascii="Times New Roman" w:cs="Times New Roman" w:eastAsia="Times New Roman" w:hAnsi="Times New Roman"/>
          <w:sz w:val="24"/>
          <w:szCs w:val="24"/>
        </w:rPr>
        <w:t xml:space="preserve">Parasuraman, R., &amp; Manzey, D. H. (2010). Complacency and bias in human use of automation: An attentional integration. </w:t>
      </w:r>
      <w:r>
        <w:rPr>
          <w:rFonts w:ascii="Times New Roman" w:cs="Times New Roman" w:eastAsia="Times New Roman" w:hAnsi="Times New Roman"/>
          <w:i/>
          <w:iCs/>
          <w:sz w:val="24"/>
          <w:szCs w:val="24"/>
        </w:rPr>
        <w:t xml:space="preserve">Human Factors, 52</w:t>
      </w:r>
      <w:r>
        <w:rPr>
          <w:rFonts w:ascii="Times New Roman" w:cs="Times New Roman" w:eastAsia="Times New Roman" w:hAnsi="Times New Roman"/>
          <w:sz w:val="24"/>
          <w:szCs w:val="24"/>
        </w:rPr>
        <w:t xml:space="preserve">(3), 381–410. https://doi.org/10.1177/0018720810376055</w:t>
      </w:r>
    </w:p>
    <w:p>
      <w:pPr>
        <w:spacing w:after="160" w:line="240"/>
        <w:ind w:left="567" w:hanging="567"/>
        <w:jc w:val="left"/>
      </w:pPr>
      <w:r>
        <w:rPr>
          <w:rFonts w:ascii="Times New Roman" w:cs="Times New Roman" w:eastAsia="Times New Roman" w:hAnsi="Times New Roman"/>
          <w:sz w:val="24"/>
          <w:szCs w:val="24"/>
        </w:rPr>
        <w:t xml:space="preserve">Poletto, F., Basile, V., Sanguinetti, M., Bosco, C., &amp; Patti, V. (2021). Resources and benchmark corpora for hate speech detection: A systematic review. </w:t>
      </w:r>
      <w:r>
        <w:rPr>
          <w:rFonts w:ascii="Times New Roman" w:cs="Times New Roman" w:eastAsia="Times New Roman" w:hAnsi="Times New Roman"/>
          <w:i/>
          <w:iCs/>
          <w:sz w:val="24"/>
          <w:szCs w:val="24"/>
        </w:rPr>
        <w:t xml:space="preserve">Language Resources and Evaluation, 55</w:t>
      </w:r>
      <w:r>
        <w:rPr>
          <w:rFonts w:ascii="Times New Roman" w:cs="Times New Roman" w:eastAsia="Times New Roman" w:hAnsi="Times New Roman"/>
          <w:sz w:val="24"/>
          <w:szCs w:val="24"/>
        </w:rPr>
        <w:t xml:space="preserve">(2), 477–523. https://doi.org/10.1007/s10579-020-09502-8</w:t>
      </w:r>
    </w:p>
    <w:p>
      <w:pPr>
        <w:spacing w:after="160" w:line="240"/>
        <w:ind w:left="567" w:hanging="567"/>
        <w:jc w:val="left"/>
      </w:pPr>
      <w:r>
        <w:rPr>
          <w:rFonts w:ascii="Times New Roman" w:cs="Times New Roman" w:eastAsia="Times New Roman" w:hAnsi="Times New Roman"/>
          <w:sz w:val="24"/>
          <w:szCs w:val="24"/>
        </w:rPr>
        <w:t xml:space="preserve">República de Angola. (2010). </w:t>
      </w:r>
      <w:r>
        <w:rPr>
          <w:rFonts w:ascii="Times New Roman" w:cs="Times New Roman" w:eastAsia="Times New Roman" w:hAnsi="Times New Roman"/>
          <w:i/>
          <w:iCs/>
          <w:sz w:val="24"/>
          <w:szCs w:val="24"/>
        </w:rPr>
        <w:t xml:space="preserve">Constituição da República de Angola</w:t>
      </w:r>
      <w:r>
        <w:rPr>
          <w:rFonts w:ascii="Times New Roman" w:cs="Times New Roman" w:eastAsia="Times New Roman" w:hAnsi="Times New Roman"/>
          <w:sz w:val="24"/>
          <w:szCs w:val="24"/>
        </w:rPr>
        <w:t xml:space="preserve">. Assembleia Nacional.</w:t>
      </w:r>
    </w:p>
    <w:p>
      <w:pPr>
        <w:spacing w:after="160" w:line="240"/>
        <w:ind w:left="567" w:hanging="567"/>
        <w:jc w:val="left"/>
      </w:pPr>
      <w:r>
        <w:rPr>
          <w:rFonts w:ascii="Times New Roman" w:cs="Times New Roman" w:eastAsia="Times New Roman" w:hAnsi="Times New Roman"/>
          <w:sz w:val="24"/>
          <w:szCs w:val="24"/>
        </w:rPr>
        <w:t xml:space="preserve">República de Angola. (2011). Lei n.º 22/11, de 17 de Junho: Lei da Protecção de Dados Pessoais. </w:t>
      </w:r>
      <w:r>
        <w:rPr>
          <w:rFonts w:ascii="Times New Roman" w:cs="Times New Roman" w:eastAsia="Times New Roman" w:hAnsi="Times New Roman"/>
          <w:i/>
          <w:iCs/>
          <w:sz w:val="24"/>
          <w:szCs w:val="24"/>
        </w:rPr>
        <w:t xml:space="preserve">Diário da República</w:t>
      </w:r>
      <w:r>
        <w:rPr>
          <w:rFonts w:ascii="Times New Roman" w:cs="Times New Roman" w:eastAsia="Times New Roman" w:hAnsi="Times New Roman"/>
          <w:sz w:val="24"/>
          <w:szCs w:val="24"/>
        </w:rPr>
        <w:t xml:space="preserve">, I Série, n.º 114.</w:t>
      </w:r>
    </w:p>
    <w:p>
      <w:pPr>
        <w:spacing w:after="160" w:line="240"/>
        <w:ind w:left="567" w:hanging="567"/>
        <w:jc w:val="left"/>
      </w:pPr>
      <w:r>
        <w:rPr>
          <w:rFonts w:ascii="Times New Roman" w:cs="Times New Roman" w:eastAsia="Times New Roman" w:hAnsi="Times New Roman"/>
          <w:sz w:val="24"/>
          <w:szCs w:val="24"/>
        </w:rPr>
        <w:t xml:space="preserve">República de Angola. (2017). Lei n.º 7/17, de 16 de Fevereiro: Lei de Protecção das Redes e Sistemas Informáticos. </w:t>
      </w:r>
      <w:r>
        <w:rPr>
          <w:rFonts w:ascii="Times New Roman" w:cs="Times New Roman" w:eastAsia="Times New Roman" w:hAnsi="Times New Roman"/>
          <w:i/>
          <w:iCs/>
          <w:sz w:val="24"/>
          <w:szCs w:val="24"/>
        </w:rPr>
        <w:t xml:space="preserve">Diário da República</w:t>
      </w:r>
      <w:r>
        <w:rPr>
          <w:rFonts w:ascii="Times New Roman" w:cs="Times New Roman" w:eastAsia="Times New Roman" w:hAnsi="Times New Roman"/>
          <w:sz w:val="24"/>
          <w:szCs w:val="24"/>
        </w:rPr>
        <w:t xml:space="preserve">, I Série.</w:t>
      </w:r>
    </w:p>
    <w:p>
      <w:pPr>
        <w:spacing w:after="160" w:line="240"/>
        <w:ind w:left="567" w:hanging="567"/>
        <w:jc w:val="left"/>
      </w:pPr>
      <w:r>
        <w:rPr>
          <w:rFonts w:ascii="Times New Roman" w:cs="Times New Roman" w:eastAsia="Times New Roman" w:hAnsi="Times New Roman"/>
          <w:sz w:val="24"/>
          <w:szCs w:val="24"/>
        </w:rPr>
        <w:t xml:space="preserve">Rodrigues, J., Gomes, L., Silva, J., Branco, A., Santos, R., Lopes Cardoso, H., &amp; Osório, T. (2023). Advancing neural encoding of Portuguese with Transformer Albertina PT-*. In </w:t>
      </w:r>
      <w:r>
        <w:rPr>
          <w:rFonts w:ascii="Times New Roman" w:cs="Times New Roman" w:eastAsia="Times New Roman" w:hAnsi="Times New Roman"/>
          <w:i/>
          <w:iCs/>
          <w:sz w:val="24"/>
          <w:szCs w:val="24"/>
        </w:rPr>
        <w:t xml:space="preserve">Progress in Artificial Intelligence: EPIA 2023</w:t>
      </w:r>
      <w:r>
        <w:rPr>
          <w:rFonts w:ascii="Times New Roman" w:cs="Times New Roman" w:eastAsia="Times New Roman" w:hAnsi="Times New Roman"/>
          <w:sz w:val="24"/>
          <w:szCs w:val="24"/>
        </w:rPr>
        <w:t xml:space="preserve"> (pp. 441–453). Springer. https://doi.org/10.1007/978-3-031-49008-8_35</w:t>
      </w:r>
    </w:p>
    <w:p>
      <w:pPr>
        <w:spacing w:after="160" w:line="240"/>
        <w:ind w:left="567" w:hanging="567"/>
        <w:jc w:val="left"/>
      </w:pPr>
      <w:r>
        <w:rPr>
          <w:rFonts w:ascii="Times New Roman" w:cs="Times New Roman" w:eastAsia="Times New Roman" w:hAnsi="Times New Roman"/>
          <w:sz w:val="24"/>
          <w:szCs w:val="24"/>
        </w:rPr>
        <w:t xml:space="preserve">Runfola, D., Anderson, A., Baier, H., Crittenden, M., Dowker, E., Fuhrig, S., Goodman, S., Grimsley, G., Layko, R., Melville, G., Mulder, M., Oberman, R., Panganiban, J., Peck, A., Seitz, L., Shea, S., Slevin, H., Youngerman, R., &amp; Hobbs, L. (2020). geoBoundaries: A global database of political administrative boundaries. </w:t>
      </w:r>
      <w:r>
        <w:rPr>
          <w:rFonts w:ascii="Times New Roman" w:cs="Times New Roman" w:eastAsia="Times New Roman" w:hAnsi="Times New Roman"/>
          <w:i/>
          <w:iCs/>
          <w:sz w:val="24"/>
          <w:szCs w:val="24"/>
        </w:rPr>
        <w:t xml:space="preserve">PLoS ONE, 15</w:t>
      </w:r>
      <w:r>
        <w:rPr>
          <w:rFonts w:ascii="Times New Roman" w:cs="Times New Roman" w:eastAsia="Times New Roman" w:hAnsi="Times New Roman"/>
          <w:sz w:val="24"/>
          <w:szCs w:val="24"/>
        </w:rPr>
        <w:t xml:space="preserve">(4), e0231866. https://doi.org/10.1371/journal.pone.0231866</w:t>
      </w:r>
    </w:p>
    <w:p>
      <w:pPr>
        <w:spacing w:after="160" w:line="240"/>
        <w:ind w:left="567" w:hanging="567"/>
        <w:jc w:val="left"/>
      </w:pPr>
      <w:r>
        <w:rPr>
          <w:rFonts w:ascii="Times New Roman" w:cs="Times New Roman" w:eastAsia="Times New Roman" w:hAnsi="Times New Roman"/>
          <w:sz w:val="24"/>
          <w:szCs w:val="24"/>
        </w:rPr>
        <w:t xml:space="preserve">Sambaca, S. C., &amp; Pessoa, S. N. (2026). Eleições em Angola: A influência das redes sociais no comportamento eleitoral dos jovens angolanos em 2022. </w:t>
      </w:r>
      <w:r>
        <w:rPr>
          <w:rFonts w:ascii="Times New Roman" w:cs="Times New Roman" w:eastAsia="Times New Roman" w:hAnsi="Times New Roman"/>
          <w:i/>
          <w:iCs/>
          <w:sz w:val="24"/>
          <w:szCs w:val="24"/>
        </w:rPr>
        <w:t xml:space="preserve">Revista Tópicos, 4</w:t>
      </w:r>
      <w:r>
        <w:rPr>
          <w:rFonts w:ascii="Times New Roman" w:cs="Times New Roman" w:eastAsia="Times New Roman" w:hAnsi="Times New Roman"/>
          <w:sz w:val="24"/>
          <w:szCs w:val="24"/>
        </w:rPr>
        <w:t xml:space="preserve">(29). https://doi.org/10.5281/zenodo.18363947</w:t>
      </w:r>
    </w:p>
    <w:p>
      <w:pPr>
        <w:spacing w:after="160" w:line="240"/>
        <w:ind w:left="567" w:hanging="567"/>
        <w:jc w:val="left"/>
      </w:pPr>
      <w:r>
        <w:rPr>
          <w:rFonts w:ascii="Times New Roman" w:cs="Times New Roman" w:eastAsia="Times New Roman" w:hAnsi="Times New Roman"/>
          <w:sz w:val="24"/>
          <w:szCs w:val="24"/>
        </w:rPr>
        <w:t xml:space="preserve">Sap, M., Card, D., Gabriel, S., Choi, Y., &amp; Smith, N. A. (2019). The risk of racial bias in hate speech detection. In </w:t>
      </w:r>
      <w:r>
        <w:rPr>
          <w:rFonts w:ascii="Times New Roman" w:cs="Times New Roman" w:eastAsia="Times New Roman" w:hAnsi="Times New Roman"/>
          <w:i/>
          <w:iCs/>
          <w:sz w:val="24"/>
          <w:szCs w:val="24"/>
        </w:rPr>
        <w:t xml:space="preserve">Proceedings of the 57th Annual Meeting of the Association for Computational Linguistics</w:t>
      </w:r>
      <w:r>
        <w:rPr>
          <w:rFonts w:ascii="Times New Roman" w:cs="Times New Roman" w:eastAsia="Times New Roman" w:hAnsi="Times New Roman"/>
          <w:sz w:val="24"/>
          <w:szCs w:val="24"/>
        </w:rPr>
        <w:t xml:space="preserve"> (pp. 1668–1678). Association for Computational Linguistics. https://doi.org/10.18653/v1/P19-1163</w:t>
      </w:r>
    </w:p>
    <w:p>
      <w:pPr>
        <w:spacing w:after="160" w:line="240"/>
        <w:ind w:left="567" w:hanging="567"/>
        <w:jc w:val="left"/>
      </w:pPr>
      <w:r>
        <w:rPr>
          <w:rFonts w:ascii="Times New Roman" w:cs="Times New Roman" w:eastAsia="Times New Roman" w:hAnsi="Times New Roman"/>
          <w:sz w:val="24"/>
          <w:szCs w:val="24"/>
        </w:rPr>
        <w:t xml:space="preserve">Schuster, M., &amp; Paliwal, K. K. (1997). Bidirectional recurrent neural networks. </w:t>
      </w:r>
      <w:r>
        <w:rPr>
          <w:rFonts w:ascii="Times New Roman" w:cs="Times New Roman" w:eastAsia="Times New Roman" w:hAnsi="Times New Roman"/>
          <w:i/>
          <w:iCs/>
          <w:sz w:val="24"/>
          <w:szCs w:val="24"/>
        </w:rPr>
        <w:t xml:space="preserve">IEEE Transactions on Signal Processing, 45</w:t>
      </w:r>
      <w:r>
        <w:rPr>
          <w:rFonts w:ascii="Times New Roman" w:cs="Times New Roman" w:eastAsia="Times New Roman" w:hAnsi="Times New Roman"/>
          <w:sz w:val="24"/>
          <w:szCs w:val="24"/>
        </w:rPr>
        <w:t xml:space="preserve">(11), 2673–2681. https://doi.org/10.1109/78.650093</w:t>
      </w:r>
    </w:p>
    <w:p>
      <w:pPr>
        <w:spacing w:after="160" w:line="240"/>
        <w:ind w:left="567" w:hanging="567"/>
        <w:jc w:val="left"/>
      </w:pPr>
      <w:r>
        <w:rPr>
          <w:rFonts w:ascii="Times New Roman" w:cs="Times New Roman" w:eastAsia="Times New Roman" w:hAnsi="Times New Roman"/>
          <w:sz w:val="24"/>
          <w:szCs w:val="24"/>
        </w:rPr>
        <w:t xml:space="preserve">Sette Câmara, T. (2016). Terrorismo na era da Internet: O uso de redes sociais pelo Estado Islâmico. </w:t>
      </w:r>
      <w:r>
        <w:rPr>
          <w:rFonts w:ascii="Times New Roman" w:cs="Times New Roman" w:eastAsia="Times New Roman" w:hAnsi="Times New Roman"/>
          <w:i/>
          <w:iCs/>
          <w:sz w:val="24"/>
          <w:szCs w:val="24"/>
        </w:rPr>
        <w:t xml:space="preserve">Revista Relações Internacionais no Mundo Atual, 1</w:t>
      </w:r>
      <w:r>
        <w:rPr>
          <w:rFonts w:ascii="Times New Roman" w:cs="Times New Roman" w:eastAsia="Times New Roman" w:hAnsi="Times New Roman"/>
          <w:sz w:val="24"/>
          <w:szCs w:val="24"/>
        </w:rPr>
        <w:t xml:space="preserve">(21), 196–221.</w:t>
      </w:r>
    </w:p>
    <w:p>
      <w:pPr>
        <w:spacing w:after="160" w:line="240"/>
        <w:ind w:left="567" w:hanging="567"/>
        <w:jc w:val="left"/>
      </w:pPr>
      <w:r>
        <w:rPr>
          <w:rFonts w:ascii="Times New Roman" w:cs="Times New Roman" w:eastAsia="Times New Roman" w:hAnsi="Times New Roman"/>
          <w:sz w:val="24"/>
          <w:szCs w:val="24"/>
        </w:rPr>
        <w:t xml:space="preserve">Settles, B. (2009). </w:t>
      </w:r>
      <w:r>
        <w:rPr>
          <w:rFonts w:ascii="Times New Roman" w:cs="Times New Roman" w:eastAsia="Times New Roman" w:hAnsi="Times New Roman"/>
          <w:i/>
          <w:iCs/>
          <w:sz w:val="24"/>
          <w:szCs w:val="24"/>
        </w:rPr>
        <w:t xml:space="preserve">Active learning literature survey</w:t>
      </w:r>
      <w:r>
        <w:rPr>
          <w:rFonts w:ascii="Times New Roman" w:cs="Times New Roman" w:eastAsia="Times New Roman" w:hAnsi="Times New Roman"/>
          <w:sz w:val="24"/>
          <w:szCs w:val="24"/>
        </w:rPr>
        <w:t xml:space="preserve"> (Computer Sciences Technical Report 1648). University of Wisconsin–Madison.</w:t>
      </w:r>
    </w:p>
    <w:p>
      <w:pPr>
        <w:spacing w:after="160" w:line="240"/>
        <w:ind w:left="567" w:hanging="567"/>
        <w:jc w:val="left"/>
      </w:pPr>
      <w:r>
        <w:rPr>
          <w:rFonts w:ascii="Times New Roman" w:cs="Times New Roman" w:eastAsia="Times New Roman" w:hAnsi="Times New Roman"/>
          <w:sz w:val="24"/>
          <w:szCs w:val="24"/>
        </w:rPr>
        <w:t xml:space="preserve">Sokolova, M., &amp; Lapalme, G. (2009). A systematic analysis of performance measures for classification tasks. </w:t>
      </w:r>
      <w:r>
        <w:rPr>
          <w:rFonts w:ascii="Times New Roman" w:cs="Times New Roman" w:eastAsia="Times New Roman" w:hAnsi="Times New Roman"/>
          <w:i/>
          <w:iCs/>
          <w:sz w:val="24"/>
          <w:szCs w:val="24"/>
        </w:rPr>
        <w:t xml:space="preserve">Information Processing &amp; Management, 45</w:t>
      </w:r>
      <w:r>
        <w:rPr>
          <w:rFonts w:ascii="Times New Roman" w:cs="Times New Roman" w:eastAsia="Times New Roman" w:hAnsi="Times New Roman"/>
          <w:sz w:val="24"/>
          <w:szCs w:val="24"/>
        </w:rPr>
        <w:t xml:space="preserve">(4), 427–437. https://doi.org/10.1016/j.ipm.2009.03.002</w:t>
      </w:r>
    </w:p>
    <w:p>
      <w:pPr>
        <w:spacing w:after="160" w:line="240"/>
        <w:ind w:left="567" w:hanging="567"/>
        <w:jc w:val="left"/>
      </w:pPr>
      <w:r>
        <w:rPr>
          <w:rFonts w:ascii="Times New Roman" w:cs="Times New Roman" w:eastAsia="Times New Roman" w:hAnsi="Times New Roman"/>
          <w:sz w:val="24"/>
          <w:szCs w:val="24"/>
        </w:rPr>
        <w:t xml:space="preserve">Souza, F., Nogueira, R., &amp; Lotufo, R. (2020). BERTimbau: Pretrained BERT models for Brazilian Portuguese. In </w:t>
      </w:r>
      <w:r>
        <w:rPr>
          <w:rFonts w:ascii="Times New Roman" w:cs="Times New Roman" w:eastAsia="Times New Roman" w:hAnsi="Times New Roman"/>
          <w:i/>
          <w:iCs/>
          <w:sz w:val="24"/>
          <w:szCs w:val="24"/>
        </w:rPr>
        <w:t xml:space="preserve">Intelligent Systems: BRACIS 2020</w:t>
      </w:r>
      <w:r>
        <w:rPr>
          <w:rFonts w:ascii="Times New Roman" w:cs="Times New Roman" w:eastAsia="Times New Roman" w:hAnsi="Times New Roman"/>
          <w:sz w:val="24"/>
          <w:szCs w:val="24"/>
        </w:rPr>
        <w:t xml:space="preserve"> (pp. 403–417). Springer. https://doi.org/10.1007/978-3-030-61377-8_28</w:t>
      </w:r>
    </w:p>
    <w:p>
      <w:pPr>
        <w:spacing w:after="160" w:line="240"/>
        <w:ind w:left="567" w:hanging="567"/>
        <w:jc w:val="left"/>
      </w:pPr>
      <w:r>
        <w:rPr>
          <w:rFonts w:ascii="Times New Roman" w:cs="Times New Roman" w:eastAsia="Times New Roman" w:hAnsi="Times New Roman"/>
          <w:sz w:val="24"/>
          <w:szCs w:val="24"/>
        </w:rPr>
        <w:t xml:space="preserve">Thelwall, M. (2009). Social network sites: Users and uses. </w:t>
      </w:r>
      <w:r>
        <w:rPr>
          <w:rFonts w:ascii="Times New Roman" w:cs="Times New Roman" w:eastAsia="Times New Roman" w:hAnsi="Times New Roman"/>
          <w:i/>
          <w:iCs/>
          <w:sz w:val="24"/>
          <w:szCs w:val="24"/>
        </w:rPr>
        <w:t xml:space="preserve">Advances in Computers, 76</w:t>
      </w:r>
      <w:r>
        <w:rPr>
          <w:rFonts w:ascii="Times New Roman" w:cs="Times New Roman" w:eastAsia="Times New Roman" w:hAnsi="Times New Roman"/>
          <w:sz w:val="24"/>
          <w:szCs w:val="24"/>
        </w:rPr>
        <w:t xml:space="preserve">, 19–73. https://doi.org/10.1016/S0065-2458(09)01002-X</w:t>
      </w:r>
    </w:p>
    <w:p>
      <w:pPr>
        <w:spacing w:after="160" w:line="240"/>
        <w:ind w:left="567" w:hanging="567"/>
        <w:jc w:val="left"/>
      </w:pPr>
      <w:r>
        <w:rPr>
          <w:rFonts w:ascii="Times New Roman" w:cs="Times New Roman" w:eastAsia="Times New Roman" w:hAnsi="Times New Roman"/>
          <w:sz w:val="24"/>
          <w:szCs w:val="24"/>
        </w:rPr>
        <w:t xml:space="preserve">UNESCO. (2021). </w:t>
      </w:r>
      <w:r>
        <w:rPr>
          <w:rFonts w:ascii="Times New Roman" w:cs="Times New Roman" w:eastAsia="Times New Roman" w:hAnsi="Times New Roman"/>
          <w:i/>
          <w:iCs/>
          <w:sz w:val="24"/>
          <w:szCs w:val="24"/>
        </w:rPr>
        <w:t xml:space="preserve">Recommendation on the ethics of artificial intelligence</w:t>
      </w:r>
      <w:r>
        <w:rPr>
          <w:rFonts w:ascii="Times New Roman" w:cs="Times New Roman" w:eastAsia="Times New Roman" w:hAnsi="Times New Roman"/>
          <w:sz w:val="24"/>
          <w:szCs w:val="24"/>
        </w:rPr>
        <w:t xml:space="preserve">. UNESCO.</w:t>
      </w:r>
    </w:p>
    <w:p>
      <w:pPr>
        <w:spacing w:after="160" w:line="240"/>
        <w:ind w:left="567" w:hanging="567"/>
        <w:jc w:val="left"/>
      </w:pPr>
      <w:r>
        <w:rPr>
          <w:rFonts w:ascii="Times New Roman" w:cs="Times New Roman" w:eastAsia="Times New Roman" w:hAnsi="Times New Roman"/>
          <w:sz w:val="24"/>
          <w:szCs w:val="24"/>
        </w:rPr>
        <w:t xml:space="preserve">União Europeia. (2024). Regulamento (UE) 2024/1689 do Parlamento Europeu e do Conselho, de 13 de junho de 2024, que cria regras harmonizadas em matéria de inteligência artificial. </w:t>
      </w:r>
      <w:r>
        <w:rPr>
          <w:rFonts w:ascii="Times New Roman" w:cs="Times New Roman" w:eastAsia="Times New Roman" w:hAnsi="Times New Roman"/>
          <w:i/>
          <w:iCs/>
          <w:sz w:val="24"/>
          <w:szCs w:val="24"/>
        </w:rPr>
        <w:t xml:space="preserve">Jornal Oficial da União Europeia</w:t>
      </w:r>
      <w:r>
        <w:rPr>
          <w:rFonts w:ascii="Times New Roman" w:cs="Times New Roman" w:eastAsia="Times New Roman" w:hAnsi="Times New Roman"/>
          <w:sz w:val="24"/>
          <w:szCs w:val="24"/>
        </w:rPr>
        <w:t xml:space="preserve">, Série L.</w:t>
      </w:r>
    </w:p>
    <w:p>
      <w:pPr>
        <w:spacing w:after="160" w:line="240"/>
        <w:ind w:left="567" w:hanging="567"/>
        <w:jc w:val="left"/>
      </w:pPr>
      <w:r>
        <w:rPr>
          <w:rFonts w:ascii="Times New Roman" w:cs="Times New Roman" w:eastAsia="Times New Roman" w:hAnsi="Times New Roman"/>
          <w:sz w:val="24"/>
          <w:szCs w:val="24"/>
        </w:rPr>
        <w:t xml:space="preserve">Vargas, F., Carvalho, I., Rodrigues de Góes, F., Pardo, T., &amp; Benevenuto, F. (2022). HateBR: A large expert annotated corpus of Brazilian Instagram comments for offensive language and hate speech detection. In </w:t>
      </w:r>
      <w:r>
        <w:rPr>
          <w:rFonts w:ascii="Times New Roman" w:cs="Times New Roman" w:eastAsia="Times New Roman" w:hAnsi="Times New Roman"/>
          <w:i/>
          <w:iCs/>
          <w:sz w:val="24"/>
          <w:szCs w:val="24"/>
        </w:rPr>
        <w:t xml:space="preserve">Proceedings of the Thirteenth Language Resources and Evaluation Conference</w:t>
      </w:r>
      <w:r>
        <w:rPr>
          <w:rFonts w:ascii="Times New Roman" w:cs="Times New Roman" w:eastAsia="Times New Roman" w:hAnsi="Times New Roman"/>
          <w:sz w:val="24"/>
          <w:szCs w:val="24"/>
        </w:rPr>
        <w:t xml:space="preserve"> (pp. 7174–7183). European Language Resources Association.</w:t>
      </w:r>
    </w:p>
    <w:p>
      <w:pPr>
        <w:spacing w:after="160" w:line="240"/>
        <w:ind w:left="567" w:hanging="567"/>
        <w:jc w:val="left"/>
      </w:pPr>
      <w:r>
        <w:rPr>
          <w:rFonts w:ascii="Times New Roman" w:cs="Times New Roman" w:eastAsia="Times New Roman" w:hAnsi="Times New Roman"/>
          <w:sz w:val="24"/>
          <w:szCs w:val="24"/>
        </w:rPr>
        <w:t xml:space="preserve">Vaswani, A., Shazeer, N., Parmar, N., Uszkoreit, J., Jones, L., Gomez, A. N., Kaiser, Ł., &amp; Polosukhin, I. (2017). Attention is all you need. In </w:t>
      </w:r>
      <w:r>
        <w:rPr>
          <w:rFonts w:ascii="Times New Roman" w:cs="Times New Roman" w:eastAsia="Times New Roman" w:hAnsi="Times New Roman"/>
          <w:i/>
          <w:iCs/>
          <w:sz w:val="24"/>
          <w:szCs w:val="24"/>
        </w:rPr>
        <w:t xml:space="preserve">Advances in Neural Information Processing Systems 30</w:t>
      </w:r>
      <w:r>
        <w:rPr>
          <w:rFonts w:ascii="Times New Roman" w:cs="Times New Roman" w:eastAsia="Times New Roman" w:hAnsi="Times New Roman"/>
          <w:sz w:val="24"/>
          <w:szCs w:val="24"/>
        </w:rPr>
        <w:t xml:space="preserve"> (pp. 5998–6008). Curran Associates.</w:t>
      </w:r>
    </w:p>
    <w:p>
      <w:pPr>
        <w:spacing w:after="160" w:line="240"/>
        <w:ind w:left="567" w:hanging="567"/>
        <w:jc w:val="left"/>
      </w:pPr>
      <w:r>
        <w:rPr>
          <w:rFonts w:ascii="Times New Roman" w:cs="Times New Roman" w:eastAsia="Times New Roman" w:hAnsi="Times New Roman"/>
          <w:sz w:val="24"/>
          <w:szCs w:val="24"/>
        </w:rPr>
        <w:t xml:space="preserve">Wardle, C., &amp; Derakhshan, H. (2017). </w:t>
      </w:r>
      <w:r>
        <w:rPr>
          <w:rFonts w:ascii="Times New Roman" w:cs="Times New Roman" w:eastAsia="Times New Roman" w:hAnsi="Times New Roman"/>
          <w:i/>
          <w:iCs/>
          <w:sz w:val="24"/>
          <w:szCs w:val="24"/>
        </w:rPr>
        <w:t xml:space="preserve">Information disorder: Toward an interdisciplinary framework for research and policy making</w:t>
      </w:r>
      <w:r>
        <w:rPr>
          <w:rFonts w:ascii="Times New Roman" w:cs="Times New Roman" w:eastAsia="Times New Roman" w:hAnsi="Times New Roman"/>
          <w:sz w:val="24"/>
          <w:szCs w:val="24"/>
        </w:rPr>
        <w:t xml:space="preserve"> (Relatório DGI(2017)09). Conselho da Europa.</w:t>
      </w:r>
    </w:p>
    <w:p>
      <w:pPr>
        <w:spacing w:after="160" w:line="240"/>
        <w:ind w:left="567" w:hanging="567"/>
        <w:jc w:val="left"/>
      </w:pPr>
      <w:r>
        <w:rPr>
          <w:rFonts w:ascii="Times New Roman" w:cs="Times New Roman" w:eastAsia="Times New Roman" w:hAnsi="Times New Roman"/>
          <w:sz w:val="24"/>
          <w:szCs w:val="24"/>
        </w:rPr>
        <w:t xml:space="preserve">Williams, H. J., &amp; Blum, I. (2018). </w:t>
      </w:r>
      <w:r>
        <w:rPr>
          <w:rFonts w:ascii="Times New Roman" w:cs="Times New Roman" w:eastAsia="Times New Roman" w:hAnsi="Times New Roman"/>
          <w:i/>
          <w:iCs/>
          <w:sz w:val="24"/>
          <w:szCs w:val="24"/>
        </w:rPr>
        <w:t xml:space="preserve">Defining second generation open source intelligence (OSINT) for the defense enterprise</w:t>
      </w:r>
      <w:r>
        <w:rPr>
          <w:rFonts w:ascii="Times New Roman" w:cs="Times New Roman" w:eastAsia="Times New Roman" w:hAnsi="Times New Roman"/>
          <w:sz w:val="24"/>
          <w:szCs w:val="24"/>
        </w:rPr>
        <w:t xml:space="preserve"> (RR-1964-OSD). RAND Corporation. https://doi.org/10.7249/RR1964</w:t>
      </w:r>
    </w:p>
    <w:p>
      <w:pPr>
        <w:spacing w:after="160" w:line="240"/>
        <w:ind w:left="567" w:hanging="567"/>
        <w:jc w:val="left"/>
      </w:pPr>
      <w:r>
        <w:rPr>
          <w:rFonts w:ascii="Times New Roman" w:cs="Times New Roman" w:eastAsia="Times New Roman" w:hAnsi="Times New Roman"/>
          <w:sz w:val="24"/>
          <w:szCs w:val="24"/>
        </w:rPr>
        <w:t xml:space="preserve">Wilson, E. B. (1927). Probable inference, the law of succession, and statistical inference. </w:t>
      </w:r>
      <w:r>
        <w:rPr>
          <w:rFonts w:ascii="Times New Roman" w:cs="Times New Roman" w:eastAsia="Times New Roman" w:hAnsi="Times New Roman"/>
          <w:i/>
          <w:iCs/>
          <w:sz w:val="24"/>
          <w:szCs w:val="24"/>
        </w:rPr>
        <w:t xml:space="preserve">Journal of the American Statistical Association, 22</w:t>
      </w:r>
      <w:r>
        <w:rPr>
          <w:rFonts w:ascii="Times New Roman" w:cs="Times New Roman" w:eastAsia="Times New Roman" w:hAnsi="Times New Roman"/>
          <w:sz w:val="24"/>
          <w:szCs w:val="24"/>
        </w:rPr>
        <w:t xml:space="preserve">(158), 209–212. https://doi.org/10.1080/01621459.1927.10502953</w:t>
      </w:r>
    </w:p>
    <w:p>
      <w:pPr>
        <w:spacing w:after="160" w:line="240"/>
        <w:ind w:left="567" w:hanging="567"/>
        <w:jc w:val="left"/>
      </w:pPr>
      <w:r>
        <w:rPr>
          <w:rFonts w:ascii="Times New Roman" w:cs="Times New Roman" w:eastAsia="Times New Roman" w:hAnsi="Times New Roman"/>
          <w:sz w:val="24"/>
          <w:szCs w:val="24"/>
        </w:rPr>
        <w:t xml:space="preserve">Woolley, S. C., &amp; Howard, P. N. (2017). </w:t>
      </w:r>
      <w:r>
        <w:rPr>
          <w:rFonts w:ascii="Times New Roman" w:cs="Times New Roman" w:eastAsia="Times New Roman" w:hAnsi="Times New Roman"/>
          <w:i/>
          <w:iCs/>
          <w:sz w:val="24"/>
          <w:szCs w:val="24"/>
        </w:rPr>
        <w:t xml:space="preserve">Computational propaganda worldwide: Executive summary</w:t>
      </w:r>
      <w:r>
        <w:rPr>
          <w:rFonts w:ascii="Times New Roman" w:cs="Times New Roman" w:eastAsia="Times New Roman" w:hAnsi="Times New Roman"/>
          <w:sz w:val="24"/>
          <w:szCs w:val="24"/>
        </w:rPr>
        <w:t xml:space="preserve"> (Working Paper 2017.11). Oxford Internet Institute.</w:t>
      </w:r>
    </w:p>
    <w:p>
      <w:pPr>
        <w:sectPr>
          <w:headerReference w:type="default" r:id="rId25"/>
          <w:footerReference w:type="default" r:id="rId26"/>
          <w:type w:val="nextPage"/>
          <w:pgSz w:w="11906" w:h="16838" w:orient="portrait"/>
          <w:pgMar w:top="1701" w:right="1701" w:bottom="1417" w:left="1984" w:header="850" w:footer="567" w:gutter="0"/>
          <w:pgNumType/>
          <w:docGrid w:linePitch="360"/>
        </w:sectPr>
      </w:pPr>
    </w:p>
    <w:p>
      <w:pPr>
        <w:pStyle w:val="Heading1"/>
        <w:spacing w:after="480" w:before="567"/>
        <w:jc w:val="left"/>
      </w:pPr>
      <w:r>
        <w:rPr>
          <w:rFonts w:ascii="Times New Roman" w:cs="Times New Roman" w:eastAsia="Times New Roman" w:hAnsi="Times New Roman"/>
          <w:b/>
          <w:bCs/>
          <w:sz w:val="28"/>
          <w:szCs w:val="28"/>
        </w:rPr>
        <w:t xml:space="preserve">GLOSSÁRIO</w:t>
      </w:r>
    </w:p>
    <w:p>
      <w:pPr>
        <w:spacing w:after="140" w:line="300"/>
        <w:jc w:val="both"/>
      </w:pPr>
      <w:r>
        <w:rPr>
          <w:rFonts w:ascii="Times New Roman" w:cs="Times New Roman" w:eastAsia="Times New Roman" w:hAnsi="Times New Roman"/>
          <w:b/>
          <w:bCs/>
          <w:sz w:val="24"/>
          <w:szCs w:val="24"/>
        </w:rPr>
        <w:t xml:space="preserve">Ajuste fino.</w:t>
      </w:r>
      <w:r>
        <w:rPr>
          <w:rFonts w:ascii="Times New Roman" w:cs="Times New Roman" w:eastAsia="Times New Roman" w:hAnsi="Times New Roman"/>
          <w:sz w:val="24"/>
          <w:szCs w:val="24"/>
        </w:rPr>
        <w:t xml:space="preserve"> Treino adicional de um modelo pré-treinado numa tarefa específica, com dados anotados dessa tarefa.</w:t>
      </w:r>
    </w:p>
    <w:p>
      <w:pPr>
        <w:spacing w:after="140" w:line="300"/>
        <w:jc w:val="both"/>
      </w:pPr>
      <w:r>
        <w:rPr>
          <w:rFonts w:ascii="Times New Roman" w:cs="Times New Roman" w:eastAsia="Times New Roman" w:hAnsi="Times New Roman"/>
          <w:b/>
          <w:bCs/>
          <w:sz w:val="24"/>
          <w:szCs w:val="24"/>
        </w:rPr>
        <w:t xml:space="preserve">Aprendizagem de atalhos.</w:t>
      </w:r>
      <w:r>
        <w:rPr>
          <w:rFonts w:ascii="Times New Roman" w:cs="Times New Roman" w:eastAsia="Times New Roman" w:hAnsi="Times New Roman"/>
          <w:sz w:val="24"/>
          <w:szCs w:val="24"/>
        </w:rPr>
        <w:t xml:space="preserve"> Fenómeno em que o modelo aprende uma regularidade acidental dos dados de treino (por exemplo, o estilo de uma fonte) em vez da propriedade que se pretende detectar.</w:t>
      </w:r>
    </w:p>
    <w:p>
      <w:pPr>
        <w:spacing w:after="140" w:line="300"/>
        <w:jc w:val="both"/>
      </w:pPr>
      <w:r>
        <w:rPr>
          <w:rFonts w:ascii="Times New Roman" w:cs="Times New Roman" w:eastAsia="Times New Roman" w:hAnsi="Times New Roman"/>
          <w:b/>
          <w:bCs/>
          <w:sz w:val="24"/>
          <w:szCs w:val="24"/>
        </w:rPr>
        <w:t xml:space="preserve">Bootstrap.</w:t>
      </w:r>
      <w:r>
        <w:rPr>
          <w:rFonts w:ascii="Times New Roman" w:cs="Times New Roman" w:eastAsia="Times New Roman" w:hAnsi="Times New Roman"/>
          <w:sz w:val="24"/>
          <w:szCs w:val="24"/>
        </w:rPr>
        <w:t xml:space="preserve"> Método de reamostragem com reposição usado para estimar a variabilidade de uma estatística e construir intervalos de confiança.</w:t>
      </w:r>
    </w:p>
    <w:p>
      <w:pPr>
        <w:spacing w:after="140" w:line="300"/>
        <w:jc w:val="both"/>
      </w:pPr>
      <w:r>
        <w:rPr>
          <w:rFonts w:ascii="Times New Roman" w:cs="Times New Roman" w:eastAsia="Times New Roman" w:hAnsi="Times New Roman"/>
          <w:b/>
          <w:bCs/>
          <w:sz w:val="24"/>
          <w:szCs w:val="24"/>
        </w:rPr>
        <w:t xml:space="preserve">Calibração.</w:t>
      </w:r>
      <w:r>
        <w:rPr>
          <w:rFonts w:ascii="Times New Roman" w:cs="Times New Roman" w:eastAsia="Times New Roman" w:hAnsi="Times New Roman"/>
          <w:sz w:val="24"/>
          <w:szCs w:val="24"/>
        </w:rPr>
        <w:t xml:space="preserve"> Propriedade de um classificador cujas probabilidades correspondem às frequências observadas: entre as previsões feitas com 80% de confiança, cerca de 80% estão certas.</w:t>
      </w:r>
    </w:p>
    <w:p>
      <w:pPr>
        <w:spacing w:after="140" w:line="300"/>
        <w:jc w:val="both"/>
      </w:pPr>
      <w:r>
        <w:rPr>
          <w:rFonts w:ascii="Times New Roman" w:cs="Times New Roman" w:eastAsia="Times New Roman" w:hAnsi="Times New Roman"/>
          <w:b/>
          <w:bCs/>
          <w:sz w:val="24"/>
          <w:szCs w:val="24"/>
        </w:rPr>
        <w:t xml:space="preserve">F1 ponderado.</w:t>
      </w:r>
      <w:r>
        <w:rPr>
          <w:rFonts w:ascii="Times New Roman" w:cs="Times New Roman" w:eastAsia="Times New Roman" w:hAnsi="Times New Roman"/>
          <w:sz w:val="24"/>
          <w:szCs w:val="24"/>
        </w:rPr>
        <w:t xml:space="preserve"> Média dos F1 das categorias ponderada pelo número de exemplos de cada uma; é dominado pelas categorias frequentes.</w:t>
      </w:r>
    </w:p>
    <w:p>
      <w:pPr>
        <w:spacing w:after="140" w:line="300"/>
        <w:jc w:val="both"/>
      </w:pPr>
      <w:r>
        <w:rPr>
          <w:rFonts w:ascii="Times New Roman" w:cs="Times New Roman" w:eastAsia="Times New Roman" w:hAnsi="Times New Roman"/>
          <w:b/>
          <w:bCs/>
          <w:sz w:val="24"/>
          <w:szCs w:val="24"/>
        </w:rPr>
        <w:t xml:space="preserve">F1-macro.</w:t>
      </w:r>
      <w:r>
        <w:rPr>
          <w:rFonts w:ascii="Times New Roman" w:cs="Times New Roman" w:eastAsia="Times New Roman" w:hAnsi="Times New Roman"/>
          <w:sz w:val="24"/>
          <w:szCs w:val="24"/>
        </w:rPr>
        <w:t xml:space="preserve"> Média simples dos F1 das categorias; dá a mesma importância a todas, independentemente da sua frequência.</w:t>
      </w:r>
    </w:p>
    <w:p>
      <w:pPr>
        <w:spacing w:after="140" w:line="300"/>
        <w:jc w:val="both"/>
      </w:pPr>
      <w:r>
        <w:rPr>
          <w:rFonts w:ascii="Times New Roman" w:cs="Times New Roman" w:eastAsia="Times New Roman" w:hAnsi="Times New Roman"/>
          <w:b/>
          <w:bCs/>
          <w:sz w:val="24"/>
          <w:szCs w:val="24"/>
        </w:rPr>
        <w:t xml:space="preserve">Kappa de Cohen.</w:t>
      </w:r>
      <w:r>
        <w:rPr>
          <w:rFonts w:ascii="Times New Roman" w:cs="Times New Roman" w:eastAsia="Times New Roman" w:hAnsi="Times New Roman"/>
          <w:sz w:val="24"/>
          <w:szCs w:val="24"/>
        </w:rPr>
        <w:t xml:space="preserve"> Medida de acordo entre dois avaliadores corrigida pelo acordo esperado ao acaso.</w:t>
      </w:r>
    </w:p>
    <w:p>
      <w:pPr>
        <w:spacing w:after="140" w:line="300"/>
        <w:jc w:val="both"/>
      </w:pPr>
      <w:r>
        <w:rPr>
          <w:rFonts w:ascii="Times New Roman" w:cs="Times New Roman" w:eastAsia="Times New Roman" w:hAnsi="Times New Roman"/>
          <w:b/>
          <w:bCs/>
          <w:sz w:val="24"/>
          <w:szCs w:val="24"/>
        </w:rPr>
        <w:t xml:space="preserve">Kappa de Fleiss.</w:t>
      </w:r>
      <w:r>
        <w:rPr>
          <w:rFonts w:ascii="Times New Roman" w:cs="Times New Roman" w:eastAsia="Times New Roman" w:hAnsi="Times New Roman"/>
          <w:sz w:val="24"/>
          <w:szCs w:val="24"/>
        </w:rPr>
        <w:t xml:space="preserve"> Generalização do Kappa para três ou mais avaliadores.</w:t>
      </w:r>
    </w:p>
    <w:p>
      <w:pPr>
        <w:spacing w:after="140" w:line="300"/>
        <w:jc w:val="both"/>
      </w:pPr>
      <w:r>
        <w:rPr>
          <w:rFonts w:ascii="Times New Roman" w:cs="Times New Roman" w:eastAsia="Times New Roman" w:hAnsi="Times New Roman"/>
          <w:b/>
          <w:bCs/>
          <w:sz w:val="24"/>
          <w:szCs w:val="24"/>
        </w:rPr>
        <w:t xml:space="preserve">Lacuna de domínio.</w:t>
      </w:r>
      <w:r>
        <w:rPr>
          <w:rFonts w:ascii="Times New Roman" w:cs="Times New Roman" w:eastAsia="Times New Roman" w:hAnsi="Times New Roman"/>
          <w:sz w:val="24"/>
          <w:szCs w:val="24"/>
        </w:rPr>
        <w:t xml:space="preserve"> Diferença de desempenho de um modelo entre os dados semelhantes aos de treino e dados de outro domínio (plataforma, região, variedade linguística ou género textual).</w:t>
      </w:r>
    </w:p>
    <w:p>
      <w:pPr>
        <w:spacing w:after="140" w:line="300"/>
        <w:jc w:val="both"/>
      </w:pPr>
      <w:r>
        <w:rPr>
          <w:rFonts w:ascii="Times New Roman" w:cs="Times New Roman" w:eastAsia="Times New Roman" w:hAnsi="Times New Roman"/>
          <w:b/>
          <w:bCs/>
          <w:sz w:val="24"/>
          <w:szCs w:val="24"/>
        </w:rPr>
        <w:t xml:space="preserve">Precisão.</w:t>
      </w:r>
      <w:r>
        <w:rPr>
          <w:rFonts w:ascii="Times New Roman" w:cs="Times New Roman" w:eastAsia="Times New Roman" w:hAnsi="Times New Roman"/>
          <w:sz w:val="24"/>
          <w:szCs w:val="24"/>
        </w:rPr>
        <w:t xml:space="preserve"> Fracção das previsões de uma categoria que estão correctas.</w:t>
      </w:r>
    </w:p>
    <w:p>
      <w:pPr>
        <w:spacing w:after="140" w:line="300"/>
        <w:jc w:val="both"/>
      </w:pPr>
      <w:r>
        <w:rPr>
          <w:rFonts w:ascii="Times New Roman" w:cs="Times New Roman" w:eastAsia="Times New Roman" w:hAnsi="Times New Roman"/>
          <w:b/>
          <w:bCs/>
          <w:sz w:val="24"/>
          <w:szCs w:val="24"/>
        </w:rPr>
        <w:t xml:space="preserve">Precisão nos primeiros K.</w:t>
      </w:r>
      <w:r>
        <w:rPr>
          <w:rFonts w:ascii="Times New Roman" w:cs="Times New Roman" w:eastAsia="Times New Roman" w:hAnsi="Times New Roman"/>
          <w:sz w:val="24"/>
          <w:szCs w:val="24"/>
        </w:rPr>
        <w:t xml:space="preserve"> Fracção de ameaças, segundo a referência disponível (etiquetas de teste ou decisão do analista), entre os K primeiros itens da fila de revisão.</w:t>
      </w:r>
    </w:p>
    <w:p>
      <w:pPr>
        <w:spacing w:after="140" w:line="300"/>
        <w:jc w:val="both"/>
      </w:pPr>
      <w:r>
        <w:rPr>
          <w:rFonts w:ascii="Times New Roman" w:cs="Times New Roman" w:eastAsia="Times New Roman" w:hAnsi="Times New Roman"/>
          <w:b/>
          <w:bCs/>
          <w:sz w:val="24"/>
          <w:szCs w:val="24"/>
        </w:rPr>
        <w:t xml:space="preserve">Pseudonimização.</w:t>
      </w:r>
      <w:r>
        <w:rPr>
          <w:rFonts w:ascii="Times New Roman" w:cs="Times New Roman" w:eastAsia="Times New Roman" w:hAnsi="Times New Roman"/>
          <w:sz w:val="24"/>
          <w:szCs w:val="24"/>
        </w:rPr>
        <w:t xml:space="preserve"> Substituição de identificadores pessoais por códigos que não permitem identificar a pessoa sem informação adicional guardada separadamente.</w:t>
      </w:r>
    </w:p>
    <w:p>
      <w:pPr>
        <w:spacing w:after="140" w:line="300"/>
        <w:jc w:val="both"/>
      </w:pPr>
      <w:r>
        <w:rPr>
          <w:rFonts w:ascii="Times New Roman" w:cs="Times New Roman" w:eastAsia="Times New Roman" w:hAnsi="Times New Roman"/>
          <w:b/>
          <w:bCs/>
          <w:sz w:val="24"/>
          <w:szCs w:val="24"/>
        </w:rPr>
        <w:t xml:space="preserve">Sensibilidade.</w:t>
      </w:r>
      <w:r>
        <w:rPr>
          <w:rFonts w:ascii="Times New Roman" w:cs="Times New Roman" w:eastAsia="Times New Roman" w:hAnsi="Times New Roman"/>
          <w:sz w:val="24"/>
          <w:szCs w:val="24"/>
        </w:rPr>
        <w:t xml:space="preserve"> Fracção dos exemplos de uma categoria que o modelo identifica (em inglês, </w:t>
      </w:r>
      <w:r>
        <w:rPr>
          <w:rFonts w:ascii="Times New Roman" w:cs="Times New Roman" w:eastAsia="Times New Roman" w:hAnsi="Times New Roman"/>
          <w:i/>
          <w:iCs/>
          <w:sz w:val="24"/>
          <w:szCs w:val="24"/>
        </w:rPr>
        <w:t xml:space="preserve">recall</w:t>
      </w:r>
      <w:r>
        <w:rPr>
          <w:rFonts w:ascii="Times New Roman" w:cs="Times New Roman" w:eastAsia="Times New Roman" w:hAnsi="Times New Roman"/>
          <w:sz w:val="24"/>
          <w:szCs w:val="24"/>
        </w:rPr>
        <w:t xml:space="preserve">).</w:t>
      </w:r>
    </w:p>
    <w:p>
      <w:pPr>
        <w:spacing w:after="140" w:line="300"/>
        <w:jc w:val="both"/>
      </w:pPr>
      <w:r>
        <w:rPr>
          <w:rFonts w:ascii="Times New Roman" w:cs="Times New Roman" w:eastAsia="Times New Roman" w:hAnsi="Times New Roman"/>
          <w:b/>
          <w:bCs/>
          <w:sz w:val="24"/>
          <w:szCs w:val="24"/>
        </w:rPr>
        <w:t xml:space="preserve">Subpalavra.</w:t>
      </w:r>
      <w:r>
        <w:rPr>
          <w:rFonts w:ascii="Times New Roman" w:cs="Times New Roman" w:eastAsia="Times New Roman" w:hAnsi="Times New Roman"/>
          <w:sz w:val="24"/>
          <w:szCs w:val="24"/>
        </w:rPr>
        <w:t xml:space="preserve"> Fragmento de palavra usado pelo tokenizador dos modelos BERT; palavras fora do vocabulário são divididas em subpalavras conhecidas.</w:t>
      </w:r>
    </w:p>
    <w:p>
      <w:pPr>
        <w:spacing w:after="140" w:line="300"/>
        <w:jc w:val="both"/>
      </w:pPr>
      <w:r>
        <w:rPr>
          <w:rFonts w:ascii="Times New Roman" w:cs="Times New Roman" w:eastAsia="Times New Roman" w:hAnsi="Times New Roman"/>
          <w:b/>
          <w:bCs/>
          <w:sz w:val="24"/>
          <w:szCs w:val="24"/>
        </w:rPr>
        <w:t xml:space="preserve">Teste de McNemar.</w:t>
      </w:r>
      <w:r>
        <w:rPr>
          <w:rFonts w:ascii="Times New Roman" w:cs="Times New Roman" w:eastAsia="Times New Roman" w:hAnsi="Times New Roman"/>
          <w:sz w:val="24"/>
          <w:szCs w:val="24"/>
        </w:rPr>
        <w:t xml:space="preserve"> Teste estatístico para comparar dois classificadores no mesmo conjunto de teste, com base nos casos em que apenas um deles acerta.</w:t>
      </w:r>
    </w:p>
    <w:p>
      <w:pPr>
        <w:spacing w:after="140" w:line="300"/>
        <w:jc w:val="both"/>
      </w:pPr>
      <w:r>
        <w:rPr>
          <w:rFonts w:ascii="Times New Roman" w:cs="Times New Roman" w:eastAsia="Times New Roman" w:hAnsi="Times New Roman"/>
          <w:b/>
          <w:bCs/>
          <w:sz w:val="24"/>
          <w:szCs w:val="24"/>
        </w:rPr>
        <w:t xml:space="preserve">Transformer.</w:t>
      </w:r>
      <w:r>
        <w:rPr>
          <w:rFonts w:ascii="Times New Roman" w:cs="Times New Roman" w:eastAsia="Times New Roman" w:hAnsi="Times New Roman"/>
          <w:sz w:val="24"/>
          <w:szCs w:val="24"/>
        </w:rPr>
        <w:t xml:space="preserve"> Arquitectura de rede neuronal baseada em mecanismos de atenção, que processa toda a sequência em paralelo (Vaswani et al., 2017).</w:t>
      </w:r>
    </w:p>
    <w:p>
      <w:pPr>
        <w:sectPr>
          <w:headerReference w:type="default" r:id="rId27"/>
          <w:footerReference w:type="default" r:id="rId28"/>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A – EXCERTOS DE CÓDIGO-FONTE</w:t>
      </w:r>
    </w:p>
    <w:p>
      <w:pPr>
        <w:spacing w:after="120" w:before="0" w:line="360"/>
        <w:ind w:firstLine="567"/>
        <w:jc w:val="both"/>
      </w:pPr>
      <w:r>
        <w:rPr>
          <w:rFonts w:ascii="Times New Roman" w:cs="Times New Roman" w:eastAsia="Times New Roman" w:hAnsi="Times New Roman"/>
          <w:sz w:val="24"/>
          <w:szCs w:val="24"/>
        </w:rPr>
        <w:t xml:space="preserve">Excertos reproduzidos sem alterações do código do protótipo; o código completo está em https://github.com/manuelmuinga/dissertacao-uan-angola.</w:t>
      </w:r>
    </w:p>
    <w:p>
      <w:pPr>
        <w:pStyle w:val="Heading2"/>
        <w:keepNext/>
        <w:keepLines/>
        <w:spacing w:after="160" w:before="360" w:line="300"/>
      </w:pPr>
      <w:r>
        <w:rPr>
          <w:rFonts w:ascii="Times New Roman" w:cs="Times New Roman" w:eastAsia="Times New Roman" w:hAnsi="Times New Roman"/>
          <w:b/>
          <w:bCs/>
          <w:sz w:val="26"/>
          <w:szCs w:val="26"/>
        </w:rPr>
        <w:t xml:space="preserve">A.1 Anonimização à entrada (sistema/anonimizacao.py)</w:t>
      </w:r>
    </w:p>
    <w:p>
      <w:pPr>
        <w:spacing w:after="120" w:before="0" w:line="360"/>
        <w:ind w:firstLine="567"/>
        <w:jc w:val="both"/>
      </w:pPr>
      <w:r>
        <w:rPr>
          <w:rFonts w:ascii="Times New Roman" w:cs="Times New Roman" w:eastAsia="Times New Roman" w:hAnsi="Times New Roman"/>
          <w:sz w:val="24"/>
          <w:szCs w:val="24"/>
        </w:rPr>
        <w:t xml:space="preserve">No comentário do código, «irreversível» significa irreversível sem o segredo; em termos jurídicos, trata-se de pseudonimização (Secção 3.2).</w:t>
      </w:r>
    </w:p>
    <w:p>
      <w:pPr>
        <w:shd w:fill="F4F3EF" w:color="auto" w:val="clear"/>
        <w:spacing w:after="0" w:before="120" w:line="220"/>
        <w:ind w:left="113" w:right="113"/>
      </w:pPr>
      <w:r>
        <w:rPr>
          <w:rFonts w:ascii="Courier New" w:cs="Courier New" w:eastAsia="Courier New" w:hAnsi="Courier New"/>
          <w:sz w:val="15"/>
          <w:szCs w:val="15"/>
        </w:rPr>
        <w:t xml:space="preserve">_PADROES: list[tuple[re.Pattern[str], str]] = [</w:t>
      </w:r>
    </w:p>
    <w:p>
      <w:pPr>
        <w:shd w:fill="F4F3EF" w:color="auto" w:val="clear"/>
        <w:spacing w:after="0" w:before="0" w:line="220"/>
        <w:ind w:left="113" w:right="113"/>
      </w:pPr>
      <w:r>
        <w:rPr>
          <w:rFonts w:ascii="Courier New" w:cs="Courier New" w:eastAsia="Courier New" w:hAnsi="Courier New"/>
          <w:sz w:val="15"/>
          <w:szCs w:val="15"/>
        </w:rPr>
        <w:t xml:space="preserve">    (re.compile(r"https?://\S+|www\.\S+", re.IGNORECASE), "[URL]"),</w:t>
      </w:r>
    </w:p>
    <w:p>
      <w:pPr>
        <w:shd w:fill="F4F3EF" w:color="auto" w:val="clear"/>
        <w:spacing w:after="0" w:before="0" w:line="220"/>
        <w:ind w:left="113" w:right="113"/>
      </w:pPr>
      <w:r>
        <w:rPr>
          <w:rFonts w:ascii="Courier New" w:cs="Courier New" w:eastAsia="Courier New" w:hAnsi="Courier New"/>
          <w:sz w:val="15"/>
          <w:szCs w:val="15"/>
        </w:rPr>
        <w:t xml:space="preserve">    (re.compile(r"\b[\w.+-]+@[\w-]+\.[\w.-]+\b"), "[EMAIL]"),</w:t>
      </w:r>
    </w:p>
    <w:p>
      <w:pPr>
        <w:shd w:fill="F4F3EF" w:color="auto" w:val="clear"/>
        <w:spacing w:after="0" w:before="0" w:line="220"/>
        <w:ind w:left="113" w:right="113"/>
      </w:pPr>
      <w:r>
        <w:rPr>
          <w:rFonts w:ascii="Courier New" w:cs="Courier New" w:eastAsia="Courier New" w:hAnsi="Courier New"/>
          <w:sz w:val="15"/>
          <w:szCs w:val="15"/>
        </w:rPr>
        <w:t xml:space="preserve">    # Telefones: +244 9xx xxx xxx, 9xxxxxxxx e variantes com espaços/hífenes.</w:t>
      </w:r>
    </w:p>
    <w:p>
      <w:pPr>
        <w:shd w:fill="F4F3EF" w:color="auto" w:val="clear"/>
        <w:spacing w:after="0" w:before="0" w:line="220"/>
        <w:ind w:left="113" w:right="113"/>
      </w:pPr>
      <w:r>
        <w:rPr>
          <w:rFonts w:ascii="Courier New" w:cs="Courier New" w:eastAsia="Courier New" w:hAnsi="Courier New"/>
          <w:sz w:val="15"/>
          <w:szCs w:val="15"/>
        </w:rPr>
        <w:t xml:space="preserve">    (re.compile(r"(?&lt;!\w)(?:\+?244[\s-]?)?9\d{2}[\s-]?\d{3}[\s-]?\d{3}(?!\w)"), "[TELEFONE]"),</w:t>
      </w:r>
    </w:p>
    <w:p>
      <w:pPr>
        <w:shd w:fill="F4F3EF" w:color="auto" w:val="clear"/>
        <w:spacing w:after="0" w:before="0" w:line="220"/>
        <w:ind w:left="113" w:right="113"/>
      </w:pPr>
      <w:r>
        <w:rPr>
          <w:rFonts w:ascii="Courier New" w:cs="Courier New" w:eastAsia="Courier New" w:hAnsi="Courier New"/>
          <w:sz w:val="15"/>
          <w:szCs w:val="15"/>
        </w:rPr>
        <w:t xml:space="preserve">    (re.compile(r"(?&lt;!\w)@[\w.]{2,}"), "@[UTILIZADOR]"),</w:t>
      </w:r>
    </w:p>
    <w:p>
      <w:pPr>
        <w:shd w:fill="F4F3EF" w:color="auto" w:val="clear"/>
        <w:spacing w:after="0" w:before="0" w:line="220"/>
        <w:ind w:left="113" w:right="113"/>
      </w:pPr>
      <w:r>
        <w:rPr>
          <w:rFonts w:ascii="Courier New" w:cs="Courier New" w:eastAsia="Courier New" w:hAnsi="Courier New"/>
          <w:sz w:val="15"/>
          <w:szCs w:val="15"/>
        </w:rPr>
        <w:t xml:space="preserve">]</w:t>
      </w:r>
    </w:p>
    <w:p>
      <w:pPr>
        <w:shd w:fill="F4F3EF" w:color="auto" w:val="clear"/>
        <w:spacing w:after="0" w:before="0" w:line="220"/>
        <w:ind w:left="113" w:right="113"/>
      </w:pPr>
      <w:r>
        <w:rPr>
          <w:rFonts w:ascii="Courier New" w:cs="Courier New" w:eastAsia="Courier New" w:hAnsi="Courier New"/>
          <w:sz w:val="15"/>
          <w:szCs w:val="15"/>
        </w:rPr>
        <w:t xml:space="preserve"> </w:t>
      </w:r>
    </w:p>
    <w:p>
      <w:pPr>
        <w:shd w:fill="F4F3EF" w:color="auto" w:val="clear"/>
        <w:spacing w:after="0" w:before="0" w:line="220"/>
        <w:ind w:left="113" w:right="113"/>
      </w:pPr>
      <w:r>
        <w:rPr>
          <w:rFonts w:ascii="Courier New" w:cs="Courier New" w:eastAsia="Courier New" w:hAnsi="Courier New"/>
          <w:sz w:val="15"/>
          <w:szCs w:val="15"/>
        </w:rPr>
        <w:t xml:space="preserve"> </w:t>
      </w:r>
    </w:p>
    <w:p>
      <w:pPr>
        <w:shd w:fill="F4F3EF" w:color="auto" w:val="clear"/>
        <w:spacing w:after="0" w:before="0" w:line="220"/>
        <w:ind w:left="113" w:right="113"/>
      </w:pPr>
      <w:r>
        <w:rPr>
          <w:rFonts w:ascii="Courier New" w:cs="Courier New" w:eastAsia="Courier New" w:hAnsi="Courier New"/>
          <w:sz w:val="15"/>
          <w:szCs w:val="15"/>
        </w:rPr>
        <w:t xml:space="preserve">def mascarar_texto(texto: str) -&gt; str:</w:t>
      </w:r>
    </w:p>
    <w:p>
      <w:pPr>
        <w:shd w:fill="F4F3EF" w:color="auto" w:val="clear"/>
        <w:spacing w:after="0" w:before="0" w:line="220"/>
        <w:ind w:left="113" w:right="113"/>
      </w:pPr>
      <w:r>
        <w:rPr>
          <w:rFonts w:ascii="Courier New" w:cs="Courier New" w:eastAsia="Courier New" w:hAnsi="Courier New"/>
          <w:sz w:val="15"/>
          <w:szCs w:val="15"/>
        </w:rPr>
        <w:t xml:space="preserve">    """Substitui identificadores directos no texto por marcadores."""</w:t>
      </w:r>
    </w:p>
    <w:p>
      <w:pPr>
        <w:shd w:fill="F4F3EF" w:color="auto" w:val="clear"/>
        <w:spacing w:after="0" w:before="0" w:line="220"/>
        <w:ind w:left="113" w:right="113"/>
      </w:pPr>
      <w:r>
        <w:rPr>
          <w:rFonts w:ascii="Courier New" w:cs="Courier New" w:eastAsia="Courier New" w:hAnsi="Courier New"/>
          <w:sz w:val="15"/>
          <w:szCs w:val="15"/>
        </w:rPr>
        <w:t xml:space="preserve">    if not texto:</w:t>
      </w:r>
    </w:p>
    <w:p>
      <w:pPr>
        <w:shd w:fill="F4F3EF" w:color="auto" w:val="clear"/>
        <w:spacing w:after="0" w:before="0" w:line="220"/>
        <w:ind w:left="113" w:right="113"/>
      </w:pPr>
      <w:r>
        <w:rPr>
          <w:rFonts w:ascii="Courier New" w:cs="Courier New" w:eastAsia="Courier New" w:hAnsi="Courier New"/>
          <w:sz w:val="15"/>
          <w:szCs w:val="15"/>
        </w:rPr>
        <w:t xml:space="preserve">        return ""</w:t>
      </w:r>
    </w:p>
    <w:p>
      <w:pPr>
        <w:shd w:fill="F4F3EF" w:color="auto" w:val="clear"/>
        <w:spacing w:after="0" w:before="0" w:line="220"/>
        <w:ind w:left="113" w:right="113"/>
      </w:pPr>
      <w:r>
        <w:rPr>
          <w:rFonts w:ascii="Courier New" w:cs="Courier New" w:eastAsia="Courier New" w:hAnsi="Courier New"/>
          <w:sz w:val="15"/>
          <w:szCs w:val="15"/>
        </w:rPr>
        <w:t xml:space="preserve">    for padrao, marcador in _PADROES:</w:t>
      </w:r>
    </w:p>
    <w:p>
      <w:pPr>
        <w:shd w:fill="F4F3EF" w:color="auto" w:val="clear"/>
        <w:spacing w:after="0" w:before="0" w:line="220"/>
        <w:ind w:left="113" w:right="113"/>
      </w:pPr>
      <w:r>
        <w:rPr>
          <w:rFonts w:ascii="Courier New" w:cs="Courier New" w:eastAsia="Courier New" w:hAnsi="Courier New"/>
          <w:sz w:val="15"/>
          <w:szCs w:val="15"/>
        </w:rPr>
        <w:t xml:space="preserve">        texto = padrao.sub(marcador, texto)</w:t>
      </w:r>
    </w:p>
    <w:p>
      <w:pPr>
        <w:shd w:fill="F4F3EF" w:color="auto" w:val="clear"/>
        <w:spacing w:after="0" w:before="0" w:line="220"/>
        <w:ind w:left="113" w:right="113"/>
      </w:pPr>
      <w:r>
        <w:rPr>
          <w:rFonts w:ascii="Courier New" w:cs="Courier New" w:eastAsia="Courier New" w:hAnsi="Courier New"/>
          <w:sz w:val="15"/>
          <w:szCs w:val="15"/>
        </w:rPr>
        <w:t xml:space="preserve">    return re.sub(r"\s+", " ", texto).strip()</w:t>
      </w:r>
    </w:p>
    <w:p>
      <w:pPr>
        <w:shd w:fill="F4F3EF" w:color="auto" w:val="clear"/>
        <w:spacing w:after="0" w:before="0" w:line="220"/>
        <w:ind w:left="113" w:right="113"/>
      </w:pPr>
      <w:r>
        <w:rPr>
          <w:rFonts w:ascii="Courier New" w:cs="Courier New" w:eastAsia="Courier New" w:hAnsi="Courier New"/>
          <w:sz w:val="15"/>
          <w:szCs w:val="15"/>
        </w:rPr>
        <w:t xml:space="preserve"> </w:t>
      </w:r>
    </w:p>
    <w:p>
      <w:pPr>
        <w:shd w:fill="F4F3EF" w:color="auto" w:val="clear"/>
        <w:spacing w:after="0" w:before="0" w:line="220"/>
        <w:ind w:left="113" w:right="113"/>
      </w:pPr>
      <w:r>
        <w:rPr>
          <w:rFonts w:ascii="Courier New" w:cs="Courier New" w:eastAsia="Courier New" w:hAnsi="Courier New"/>
          <w:sz w:val="15"/>
          <w:szCs w:val="15"/>
        </w:rPr>
        <w:t xml:space="preserve"> </w:t>
      </w:r>
    </w:p>
    <w:p>
      <w:pPr>
        <w:shd w:fill="F4F3EF" w:color="auto" w:val="clear"/>
        <w:spacing w:after="0" w:before="0" w:line="220"/>
        <w:ind w:left="113" w:right="113"/>
      </w:pPr>
      <w:r>
        <w:rPr>
          <w:rFonts w:ascii="Courier New" w:cs="Courier New" w:eastAsia="Courier New" w:hAnsi="Courier New"/>
          <w:sz w:val="15"/>
          <w:szCs w:val="15"/>
        </w:rPr>
        <w:t xml:space="preserve">def pseudonimo_autor(autor: str | None, segredo: str) -&gt; str | None:</w:t>
      </w:r>
    </w:p>
    <w:p>
      <w:pPr>
        <w:shd w:fill="F4F3EF" w:color="auto" w:val="clear"/>
        <w:spacing w:after="0" w:before="0" w:line="220"/>
        <w:ind w:left="113" w:right="113"/>
      </w:pPr>
      <w:r>
        <w:rPr>
          <w:rFonts w:ascii="Courier New" w:cs="Courier New" w:eastAsia="Courier New" w:hAnsi="Courier New"/>
          <w:sz w:val="15"/>
          <w:szCs w:val="15"/>
        </w:rPr>
        <w:t xml:space="preserve">    """Pseudónimo irreversível do autor (HMAC-SHA-256, 16 hex)."""</w:t>
      </w:r>
    </w:p>
    <w:p>
      <w:pPr>
        <w:shd w:fill="F4F3EF" w:color="auto" w:val="clear"/>
        <w:spacing w:after="0" w:before="0" w:line="220"/>
        <w:ind w:left="113" w:right="113"/>
      </w:pPr>
      <w:r>
        <w:rPr>
          <w:rFonts w:ascii="Courier New" w:cs="Courier New" w:eastAsia="Courier New" w:hAnsi="Courier New"/>
          <w:sz w:val="15"/>
          <w:szCs w:val="15"/>
        </w:rPr>
        <w:t xml:space="preserve">    if not autor:</w:t>
      </w:r>
    </w:p>
    <w:p>
      <w:pPr>
        <w:shd w:fill="F4F3EF" w:color="auto" w:val="clear"/>
        <w:spacing w:after="0" w:before="0" w:line="220"/>
        <w:ind w:left="113" w:right="113"/>
      </w:pPr>
      <w:r>
        <w:rPr>
          <w:rFonts w:ascii="Courier New" w:cs="Courier New" w:eastAsia="Courier New" w:hAnsi="Courier New"/>
          <w:sz w:val="15"/>
          <w:szCs w:val="15"/>
        </w:rPr>
        <w:t xml:space="preserve">        return None</w:t>
      </w:r>
    </w:p>
    <w:p>
      <w:pPr>
        <w:shd w:fill="F4F3EF" w:color="auto" w:val="clear"/>
        <w:spacing w:after="0" w:before="0" w:line="220"/>
        <w:ind w:left="113" w:right="113"/>
      </w:pPr>
      <w:r>
        <w:rPr>
          <w:rFonts w:ascii="Courier New" w:cs="Courier New" w:eastAsia="Courier New" w:hAnsi="Courier New"/>
          <w:sz w:val="15"/>
          <w:szCs w:val="15"/>
        </w:rPr>
        <w:t xml:space="preserve">    if not segredo:</w:t>
      </w:r>
    </w:p>
    <w:p>
      <w:pPr>
        <w:shd w:fill="F4F3EF" w:color="auto" w:val="clear"/>
        <w:spacing w:after="0" w:before="0" w:line="220"/>
        <w:ind w:left="113" w:right="113"/>
      </w:pPr>
      <w:r>
        <w:rPr>
          <w:rFonts w:ascii="Courier New" w:cs="Courier New" w:eastAsia="Courier New" w:hAnsi="Courier New"/>
          <w:sz w:val="15"/>
          <w:szCs w:val="15"/>
        </w:rPr>
        <w:t xml:space="preserve">        raise ValueError(</w:t>
      </w:r>
    </w:p>
    <w:p>
      <w:pPr>
        <w:shd w:fill="F4F3EF" w:color="auto" w:val="clear"/>
        <w:spacing w:after="0" w:before="0" w:line="220"/>
        <w:ind w:left="113" w:right="113"/>
      </w:pPr>
      <w:r>
        <w:rPr>
          <w:rFonts w:ascii="Courier New" w:cs="Courier New" w:eastAsia="Courier New" w:hAnsi="Courier New"/>
          <w:sz w:val="15"/>
          <w:szCs w:val="15"/>
        </w:rPr>
        <w:t xml:space="preserve">            "Defina UAN_SEGREDO_HASH: sem segredo, o hash de um nome de utilizador "</w:t>
      </w:r>
    </w:p>
    <w:p>
      <w:pPr>
        <w:shd w:fill="F4F3EF" w:color="auto" w:val="clear"/>
        <w:spacing w:after="0" w:before="0" w:line="220"/>
        <w:ind w:left="113" w:right="113"/>
      </w:pPr>
      <w:r>
        <w:rPr>
          <w:rFonts w:ascii="Courier New" w:cs="Courier New" w:eastAsia="Courier New" w:hAnsi="Courier New"/>
          <w:sz w:val="15"/>
          <w:szCs w:val="15"/>
        </w:rPr>
        <w:t xml:space="preserve">            "pode ser revertido por dicionário."</w:t>
      </w:r>
    </w:p>
    <w:p>
      <w:pPr>
        <w:shd w:fill="F4F3EF" w:color="auto" w:val="clear"/>
        <w:spacing w:after="0" w:before="0" w:line="220"/>
        <w:ind w:left="113" w:right="113"/>
      </w:pPr>
      <w:r>
        <w:rPr>
          <w:rFonts w:ascii="Courier New" w:cs="Courier New" w:eastAsia="Courier New" w:hAnsi="Courier New"/>
          <w:sz w:val="15"/>
          <w:szCs w:val="15"/>
        </w:rPr>
        <w:t xml:space="preserve">        )</w:t>
      </w:r>
    </w:p>
    <w:p>
      <w:pPr>
        <w:shd w:fill="F4F3EF" w:color="auto" w:val="clear"/>
        <w:spacing w:after="0" w:before="0" w:line="220"/>
        <w:ind w:left="113" w:right="113"/>
      </w:pPr>
      <w:r>
        <w:rPr>
          <w:rFonts w:ascii="Courier New" w:cs="Courier New" w:eastAsia="Courier New" w:hAnsi="Courier New"/>
          <w:sz w:val="15"/>
          <w:szCs w:val="15"/>
        </w:rPr>
        <w:t xml:space="preserve">    digest = hmac.new(segredo.encode("utf-8"), autor.strip().lower().encode("utf-8"), hashlib.sha256)</w:t>
      </w:r>
    </w:p>
    <w:p>
      <w:pPr>
        <w:shd w:fill="F4F3EF" w:color="auto" w:val="clear"/>
        <w:spacing w:after="200" w:before="0" w:line="220"/>
        <w:ind w:left="113" w:right="113"/>
      </w:pPr>
      <w:r>
        <w:rPr>
          <w:rFonts w:ascii="Courier New" w:cs="Courier New" w:eastAsia="Courier New" w:hAnsi="Courier New"/>
          <w:sz w:val="15"/>
          <w:szCs w:val="15"/>
        </w:rPr>
        <w:t xml:space="preserve">    return digest.hexdigest()[:16]</w:t>
      </w:r>
    </w:p>
    <w:p>
      <w:pPr>
        <w:pStyle w:val="Heading2"/>
        <w:keepNext/>
        <w:keepLines/>
        <w:spacing w:after="160" w:before="360" w:line="300"/>
      </w:pPr>
      <w:r>
        <w:rPr>
          <w:rFonts w:ascii="Times New Roman" w:cs="Times New Roman" w:eastAsia="Times New Roman" w:hAnsi="Times New Roman"/>
          <w:b/>
          <w:bCs/>
          <w:sz w:val="26"/>
          <w:szCs w:val="26"/>
        </w:rPr>
        <w:t xml:space="preserve">A.2 Classificação em lote com o BERTimbau (sistema/classificador.py)</w:t>
      </w:r>
    </w:p>
    <w:p>
      <w:pPr>
        <w:shd w:fill="F4F3EF" w:color="auto" w:val="clear"/>
        <w:spacing w:after="0" w:before="120" w:line="220"/>
        <w:ind w:left="113" w:right="113"/>
      </w:pPr>
      <w:r>
        <w:rPr>
          <w:rFonts w:ascii="Courier New" w:cs="Courier New" w:eastAsia="Courier New" w:hAnsi="Courier New"/>
          <w:sz w:val="15"/>
          <w:szCs w:val="15"/>
        </w:rPr>
        <w:t xml:space="preserve">    def classificar(self, textos: list[str]) -&gt; list[Resultado]:</w:t>
      </w:r>
    </w:p>
    <w:p>
      <w:pPr>
        <w:shd w:fill="F4F3EF" w:color="auto" w:val="clear"/>
        <w:spacing w:after="0" w:before="0" w:line="220"/>
        <w:ind w:left="113" w:right="113"/>
      </w:pPr>
      <w:r>
        <w:rPr>
          <w:rFonts w:ascii="Courier New" w:cs="Courier New" w:eastAsia="Courier New" w:hAnsi="Courier New"/>
          <w:sz w:val="15"/>
          <w:szCs w:val="15"/>
        </w:rPr>
        <w:t xml:space="preserve">        torch = self._torch</w:t>
      </w:r>
    </w:p>
    <w:p>
      <w:pPr>
        <w:shd w:fill="F4F3EF" w:color="auto" w:val="clear"/>
        <w:spacing w:after="0" w:before="0" w:line="220"/>
        <w:ind w:left="113" w:right="113"/>
      </w:pPr>
      <w:r>
        <w:rPr>
          <w:rFonts w:ascii="Courier New" w:cs="Courier New" w:eastAsia="Courier New" w:hAnsi="Courier New"/>
          <w:sz w:val="15"/>
          <w:szCs w:val="15"/>
        </w:rPr>
        <w:t xml:space="preserve">        resultados: list[Resultado] = []</w:t>
      </w:r>
    </w:p>
    <w:p>
      <w:pPr>
        <w:shd w:fill="F4F3EF" w:color="auto" w:val="clear"/>
        <w:spacing w:after="0" w:before="0" w:line="220"/>
        <w:ind w:left="113" w:right="113"/>
      </w:pPr>
      <w:r>
        <w:rPr>
          <w:rFonts w:ascii="Courier New" w:cs="Courier New" w:eastAsia="Courier New" w:hAnsi="Courier New"/>
          <w:sz w:val="15"/>
          <w:szCs w:val="15"/>
        </w:rPr>
        <w:t xml:space="preserve">        for i in range(0, len(textos), self.tamanho_lote):</w:t>
      </w:r>
    </w:p>
    <w:p>
      <w:pPr>
        <w:shd w:fill="F4F3EF" w:color="auto" w:val="clear"/>
        <w:spacing w:after="0" w:before="0" w:line="220"/>
        <w:ind w:left="113" w:right="113"/>
      </w:pPr>
      <w:r>
        <w:rPr>
          <w:rFonts w:ascii="Courier New" w:cs="Courier New" w:eastAsia="Courier New" w:hAnsi="Courier New"/>
          <w:sz w:val="15"/>
          <w:szCs w:val="15"/>
        </w:rPr>
        <w:t xml:space="preserve">            lote = textos[i : i + self.tamanho_lote]</w:t>
      </w:r>
    </w:p>
    <w:p>
      <w:pPr>
        <w:shd w:fill="F4F3EF" w:color="auto" w:val="clear"/>
        <w:spacing w:after="0" w:before="0" w:line="220"/>
        <w:ind w:left="113" w:right="113"/>
      </w:pPr>
      <w:r>
        <w:rPr>
          <w:rFonts w:ascii="Courier New" w:cs="Courier New" w:eastAsia="Courier New" w:hAnsi="Courier New"/>
          <w:sz w:val="15"/>
          <w:szCs w:val="15"/>
        </w:rPr>
        <w:t xml:space="preserve">            enc = self.tokenizer(lote, truncation=True, max_length=self.max_length, padding=True, return_tensors="pt")</w:t>
      </w:r>
    </w:p>
    <w:p>
      <w:pPr>
        <w:shd w:fill="F4F3EF" w:color="auto" w:val="clear"/>
        <w:spacing w:after="0" w:before="0" w:line="220"/>
        <w:ind w:left="113" w:right="113"/>
      </w:pPr>
      <w:r>
        <w:rPr>
          <w:rFonts w:ascii="Courier New" w:cs="Courier New" w:eastAsia="Courier New" w:hAnsi="Courier New"/>
          <w:sz w:val="15"/>
          <w:szCs w:val="15"/>
        </w:rPr>
        <w:t xml:space="preserve">            enc = {k: v.to(self.dispositivo) for k, v in enc.items()}</w:t>
      </w:r>
    </w:p>
    <w:p>
      <w:pPr>
        <w:shd w:fill="F4F3EF" w:color="auto" w:val="clear"/>
        <w:spacing w:after="0" w:before="0" w:line="220"/>
        <w:ind w:left="113" w:right="113"/>
      </w:pPr>
      <w:r>
        <w:rPr>
          <w:rFonts w:ascii="Courier New" w:cs="Courier New" w:eastAsia="Courier New" w:hAnsi="Courier New"/>
          <w:sz w:val="15"/>
          <w:szCs w:val="15"/>
        </w:rPr>
        <w:t xml:space="preserve">            with torch.no_grad():</w:t>
      </w:r>
    </w:p>
    <w:p>
      <w:pPr>
        <w:shd w:fill="F4F3EF" w:color="auto" w:val="clear"/>
        <w:spacing w:after="0" w:before="0" w:line="220"/>
        <w:ind w:left="113" w:right="113"/>
      </w:pPr>
      <w:r>
        <w:rPr>
          <w:rFonts w:ascii="Courier New" w:cs="Courier New" w:eastAsia="Courier New" w:hAnsi="Courier New"/>
          <w:sz w:val="15"/>
          <w:szCs w:val="15"/>
        </w:rPr>
        <w:t xml:space="preserve">                probs = torch.softmax(self.modelo(**enc).logits, dim=-1).cpu().tolist()</w:t>
      </w:r>
    </w:p>
    <w:p>
      <w:pPr>
        <w:shd w:fill="F4F3EF" w:color="auto" w:val="clear"/>
        <w:spacing w:after="0" w:before="0" w:line="220"/>
        <w:ind w:left="113" w:right="113"/>
      </w:pPr>
      <w:r>
        <w:rPr>
          <w:rFonts w:ascii="Courier New" w:cs="Courier New" w:eastAsia="Courier New" w:hAnsi="Courier New"/>
          <w:sz w:val="15"/>
          <w:szCs w:val="15"/>
        </w:rPr>
        <w:t xml:space="preserve">            resultados.extend(Resultado(dict(zip(self.rotulos, map(float, p)))) for p in probs)</w:t>
      </w:r>
    </w:p>
    <w:p>
      <w:pPr>
        <w:shd w:fill="F4F3EF" w:color="auto" w:val="clear"/>
        <w:spacing w:after="200" w:before="0" w:line="220"/>
        <w:ind w:left="113" w:right="113"/>
      </w:pPr>
      <w:r>
        <w:rPr>
          <w:rFonts w:ascii="Courier New" w:cs="Courier New" w:eastAsia="Courier New" w:hAnsi="Courier New"/>
          <w:sz w:val="15"/>
          <w:szCs w:val="15"/>
        </w:rPr>
        <w:t xml:space="preserve">        return resultados</w:t>
      </w:r>
    </w:p>
    <w:p>
      <w:pPr>
        <w:sectPr>
          <w:headerReference w:type="default" r:id="rId29"/>
          <w:footerReference w:type="default" r:id="rId30"/>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B – GUIA DE ANOTAÇÃO PADRONIZADO</w:t>
      </w:r>
    </w:p>
    <w:p>
      <w:pPr>
        <w:spacing w:after="120" w:before="0" w:line="360"/>
        <w:ind w:firstLine="567"/>
        <w:jc w:val="both"/>
      </w:pPr>
      <w:r>
        <w:rPr>
          <w:rFonts w:ascii="Times New Roman" w:cs="Times New Roman" w:eastAsia="Times New Roman" w:hAnsi="Times New Roman"/>
          <w:sz w:val="24"/>
          <w:szCs w:val="24"/>
        </w:rPr>
        <w:t xml:space="preserve">Este guia orientou os três anotadores na classificação dos comentários do corpus angolano. Todos o receberam antes de começar e comprometeram-se a segui-lo de forma independente, sem comunicar entre si durante a anotação.</w:t>
      </w:r>
    </w:p>
    <w:p>
      <w:pPr>
        <w:pStyle w:val="Heading2"/>
        <w:keepNext/>
        <w:keepLines/>
        <w:spacing w:after="160" w:before="360" w:line="300"/>
      </w:pPr>
      <w:r>
        <w:rPr>
          <w:rFonts w:ascii="Times New Roman" w:cs="Times New Roman" w:eastAsia="Times New Roman" w:hAnsi="Times New Roman"/>
          <w:b/>
          <w:bCs/>
          <w:sz w:val="26"/>
          <w:szCs w:val="26"/>
        </w:rPr>
        <w:t xml:space="preserve">B.1 Identificação do projecto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5620"/>
      </w:tblGrid>
      <w:tr>
        <w:trPr>
          <w:cantSplit/>
          <w:tblHeader/>
        </w:trPr>
        <w:tc>
          <w:tcPr>
            <w:tcW w:type="dxa" w:w="2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Campo</w:t>
            </w:r>
          </w:p>
        </w:tc>
        <w:tc>
          <w:tcPr>
            <w:tcW w:type="dxa" w:w="56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Informação</w:t>
            </w:r>
          </w:p>
        </w:tc>
      </w:tr>
      <w:tr>
        <w:trPr>
          <w:cantSplit/>
          <w:tblHeader w:val="false"/>
        </w:trPr>
        <w:tc>
          <w:tcPr>
            <w:tcW w:type="dxa" w:w="2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Título da investigação</w:t>
            </w:r>
          </w:p>
        </w:tc>
        <w:tc>
          <w:tcPr>
            <w:tcW w:type="dxa" w:w="5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Monitoramento inteligente de ameaças em redes sociais em Angola para o apoio à defesa e segurança nacional</w:t>
            </w:r>
          </w:p>
        </w:tc>
      </w:tr>
      <w:tr>
        <w:trPr>
          <w:cantSplit/>
          <w:tblHeader w:val="false"/>
        </w:trPr>
        <w:tc>
          <w:tcPr>
            <w:tcW w:type="dxa" w:w="2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Investigador principal</w:t>
            </w:r>
          </w:p>
        </w:tc>
        <w:tc>
          <w:tcPr>
            <w:tcW w:type="dxa" w:w="5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Manuel Gonga Muinga</w:t>
            </w:r>
          </w:p>
        </w:tc>
      </w:tr>
      <w:tr>
        <w:trPr>
          <w:cantSplit/>
          <w:tblHeader w:val="false"/>
        </w:trPr>
        <w:tc>
          <w:tcPr>
            <w:tcW w:type="dxa" w:w="2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Instituição</w:t>
            </w:r>
          </w:p>
        </w:tc>
        <w:tc>
          <w:tcPr>
            <w:tcW w:type="dxa" w:w="5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Universidade Agostinho Neto, Faculdade de Engenharia</w:t>
            </w:r>
          </w:p>
        </w:tc>
      </w:tr>
      <w:tr>
        <w:trPr>
          <w:cantSplit/>
          <w:tblHeader w:val="false"/>
        </w:trPr>
        <w:tc>
          <w:tcPr>
            <w:tcW w:type="dxa" w:w="2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Período de anotação</w:t>
            </w:r>
          </w:p>
        </w:tc>
        <w:tc>
          <w:tcPr>
            <w:tcW w:type="dxa" w:w="56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Junho a Outubro de 2026</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B.2 Objectivo da anotação</w:t>
      </w:r>
    </w:p>
    <w:p>
      <w:pPr>
        <w:spacing w:after="120" w:before="0" w:line="360"/>
        <w:ind w:firstLine="567"/>
        <w:jc w:val="both"/>
      </w:pPr>
      <w:r>
        <w:rPr>
          <w:rFonts w:ascii="Times New Roman" w:cs="Times New Roman" w:eastAsia="Times New Roman" w:hAnsi="Times New Roman"/>
          <w:sz w:val="24"/>
          <w:szCs w:val="24"/>
        </w:rPr>
        <w:t xml:space="preserve">Atribuir a cada comentário uma, e só uma, das quatro categorias definidas abaixo. As anotações constituem a referência para treinar e avaliar os modelos, pelo que a sua consistência determina a validade dos resultados.</w:t>
      </w:r>
    </w:p>
    <w:p>
      <w:pPr>
        <w:pStyle w:val="Heading2"/>
        <w:keepNext/>
        <w:keepLines/>
        <w:spacing w:after="160" w:before="360" w:line="300"/>
      </w:pPr>
      <w:r>
        <w:rPr>
          <w:rFonts w:ascii="Times New Roman" w:cs="Times New Roman" w:eastAsia="Times New Roman" w:hAnsi="Times New Roman"/>
          <w:b/>
          <w:bCs/>
          <w:sz w:val="26"/>
          <w:szCs w:val="26"/>
        </w:rPr>
        <w:t xml:space="preserve">B.3 Categorias</w:t>
      </w:r>
    </w:p>
    <w:p>
      <w:pPr>
        <w:pStyle w:val="Heading3"/>
        <w:keepNext/>
        <w:spacing w:after="100" w:before="200"/>
      </w:pPr>
      <w:r>
        <w:rPr>
          <w:rFonts w:ascii="Times New Roman" w:cs="Times New Roman" w:eastAsia="Times New Roman" w:hAnsi="Times New Roman"/>
          <w:b/>
          <w:bCs/>
          <w:sz w:val="26"/>
          <w:szCs w:val="26"/>
        </w:rPr>
        <w:t xml:space="preserve">B.3.1 Normal (rótulo Normal)</w:t>
      </w:r>
    </w:p>
    <w:p>
      <w:pPr>
        <w:spacing w:after="120" w:before="0" w:line="360"/>
        <w:ind w:firstLine="567"/>
        <w:jc w:val="both"/>
      </w:pPr>
      <w:r>
        <w:rPr>
          <w:rFonts w:ascii="Times New Roman" w:cs="Times New Roman" w:eastAsia="Times New Roman" w:hAnsi="Times New Roman"/>
          <w:sz w:val="24"/>
          <w:szCs w:val="24"/>
        </w:rPr>
        <w:t xml:space="preserve">Comentários que não representam ameaça à segurança, à ordem pública ou aos direitos fundamentais. Inclui notícias factuais, entretenimento, crítica política legítima, humor e conversa quotidiana. Exemplos: «O Governo anunciou hoje a inauguração da nova estrada em Benguela»; «As políticas económicas precisam de ser revistas urgentemente» (crítica sem incitação).</w:t>
      </w:r>
    </w:p>
    <w:p>
      <w:pPr>
        <w:pStyle w:val="Heading3"/>
        <w:keepNext/>
        <w:spacing w:after="100" w:before="200"/>
      </w:pPr>
      <w:r>
        <w:rPr>
          <w:rFonts w:ascii="Times New Roman" w:cs="Times New Roman" w:eastAsia="Times New Roman" w:hAnsi="Times New Roman"/>
          <w:b/>
          <w:bCs/>
          <w:sz w:val="26"/>
          <w:szCs w:val="26"/>
        </w:rPr>
        <w:t xml:space="preserve">B.3.2 Desinformação (rótulo Desinformacao)</w:t>
      </w:r>
    </w:p>
    <w:p>
      <w:pPr>
        <w:spacing w:after="120" w:before="0" w:line="360"/>
        <w:ind w:firstLine="567"/>
        <w:jc w:val="both"/>
      </w:pPr>
      <w:r>
        <w:rPr>
          <w:rFonts w:ascii="Times New Roman" w:cs="Times New Roman" w:eastAsia="Times New Roman" w:hAnsi="Times New Roman"/>
          <w:sz w:val="24"/>
          <w:szCs w:val="24"/>
        </w:rPr>
        <w:t xml:space="preserve">Informação falsa, enganosa ou deliberadamente distorcida, com potencial para causar dano público, manipular a opinião ou criar pânico. Inclui notícias fabricadas, vídeos fora de contexto ou manipulados e declarações falsamente atribuídas a figuras públicas. Exemplos: «URGENTE: vídeo mostra um governante a confessar desvio de fundos. PARTILHA!» (vídeo manipulado); «Surto de doença mortal em Luanda, as autoridades estão a esconder a verdade» (sem fonte). Se a publicação apresentar factos reais com contexto distorcido para enganar, classifique como Desinformação.</w:t>
      </w:r>
    </w:p>
    <w:p>
      <w:pPr>
        <w:pStyle w:val="Heading3"/>
        <w:keepNext/>
        <w:spacing w:after="100" w:before="200"/>
      </w:pPr>
      <w:r>
        <w:rPr>
          <w:rFonts w:ascii="Times New Roman" w:cs="Times New Roman" w:eastAsia="Times New Roman" w:hAnsi="Times New Roman"/>
          <w:b/>
          <w:bCs/>
          <w:sz w:val="26"/>
          <w:szCs w:val="26"/>
        </w:rPr>
        <w:t xml:space="preserve">B.3.3 Discurso de ódio (rótulo Odio)</w:t>
      </w:r>
    </w:p>
    <w:p>
      <w:pPr>
        <w:spacing w:after="120" w:before="0" w:line="360"/>
        <w:ind w:firstLine="567"/>
        <w:jc w:val="both"/>
      </w:pPr>
      <w:r>
        <w:rPr>
          <w:rFonts w:ascii="Times New Roman" w:cs="Times New Roman" w:eastAsia="Times New Roman" w:hAnsi="Times New Roman"/>
          <w:sz w:val="24"/>
          <w:szCs w:val="24"/>
        </w:rPr>
        <w:t xml:space="preserve">Conteúdo que promove, incita ou justifica discriminação, hostilidade ou violência com base em etnia, religião, origem regional, género ou orientação sexual, de forma explícita ou implícita (estereótipos, desumanização, linguagem codificada). O calão com conteúdo discriminatório entra nesta categoria. A crítica a governos, partidos ou figuras públicas não é discurso de ódio; o critério é a desumanização ou a discriminação por identidade.</w:t>
      </w:r>
    </w:p>
    <w:p>
      <w:pPr>
        <w:pStyle w:val="Heading3"/>
        <w:keepNext/>
        <w:spacing w:after="100" w:before="200"/>
      </w:pPr>
      <w:r>
        <w:rPr>
          <w:rFonts w:ascii="Times New Roman" w:cs="Times New Roman" w:eastAsia="Times New Roman" w:hAnsi="Times New Roman"/>
          <w:b/>
          <w:bCs/>
          <w:sz w:val="26"/>
          <w:szCs w:val="26"/>
        </w:rPr>
        <w:t xml:space="preserve">B.3.4 Mobilização hostil (rótulo Mobilizacao)</w:t>
      </w:r>
    </w:p>
    <w:p>
      <w:pPr>
        <w:spacing w:after="120" w:before="0" w:line="360"/>
        <w:ind w:firstLine="567"/>
        <w:jc w:val="both"/>
      </w:pPr>
      <w:r>
        <w:rPr>
          <w:rFonts w:ascii="Times New Roman" w:cs="Times New Roman" w:eastAsia="Times New Roman" w:hAnsi="Times New Roman"/>
          <w:sz w:val="24"/>
          <w:szCs w:val="24"/>
        </w:rPr>
        <w:t xml:space="preserve">Comentários que organizam, coordenam ou incitam à participação em acções ilegais ou violentas, ou que ameacem a ordem pública. Exemplos: «Amanhã Luanda pára. Quem não aparecer é traidor. Tragam o que foi combinado.» Uma convocatória para manifestação pacífica e legal </w:t>
      </w:r>
      <w:r>
        <w:rPr>
          <w:rFonts w:ascii="Times New Roman" w:cs="Times New Roman" w:eastAsia="Times New Roman" w:hAnsi="Times New Roman"/>
          <w:b/>
          <w:bCs/>
          <w:sz w:val="24"/>
          <w:szCs w:val="24"/>
        </w:rPr>
        <w:t xml:space="preserve">não</w:t>
      </w:r>
      <w:r>
        <w:rPr>
          <w:rFonts w:ascii="Times New Roman" w:cs="Times New Roman" w:eastAsia="Times New Roman" w:hAnsi="Times New Roman"/>
          <w:sz w:val="24"/>
          <w:szCs w:val="24"/>
        </w:rPr>
        <w:t xml:space="preserve"> é Mobilização Hostil e deve ser classificada como Normal.</w:t>
      </w:r>
    </w:p>
    <w:p>
      <w:pPr>
        <w:pStyle w:val="Heading2"/>
        <w:keepNext/>
        <w:keepLines/>
        <w:spacing w:after="160" w:before="360" w:line="300"/>
      </w:pPr>
      <w:r>
        <w:rPr>
          <w:rFonts w:ascii="Times New Roman" w:cs="Times New Roman" w:eastAsia="Times New Roman" w:hAnsi="Times New Roman"/>
          <w:b/>
          <w:bCs/>
          <w:sz w:val="26"/>
          <w:szCs w:val="26"/>
        </w:rPr>
        <w:t xml:space="preserve">B.4 Casos limítrofes</w:t>
      </w:r>
    </w:p>
    <w:p>
      <w:pPr>
        <w:spacing w:after="120" w:before="0" w:line="360"/>
        <w:ind w:firstLine="567"/>
        <w:jc w:val="both"/>
      </w:pPr>
      <w:r>
        <w:rPr>
          <w:rFonts w:ascii="Times New Roman" w:cs="Times New Roman" w:eastAsia="Times New Roman" w:hAnsi="Times New Roman"/>
          <w:b/>
          <w:bCs/>
          <w:sz w:val="24"/>
          <w:szCs w:val="24"/>
        </w:rPr>
        <w:t xml:space="preserve">Crítica política ou desinformação.</w:t>
      </w:r>
      <w:r>
        <w:rPr>
          <w:rFonts w:ascii="Times New Roman" w:cs="Times New Roman" w:eastAsia="Times New Roman" w:hAnsi="Times New Roman"/>
          <w:sz w:val="24"/>
          <w:szCs w:val="24"/>
        </w:rPr>
        <w:t xml:space="preserve"> Dados incorrectos numa crítica são Normal se o erro parecer involuntário e verificável; são Desinformação se forem apresentados como verdade sem fonte, com marcadores de manipulação (por exemplo, «partilha antes que apaguem»).</w:t>
      </w:r>
    </w:p>
    <w:p>
      <w:pPr>
        <w:spacing w:after="120" w:before="0" w:line="360"/>
        <w:ind w:firstLine="567"/>
        <w:jc w:val="both"/>
      </w:pPr>
      <w:r>
        <w:rPr>
          <w:rFonts w:ascii="Times New Roman" w:cs="Times New Roman" w:eastAsia="Times New Roman" w:hAnsi="Times New Roman"/>
          <w:b/>
          <w:bCs/>
          <w:sz w:val="24"/>
          <w:szCs w:val="24"/>
        </w:rPr>
        <w:t xml:space="preserve">Convocatória pacífica ou mobilização hostil.</w:t>
      </w:r>
      <w:r>
        <w:rPr>
          <w:rFonts w:ascii="Times New Roman" w:cs="Times New Roman" w:eastAsia="Times New Roman" w:hAnsi="Times New Roman"/>
          <w:sz w:val="24"/>
          <w:szCs w:val="24"/>
        </w:rPr>
        <w:t xml:space="preserve"> É Normal quando explicita o carácter pacífico e legal da acção; é Mobilização Hostil quando combina coordenação, linguagem coerciva ou de violência e ausência de referência ao carácter pacífico e legal.</w:t>
      </w:r>
    </w:p>
    <w:p>
      <w:pPr>
        <w:spacing w:after="120" w:before="0" w:line="360"/>
        <w:ind w:firstLine="567"/>
        <w:jc w:val="both"/>
      </w:pPr>
      <w:r>
        <w:rPr>
          <w:rFonts w:ascii="Times New Roman" w:cs="Times New Roman" w:eastAsia="Times New Roman" w:hAnsi="Times New Roman"/>
          <w:b/>
          <w:bCs/>
          <w:sz w:val="24"/>
          <w:szCs w:val="24"/>
        </w:rPr>
        <w:t xml:space="preserve">Ódio implícito ou observação.</w:t>
      </w:r>
      <w:r>
        <w:rPr>
          <w:rFonts w:ascii="Times New Roman" w:cs="Times New Roman" w:eastAsia="Times New Roman" w:hAnsi="Times New Roman"/>
          <w:sz w:val="24"/>
          <w:szCs w:val="24"/>
        </w:rPr>
        <w:t xml:space="preserve"> É Discurso de Ódio quando atribui características negativas a um grupo pela sua identidade e usa linguagem de exclusão, mesmo que formulada como «facto».</w:t>
      </w:r>
    </w:p>
    <w:p>
      <w:pPr>
        <w:pStyle w:val="Heading2"/>
        <w:keepNext/>
        <w:keepLines/>
        <w:spacing w:after="160" w:before="360" w:line="300"/>
      </w:pPr>
      <w:r>
        <w:rPr>
          <w:rFonts w:ascii="Times New Roman" w:cs="Times New Roman" w:eastAsia="Times New Roman" w:hAnsi="Times New Roman"/>
          <w:b/>
          <w:bCs/>
          <w:sz w:val="26"/>
          <w:szCs w:val="26"/>
        </w:rPr>
        <w:t xml:space="preserve">B.5 Regras de desempate e preenchimento</w:t>
      </w:r>
    </w:p>
    <w:p>
      <w:pPr>
        <w:spacing w:after="120" w:before="0" w:line="360"/>
        <w:ind w:firstLine="567"/>
        <w:jc w:val="both"/>
      </w:pPr>
      <w:r>
        <w:rPr>
          <w:rFonts w:ascii="Times New Roman" w:cs="Times New Roman" w:eastAsia="Times New Roman" w:hAnsi="Times New Roman"/>
          <w:sz w:val="24"/>
          <w:szCs w:val="24"/>
        </w:rPr>
        <w:t xml:space="preserve">Se a publicação tiver elementos de mais de uma categoria, escolha a mais grave: Mobilização Hostil &gt; Discurso de Ódio &gt; Desinformação &gt; Normal. Em comentários com calão ou expressões de línguas nacionais, aplique os mesmos critérios; em caso de dúvida sobre o significado, registe-a na coluna de observações. Ironia e sátira sem intenção de dano são Normal; ironia que mascara conteúdo nocivo segue a categoria correspondente. Ler cada comentário na íntegra antes de classificar e não consultar os outros anotadores durante a fase individual.</w:t>
      </w:r>
    </w:p>
    <w:p>
      <w:pPr>
        <w:sectPr>
          <w:headerReference w:type="default" r:id="rId31"/>
          <w:footerReference w:type="default" r:id="rId32"/>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C – ACORDO ENTRE ANOTADORES</w:t>
      </w:r>
    </w:p>
    <w:p>
      <w:pPr>
        <w:spacing w:after="120" w:before="0" w:line="360"/>
        <w:ind w:firstLine="567"/>
        <w:jc w:val="both"/>
      </w:pPr>
      <w:r>
        <w:rPr>
          <w:rFonts w:ascii="Times New Roman" w:cs="Times New Roman" w:eastAsia="Times New Roman" w:hAnsi="Times New Roman"/>
          <w:sz w:val="24"/>
          <w:szCs w:val="24"/>
        </w:rPr>
        <w:t xml:space="preserve">Este apêndice documenta o cálculo do acordo entre os três anotadores do corpus angolano.</w:t>
      </w:r>
    </w:p>
    <w:p>
      <w:pPr>
        <w:pStyle w:val="Heading2"/>
        <w:keepNext/>
        <w:keepLines/>
        <w:spacing w:after="160" w:before="360" w:line="300"/>
      </w:pPr>
      <w:r>
        <w:rPr>
          <w:rFonts w:ascii="Times New Roman" w:cs="Times New Roman" w:eastAsia="Times New Roman" w:hAnsi="Times New Roman"/>
          <w:b/>
          <w:bCs/>
          <w:sz w:val="26"/>
          <w:szCs w:val="26"/>
        </w:rPr>
        <w:t xml:space="preserve">C.1 Escala de interpretação</w:t>
      </w:r>
    </w:p>
    <w:p>
      <w:pPr>
        <w:spacing w:after="120" w:before="0" w:line="360"/>
        <w:ind w:firstLine="567"/>
        <w:jc w:val="both"/>
      </w:pPr>
      <w:r>
        <w:rPr>
          <w:rFonts w:ascii="Times New Roman" w:cs="Times New Roman" w:eastAsia="Times New Roman" w:hAnsi="Times New Roman"/>
          <w:sz w:val="24"/>
          <w:szCs w:val="24"/>
        </w:rPr>
        <w:t xml:space="preserve">A Tabela C.1 apresenta a escala de Landis e Koch (1977) usada para interpretar os valores de κ.</w:t>
      </w:r>
    </w:p>
    <w:p>
      <w:pPr>
        <w:pStyle w:val="LegendaTabela"/>
        <w:keepNext/>
        <w:spacing w:after="80" w:before="240" w:line="240"/>
        <w:jc w:val="center"/>
      </w:pPr>
      <w:r>
        <w:rPr>
          <w:rFonts w:ascii="Times New Roman" w:cs="Times New Roman" w:eastAsia="Times New Roman" w:hAnsi="Times New Roman"/>
          <w:b/>
          <w:bCs/>
          <w:sz w:val="20"/>
          <w:szCs w:val="20"/>
        </w:rPr>
        <w:t xml:space="preserve">Tabela C.1 – Escala de interpretação do Kappa (Landis &amp; Koch, 1977)</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5220"/>
      </w:tblGrid>
      <w:tr>
        <w:trPr>
          <w:cantSplit/>
          <w:tblHeader/>
        </w:trPr>
        <w:tc>
          <w:tcPr>
            <w:tcW w:type="dxa" w:w="30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Valor de κ</w:t>
            </w:r>
          </w:p>
        </w:tc>
        <w:tc>
          <w:tcPr>
            <w:tcW w:type="dxa" w:w="52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Grau de acordo</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&lt; 0,00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Pobre</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0,00–0,20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Ligeiro</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0,21–0,40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Razoável</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0,41–0,60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Moderado</w:t>
            </w:r>
          </w:p>
        </w:tc>
      </w:tr>
      <w:tr>
        <w:trPr>
          <w:cantSplit/>
          <w:tblHeader w:val="false"/>
        </w:trPr>
        <w:tc>
          <w:tcPr>
            <w:tcW w:type="dxa" w:w="30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0,61–0,80</w:t>
            </w:r>
          </w:p>
        </w:tc>
        <w:tc>
          <w:tcPr>
            <w:tcW w:type="dxa" w:w="52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Substancial</w:t>
            </w:r>
          </w:p>
        </w:tc>
      </w:tr>
      <w:tr>
        <w:trPr>
          <w:cantSplit/>
          <w:tblHeader w:val="false"/>
        </w:trPr>
        <w:tc>
          <w:tcPr>
            <w:tcW w:type="dxa" w:w="30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0,81–1,00</w:t>
            </w:r>
          </w:p>
        </w:tc>
        <w:tc>
          <w:tcPr>
            <w:tcW w:type="dxa" w:w="52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Quase perfeito</w:t>
            </w:r>
          </w:p>
        </w:tc>
      </w:tr>
    </w:tbl>
    <w:p>
      <w:pPr>
        <w:spacing w:after="240" w:before="60" w:line="240"/>
        <w:jc w:val="both"/>
      </w:pPr>
    </w:p>
    <w:p>
      <w:pPr>
        <w:pStyle w:val="Heading2"/>
        <w:keepNext/>
        <w:keepLines/>
        <w:spacing w:after="160" w:before="360" w:line="300"/>
      </w:pPr>
      <w:r>
        <w:rPr>
          <w:rFonts w:ascii="Times New Roman" w:cs="Times New Roman" w:eastAsia="Times New Roman" w:hAnsi="Times New Roman"/>
          <w:b/>
          <w:bCs/>
          <w:sz w:val="26"/>
          <w:szCs w:val="26"/>
        </w:rPr>
        <w:t xml:space="preserve">C.2 Fórmulas</w:t>
      </w:r>
    </w:p>
    <w:p>
      <w:pPr>
        <w:spacing w:after="120" w:before="0" w:line="360"/>
        <w:ind w:firstLine="567"/>
        <w:jc w:val="both"/>
      </w:pPr>
      <w:r>
        <w:rPr>
          <w:rFonts w:ascii="Times New Roman" w:cs="Times New Roman" w:eastAsia="Times New Roman" w:hAnsi="Times New Roman"/>
          <w:sz w:val="24"/>
          <w:szCs w:val="24"/>
        </w:rPr>
        <w:t xml:space="preserve">O Kappa de Cohen, para um par de anotadores, é κ = (Po − Pe) / (1 − Pe), onde Po é a proporção de acordo observado e Pe a proporção de acordo esperada ao acaso, calculada a partir das distribuições marginais de cada anotador (Cohen, 1960). O Kappa de Fleiss generaliza esta medida para três ou mais anotadores, calculando Po como a média, por item, da proporção de pares de anotadores em acordo e Pe a partir da distribuição global das categorias (Fleiss, 1971).</w:t>
      </w:r>
    </w:p>
    <w:p>
      <w:pPr>
        <w:pStyle w:val="Heading2"/>
        <w:keepNext/>
        <w:keepLines/>
        <w:spacing w:after="160" w:before="360" w:line="300"/>
      </w:pPr>
      <w:r>
        <w:rPr>
          <w:rFonts w:ascii="Times New Roman" w:cs="Times New Roman" w:eastAsia="Times New Roman" w:hAnsi="Times New Roman"/>
          <w:b/>
          <w:bCs/>
          <w:sz w:val="26"/>
          <w:szCs w:val="26"/>
        </w:rPr>
        <w:t xml:space="preserve">C.3 Resultados</w:t>
      </w:r>
    </w:p>
    <w:p>
      <w:pPr>
        <w:spacing w:after="120" w:before="0" w:line="360"/>
        <w:ind w:firstLine="567"/>
        <w:jc w:val="both"/>
      </w:pPr>
      <w:r>
        <w:rPr>
          <w:rFonts w:ascii="Times New Roman" w:cs="Times New Roman" w:eastAsia="Times New Roman" w:hAnsi="Times New Roman"/>
          <w:sz w:val="24"/>
          <w:szCs w:val="24"/>
        </w:rPr>
        <w:t xml:space="preserve">A Tabela C.2 resume o acordo entre os três anotadores na base do piloto e no lote temático.</w:t>
      </w:r>
    </w:p>
    <w:p>
      <w:pPr>
        <w:pStyle w:val="LegendaTabela"/>
        <w:keepNext/>
        <w:spacing w:after="80" w:before="240" w:line="240"/>
        <w:jc w:val="center"/>
      </w:pPr>
      <w:r>
        <w:rPr>
          <w:rFonts w:ascii="Times New Roman" w:cs="Times New Roman" w:eastAsia="Times New Roman" w:hAnsi="Times New Roman"/>
          <w:b/>
          <w:bCs/>
          <w:sz w:val="20"/>
          <w:szCs w:val="20"/>
        </w:rPr>
        <w:t xml:space="preserve">Tabela C.2 – Acordo entre os três anotadores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300"/>
        <w:gridCol w:w="2900"/>
        <w:gridCol w:w="2020"/>
      </w:tblGrid>
      <w:tr>
        <w:trPr>
          <w:cantSplit/>
          <w:tblHeader/>
        </w:trPr>
        <w:tc>
          <w:tcPr>
            <w:tcW w:type="dxa" w:w="3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Subconjunto</w:t>
            </w:r>
          </w:p>
        </w:tc>
        <w:tc>
          <w:tcPr>
            <w:tcW w:type="dxa" w:w="2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Medida</w:t>
            </w:r>
          </w:p>
        </w:tc>
        <w:tc>
          <w:tcPr>
            <w:tcW w:type="dxa" w:w="20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Valor</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Base do piloto e lote de léxico</w:t>
            </w:r>
          </w:p>
        </w:tc>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 [IC 95%]</w:t>
            </w:r>
          </w:p>
        </w:tc>
        <w:tc>
          <w:tcPr>
            <w:tcW w:type="dxa" w:w="2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0,718 [0,695; 0,741]</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Base do piloto e lote de léxico</w:t>
            </w:r>
          </w:p>
        </w:tc>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Cohen médio (3 pares)</w:t>
            </w:r>
          </w:p>
        </w:tc>
        <w:tc>
          <w:tcPr>
            <w:tcW w:type="dxa" w:w="2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0,719</w:t>
            </w:r>
          </w:p>
        </w:tc>
      </w:tr>
      <w:tr>
        <w:trPr>
          <w:cantSplit/>
          <w:tblHeader w:val="false"/>
        </w:trPr>
        <w:tc>
          <w:tcPr>
            <w:tcW w:type="dxa" w:w="3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Base do piloto e lote de léxico</w:t>
            </w:r>
          </w:p>
        </w:tc>
        <w:tc>
          <w:tcPr>
            <w:tcW w:type="dxa" w:w="2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Concordância observada</w:t>
            </w:r>
          </w:p>
        </w:tc>
        <w:tc>
          <w:tcPr>
            <w:tcW w:type="dxa" w:w="20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81,3%</w:t>
            </w:r>
          </w:p>
        </w:tc>
      </w:tr>
      <w:tr>
        <w:trPr>
          <w:cantSplit/>
          <w:tblHeader w:val="false"/>
        </w:trPr>
        <w:tc>
          <w:tcPr>
            <w:tcW w:type="dxa" w:w="3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Lote temático de vídeos (284 itens)</w:t>
            </w:r>
          </w:p>
        </w:tc>
        <w:tc>
          <w:tcPr>
            <w:tcW w:type="dxa" w:w="2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 [IC 95%]</w:t>
            </w:r>
          </w:p>
        </w:tc>
        <w:tc>
          <w:tcPr>
            <w:tcW w:type="dxa" w:w="20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0,818 [0,763; 0,869]</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O κ do lote temático, calculado antes da exclusão dos 90 comentários não angolanos, não é comparável com o da base do piloto, por resultar de uma selecção não aleatória com distribuição de categorias diferente.</w:t>
      </w:r>
    </w:p>
    <w:p>
      <w:pPr>
        <w:spacing w:after="120" w:before="0" w:line="360"/>
        <w:ind w:firstLine="567"/>
        <w:jc w:val="both"/>
      </w:pPr>
      <w:r>
        <w:rPr>
          <w:rFonts w:ascii="Times New Roman" w:cs="Times New Roman" w:eastAsia="Times New Roman" w:hAnsi="Times New Roman"/>
          <w:sz w:val="24"/>
          <w:szCs w:val="24"/>
        </w:rPr>
        <w:t xml:space="preserve">A Tabela C.3 detalha o acordo na base do piloto e no lote orientado por léxico (2.443 itens com etiqueta dos três anotadores), por par de anotadores e por categoria. Os anotadores são identificados por letras. O par menos concordante fica em 0,684 e o mais concordante em 0,772, todos no intervalo substancial. Por categoria, a Desinformação é a que reúne menos acordo (0,625), o que é coerente com a dificuldade de a distinguir da crítica política sem verificar os factos alegados.</w:t>
      </w:r>
    </w:p>
    <w:p>
      <w:pPr>
        <w:pStyle w:val="LegendaTabela"/>
        <w:keepNext/>
        <w:spacing w:after="80" w:before="240" w:line="240"/>
        <w:jc w:val="center"/>
      </w:pPr>
      <w:r>
        <w:rPr>
          <w:rFonts w:ascii="Times New Roman" w:cs="Times New Roman" w:eastAsia="Times New Roman" w:hAnsi="Times New Roman"/>
          <w:b/>
          <w:bCs/>
          <w:sz w:val="20"/>
          <w:szCs w:val="20"/>
        </w:rPr>
        <w:t xml:space="preserve">Tabela C.3 – Acordo por par de anotadores e por categoria (base do piloto e lote de léxico, n = 2.443)</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2300"/>
        <w:gridCol w:w="2320"/>
      </w:tblGrid>
      <w:tr>
        <w:trPr>
          <w:cantSplit/>
          <w:tblHeader/>
        </w:trPr>
        <w:tc>
          <w:tcPr>
            <w:tcW w:type="dxa" w:w="3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Desagregação</w:t>
            </w:r>
          </w:p>
        </w:tc>
        <w:tc>
          <w:tcPr>
            <w:tcW w:type="dxa" w:w="23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Medida</w:t>
            </w:r>
          </w:p>
        </w:tc>
        <w:tc>
          <w:tcPr>
            <w:tcW w:type="dxa" w:w="23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Valor</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Par A–B</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Cohen</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0,700</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Par A–C</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Cohen</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0,684</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Par B–C</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Cohen</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0,772</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Média dos pares [IC 95%]</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Cohen</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0,719 [0,696; 0,741]</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Normal</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0,738</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Desinformação</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0,625</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Discurso de Ódio</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0,753</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Mobilização Hostil</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0,731</w:t>
            </w:r>
          </w:p>
        </w:tc>
      </w:tr>
      <w:tr>
        <w:trPr>
          <w:cantSplit/>
          <w:tblHeader w:val="false"/>
        </w:trPr>
        <w:tc>
          <w:tcPr>
            <w:tcW w:type="dxa" w:w="3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Base do piloto, sem lotes enriquecidos (n = 2.352)</w:t>
            </w:r>
          </w:p>
        </w:tc>
        <w:tc>
          <w:tcPr>
            <w:tcW w:type="dxa" w:w="23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0,717</w:t>
            </w:r>
          </w:p>
        </w:tc>
      </w:tr>
      <w:tr>
        <w:trPr>
          <w:cantSplit/>
          <w:tblHeader w:val="false"/>
        </w:trPr>
        <w:tc>
          <w:tcPr>
            <w:tcW w:type="dxa" w:w="3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Lote enriquecido por léxico (n = 91)</w:t>
            </w:r>
          </w:p>
        </w:tc>
        <w:tc>
          <w:tcPr>
            <w:tcW w:type="dxa" w:w="23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κ de Fleiss</w:t>
            </w:r>
          </w:p>
        </w:tc>
        <w:tc>
          <w:tcPr>
            <w:tcW w:type="dxa" w:w="23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0,697</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O κ de Fleiss por categoria trata cada categoria contra as restantes. Valores calculados pelo </w:t>
      </w:r>
      <w:r>
        <w:rPr>
          <w:rFonts w:ascii="Times New Roman" w:cs="Times New Roman" w:eastAsia="Times New Roman" w:hAnsi="Times New Roman"/>
          <w:i/>
          <w:iCs/>
          <w:sz w:val="18"/>
          <w:szCs w:val="18"/>
        </w:rPr>
        <w:t xml:space="preserve">script</w:t>
      </w:r>
      <w:r>
        <w:rPr>
          <w:rFonts w:ascii="Times New Roman" w:cs="Times New Roman" w:eastAsia="Times New Roman" w:hAnsi="Times New Roman"/>
          <w:sz w:val="18"/>
          <w:szCs w:val="18"/>
        </w:rPr>
        <w:t xml:space="preserve"> compute_pilot_kappa.py (ficheiro kappa_piloto.json).</w:t>
      </w:r>
    </w:p>
    <w:p>
      <w:pPr>
        <w:pStyle w:val="Heading2"/>
        <w:keepNext/>
        <w:keepLines/>
        <w:spacing w:after="160" w:before="360" w:line="300"/>
      </w:pPr>
      <w:r>
        <w:rPr>
          <w:rFonts w:ascii="Times New Roman" w:cs="Times New Roman" w:eastAsia="Times New Roman" w:hAnsi="Times New Roman"/>
          <w:b/>
          <w:bCs/>
          <w:sz w:val="26"/>
          <w:szCs w:val="26"/>
        </w:rPr>
        <w:t xml:space="preserve">C.4 Distribuição das etiquetas finais</w:t>
      </w:r>
    </w:p>
    <w:p>
      <w:pPr>
        <w:spacing w:after="120" w:before="0" w:line="360"/>
        <w:ind w:firstLine="567"/>
        <w:jc w:val="both"/>
      </w:pPr>
      <w:r>
        <w:rPr>
          <w:rFonts w:ascii="Times New Roman" w:cs="Times New Roman" w:eastAsia="Times New Roman" w:hAnsi="Times New Roman"/>
          <w:sz w:val="24"/>
          <w:szCs w:val="24"/>
        </w:rPr>
        <w:t xml:space="preserve">A Tabela C.4 apresenta a distribuição das etiquetas finais do corpus angolano.</w:t>
      </w:r>
    </w:p>
    <w:p>
      <w:pPr>
        <w:pStyle w:val="LegendaTabela"/>
        <w:keepNext/>
        <w:spacing w:after="80" w:before="240" w:line="240"/>
        <w:jc w:val="center"/>
      </w:pPr>
      <w:r>
        <w:rPr>
          <w:rFonts w:ascii="Times New Roman" w:cs="Times New Roman" w:eastAsia="Times New Roman" w:hAnsi="Times New Roman"/>
          <w:b/>
          <w:bCs/>
          <w:sz w:val="20"/>
          <w:szCs w:val="20"/>
        </w:rPr>
        <w:t xml:space="preserve">Tabela C.4 – Distribuição das etiquetas finais do corpus angolano</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3200"/>
        <w:gridCol w:w="2500"/>
        <w:gridCol w:w="2520"/>
      </w:tblGrid>
      <w:tr>
        <w:trPr>
          <w:cantSplit/>
          <w:tblHeader/>
        </w:trPr>
        <w:tc>
          <w:tcPr>
            <w:tcW w:type="dxa" w:w="32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Categoria</w:t>
            </w:r>
          </w:p>
        </w:tc>
        <w:tc>
          <w:tcPr>
            <w:tcW w:type="dxa" w:w="2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Publicações</w:t>
            </w:r>
          </w:p>
        </w:tc>
        <w:tc>
          <w:tcPr>
            <w:tcW w:type="dxa" w:w="2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Percentagem</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Normal</w:t>
            </w:r>
          </w:p>
        </w:tc>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1.664</w:t>
            </w:r>
          </w:p>
        </w:tc>
        <w:tc>
          <w:tcPr>
            <w:tcW w:type="dxa" w:w="2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63,1%</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Mobilização Hostil</w:t>
            </w:r>
          </w:p>
        </w:tc>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364</w:t>
            </w:r>
          </w:p>
        </w:tc>
        <w:tc>
          <w:tcPr>
            <w:tcW w:type="dxa" w:w="2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13,8%</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Desinformação</w:t>
            </w:r>
          </w:p>
        </w:tc>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326</w:t>
            </w:r>
          </w:p>
        </w:tc>
        <w:tc>
          <w:tcPr>
            <w:tcW w:type="dxa" w:w="2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12,4%</w:t>
            </w:r>
          </w:p>
        </w:tc>
      </w:tr>
      <w:tr>
        <w:trPr>
          <w:cantSplit/>
          <w:tblHeader w:val="false"/>
        </w:trPr>
        <w:tc>
          <w:tcPr>
            <w:tcW w:type="dxa" w:w="32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9"/>
                <w:szCs w:val="19"/>
              </w:rPr>
              <w:t xml:space="preserve">Discurso de Ódio</w:t>
            </w:r>
          </w:p>
        </w:tc>
        <w:tc>
          <w:tcPr>
            <w:tcW w:type="dxa" w:w="2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283</w:t>
            </w:r>
          </w:p>
        </w:tc>
        <w:tc>
          <w:tcPr>
            <w:tcW w:type="dxa" w:w="2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9"/>
                <w:szCs w:val="19"/>
              </w:rPr>
              <w:t xml:space="preserve">10,7%</w:t>
            </w:r>
          </w:p>
        </w:tc>
      </w:tr>
      <w:tr>
        <w:trPr>
          <w:cantSplit/>
          <w:tblHeader w:val="false"/>
        </w:trPr>
        <w:tc>
          <w:tcPr>
            <w:tcW w:type="dxa" w:w="32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9"/>
                <w:szCs w:val="19"/>
              </w:rPr>
              <w:t xml:space="preserve">Total</w:t>
            </w:r>
          </w:p>
        </w:tc>
        <w:tc>
          <w:tcPr>
            <w:tcW w:type="dxa" w:w="2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2.637</w:t>
            </w:r>
          </w:p>
        </w:tc>
        <w:tc>
          <w:tcPr>
            <w:tcW w:type="dxa" w:w="2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9"/>
                <w:szCs w:val="19"/>
              </w:rPr>
              <w:t xml:space="preserve">100%</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Inclui a base do piloto e os dois lotes enriquecidos, antes da deduplicação feita na harmonização do corpus.</w:t>
      </w:r>
    </w:p>
    <w:p>
      <w:pPr>
        <w:sectPr>
          <w:headerReference w:type="default" r:id="rId33"/>
          <w:footerReference w:type="default" r:id="rId34"/>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D – DECLARAÇÃO DE CONSENTIMENTO E CONFIDENCIALIDADE DOS ANOTADORES</w:t>
      </w:r>
    </w:p>
    <w:p>
      <w:pPr>
        <w:spacing w:after="120" w:before="0" w:line="360"/>
        <w:ind w:firstLine="567"/>
        <w:jc w:val="both"/>
      </w:pPr>
      <w:r>
        <w:rPr>
          <w:rFonts w:ascii="Times New Roman" w:cs="Times New Roman" w:eastAsia="Times New Roman" w:hAnsi="Times New Roman"/>
          <w:sz w:val="24"/>
          <w:szCs w:val="24"/>
        </w:rPr>
        <w:t xml:space="preserve">Esta declaração foi assinada por cada anotador antes do início da anotação.</w:t>
      </w:r>
    </w:p>
    <w:p>
      <w:pPr>
        <w:spacing w:after="120" w:before="0" w:line="360"/>
        <w:jc w:val="both"/>
      </w:pPr>
      <w:r>
        <w:rPr>
          <w:rFonts w:ascii="Times New Roman" w:cs="Times New Roman" w:eastAsia="Times New Roman" w:hAnsi="Times New Roman"/>
          <w:sz w:val="24"/>
          <w:szCs w:val="24"/>
        </w:rPr>
        <w:t xml:space="preserve">Eu, abaixo assinado(a), declaro que: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Fui informado(a) sobre os objectivos, a metodologia e a finalidade da investigação «Monitoramento inteligente de ameaças em redes sociais em Angola para o apoio à defesa e segurança nacional», conduzida por Manuel Gonga Muinga na Universidade Agostinho Neto.</w:t>
      </w:r>
    </w:p>
    <w:p>
      <w:pPr>
        <w:pStyle w:val="ListParagraph"/>
        <w:numPr>
          <w:ilvl w:val="0"/>
          <w:numId w:val="2"/>
        </w:numPr>
        <w:spacing w:after="60" w:line="360"/>
        <w:jc w:val="both"/>
      </w:pPr>
      <w:r>
        <w:rPr>
          <w:rFonts w:ascii="Times New Roman" w:cs="Times New Roman" w:eastAsia="Times New Roman" w:hAnsi="Times New Roman"/>
          <w:sz w:val="24"/>
          <w:szCs w:val="24"/>
        </w:rPr>
        <w:t xml:space="preserve">Participo voluntariamente como anotador(a), sem remuneração, e posso retirar o meu consentimento a qualquer momento sem penalização.</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minha função consiste em classificar comentários de redes sociais em quatro categorias, seguindo o Guia de Anotação (Apêndice B), de forma independente.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Comprometo-me a manter a confidencialidade do conteúdo analisado e a não o usar para outro fim.</w:t>
      </w:r>
    </w:p>
    <w:p>
      <w:pPr>
        <w:pStyle w:val="ListParagraph"/>
        <w:numPr>
          <w:ilvl w:val="0"/>
          <w:numId w:val="2"/>
        </w:numPr>
        <w:spacing w:after="60" w:line="360"/>
        <w:jc w:val="both"/>
      </w:pPr>
      <w:r>
        <w:rPr>
          <w:rFonts w:ascii="Times New Roman" w:cs="Times New Roman" w:eastAsia="Times New Roman" w:hAnsi="Times New Roman"/>
          <w:sz w:val="24"/>
          <w:szCs w:val="24"/>
        </w:rPr>
        <w:t xml:space="preserve">Não tenho conflitos de interesses com o investigador nem com os temas analisados.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Autorizo o uso das minhas anotações para fins exclusivamente académicos e científicos, sem identificação nominal nos resultados publicados.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Fui informado(a) de que os meus dados pessoais (nome e assinatura) serão tratados de forma confidencial, nos termos da Lei n.º 22/11, de 17 de Junho.</w:t>
      </w:r>
    </w:p>
    <w:p>
      <w:r>
        <w:rPr>
          <w:rFonts w:ascii="Times New Roman" w:cs="Times New Roman" w:eastAsia="Times New Roman" w:hAnsi="Times New Roman"/>
        </w:rPr>
        <w:t xml:space="preserve"/>
      </w:r>
    </w:p>
    <w:p>
      <w:pPr>
        <w:spacing w:after="120" w:before="0" w:line="360"/>
        <w:jc w:val="both"/>
      </w:pPr>
      <w:r>
        <w:rPr>
          <w:rFonts w:ascii="Times New Roman" w:cs="Times New Roman" w:eastAsia="Times New Roman" w:hAnsi="Times New Roman"/>
          <w:sz w:val="24"/>
          <w:szCs w:val="24"/>
        </w:rPr>
        <w:t xml:space="preserve">Luanda, ____ de ________________ de 2026</w:t>
      </w:r>
    </w:p>
    <w:p>
      <w:r>
        <w:rPr>
          <w:rFonts w:ascii="Times New Roman" w:cs="Times New Roman" w:eastAsia="Times New Roman" w:hAnsi="Times New Roman"/>
        </w:rPr>
        <w:t xml:space="preserve"/>
      </w:r>
    </w:p>
    <w:p>
      <w:pPr>
        <w:spacing w:after="120" w:before="0" w:line="360"/>
        <w:jc w:val="both"/>
      </w:pPr>
      <w:r>
        <w:rPr>
          <w:rFonts w:ascii="Times New Roman" w:cs="Times New Roman" w:eastAsia="Times New Roman" w:hAnsi="Times New Roman"/>
          <w:sz w:val="24"/>
          <w:szCs w:val="24"/>
        </w:rPr>
        <w:t xml:space="preserve">Nome do(a) anotador(a): ____________________________________________</w:t>
      </w:r>
    </w:p>
    <w:p>
      <w:pPr>
        <w:spacing w:after="120" w:before="0" w:line="360"/>
        <w:jc w:val="both"/>
      </w:pPr>
      <w:r>
        <w:rPr>
          <w:rFonts w:ascii="Times New Roman" w:cs="Times New Roman" w:eastAsia="Times New Roman" w:hAnsi="Times New Roman"/>
          <w:sz w:val="24"/>
          <w:szCs w:val="24"/>
        </w:rPr>
        <w:t xml:space="preserve">Assinatura: ______________________________________________________</w:t>
      </w:r>
    </w:p>
    <w:p>
      <w:pPr>
        <w:spacing w:after="120" w:before="0" w:line="360"/>
        <w:jc w:val="both"/>
      </w:pPr>
      <w:r>
        <w:rPr>
          <w:rFonts w:ascii="Times New Roman" w:cs="Times New Roman" w:eastAsia="Times New Roman" w:hAnsi="Times New Roman"/>
          <w:sz w:val="24"/>
          <w:szCs w:val="24"/>
        </w:rPr>
        <w:t xml:space="preserve">Investigador principal: Manuel Gonga Muinga  ________________________</w:t>
      </w:r>
    </w:p>
    <w:p>
      <w:pPr>
        <w:sectPr>
          <w:headerReference w:type="default" r:id="rId35"/>
          <w:footerReference w:type="default" r:id="rId36"/>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E – AMOSTRA ANOTADA DO CORPUS</w:t>
      </w:r>
    </w:p>
    <w:p>
      <w:pPr>
        <w:spacing w:after="120" w:before="0" w:line="360"/>
        <w:ind w:firstLine="567"/>
        <w:jc w:val="both"/>
      </w:pPr>
      <w:r>
        <w:rPr>
          <w:rFonts w:ascii="Times New Roman" w:cs="Times New Roman" w:eastAsia="Times New Roman" w:hAnsi="Times New Roman"/>
          <w:sz w:val="24"/>
          <w:szCs w:val="24"/>
        </w:rPr>
        <w:t xml:space="preserve">Este apêndice apresenta 20 comentários reais do corpus angolano, com as anotações individuais e a etiqueta final. A amostra foi extraída do ficheiro corpus_ground_truth_com_texto_v13.csv por sorteio com semente fixa (42), cinco comentários por categoria, entre os comentários de YouTube sorteados da base do piloto cuja etiqueta final coincide com a maioria dos anotadores. Ficaram de fora as publicações de imprensa e de organizações e os lotes enriquecidos. Os textos mantêm a grafia original. Os nomes de pessoas foram substituídos por descritores entre parênteses rectos, e os comentários longos foram reduzidos ao trecho relevante, assinalado com (…). Os emojis aparecem descritos entre parênteses rectos.</w:t>
      </w:r>
    </w:p>
    <w:p>
      <w:pPr>
        <w:spacing w:after="120" w:before="0" w:line="360"/>
        <w:ind w:firstLine="567"/>
        <w:jc w:val="both"/>
      </w:pPr>
      <w:r>
        <w:rPr>
          <w:rFonts w:ascii="Times New Roman" w:cs="Times New Roman" w:eastAsia="Times New Roman" w:hAnsi="Times New Roman"/>
          <w:sz w:val="24"/>
          <w:szCs w:val="24"/>
        </w:rPr>
        <w:t xml:space="preserve">A Tabela E.1 apresenta a amostra.</w:t>
      </w:r>
    </w:p>
    <w:p>
      <w:pPr>
        <w:pStyle w:val="LegendaTabela"/>
        <w:keepNext/>
        <w:spacing w:after="80" w:before="240" w:line="240"/>
        <w:jc w:val="center"/>
      </w:pPr>
      <w:r>
        <w:rPr>
          <w:rFonts w:ascii="Times New Roman" w:cs="Times New Roman" w:eastAsia="Times New Roman" w:hAnsi="Times New Roman"/>
          <w:b/>
          <w:bCs/>
          <w:sz w:val="20"/>
          <w:szCs w:val="20"/>
        </w:rPr>
        <w:t xml:space="preserve">Tabela E.1 – Amostra de comentários anotados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500"/>
        <w:gridCol w:w="4120"/>
        <w:gridCol w:w="520"/>
        <w:gridCol w:w="520"/>
        <w:gridCol w:w="520"/>
        <w:gridCol w:w="900"/>
        <w:gridCol w:w="1140"/>
      </w:tblGrid>
      <w:tr>
        <w:trPr>
          <w:cantSplit/>
          <w:tblHeader/>
        </w:trPr>
        <w:tc>
          <w:tcPr>
            <w:tcW w:type="dxa" w:w="5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N.º</w:t>
            </w:r>
          </w:p>
        </w:tc>
        <w:tc>
          <w:tcPr>
            <w:tcW w:type="dxa" w:w="41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8"/>
                <w:szCs w:val="18"/>
              </w:rPr>
              <w:t xml:space="preserve">Excerto (anonimizado)</w:t>
            </w:r>
          </w:p>
        </w:tc>
        <w:tc>
          <w:tcPr>
            <w:tcW w:type="dxa" w:w="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A</w:t>
            </w:r>
          </w:p>
        </w:tc>
        <w:tc>
          <w:tcPr>
            <w:tcW w:type="dxa" w:w="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B</w:t>
            </w:r>
          </w:p>
        </w:tc>
        <w:tc>
          <w:tcPr>
            <w:tcW w:type="dxa" w:w="5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C</w:t>
            </w:r>
          </w:p>
        </w:tc>
        <w:tc>
          <w:tcPr>
            <w:tcW w:type="dxa" w:w="9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Final</w:t>
            </w:r>
          </w:p>
        </w:tc>
        <w:tc>
          <w:tcPr>
            <w:tcW w:type="dxa" w:w="114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8"/>
                <w:szCs w:val="18"/>
              </w:rPr>
              <w:t xml:space="preserve">Unânime</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Mesmo no Brasil [emoji: bandeira do Brasil] creio que são piores</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Minha Angola [emoji: rosto pensativo ×2]</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3</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Meu Deus do céu como pode uma pessoa se aproveitar da pobreza dos outros</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4</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Máximo respeito Gangster.</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5</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Axo muito bem força mano deus esta com nosco, nao tenha medo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6</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 [pessoa referida]? Laranjas e chocolates, e uma mansão de 6 milhões comprada em plena pandemia.</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7</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Só Deus para nós livrar das garras desses senhores que se intitulam donos de Angola e de todos os recursos que existe neste País. Verdade bem dita.</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8</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 isso cá no meu país é proibido passar em órgãos públicos! Eu garanto que o Mplá é a máfia mais perigosa do mundo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9</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[político brasileiro] deu palestra e ganhou meio milhão. Seu sobrinho faturou legal tb.</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10</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Essa reportagem é encomendada por [líder religioso] e a Universal. A Universal está nesse momento sendo expulsa de Angola, por conta de crimes cometidos e por conta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11</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GOVERNO DE ESQUERDA É MARAVILHOSO QUE O DIGA O DIGA O POVO VENEZUELANO E NORTE COREANO!!!!![emoji: a rolar de rir ×12]</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12</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[emoji: rosto a chorar ×5]</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13</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 o povo angolano anda muito atrasado pois mesmo se apercebendo duq tem acontecido ñ faz nada contra a causa' apenas obcerva a sua própria destruição por parte dos dirigentes pa p#t@ do país. (…)</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14</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Nada justifica o que??? É medo que você tem de apoiar o povo. Tem sim uma justificativa [emoji: coração partido] deixa disso homem do MPLA</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15</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Mano essa currupcao será difícil acaba cm MPLA n poder</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O</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16</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Força vamos libertar o país</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17</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 povo no puder. Viva povo de Angola. [emoji: lágrimas de riso ×3]</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18</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Os fins justificam os meios... Estou orgulhoso de vocês [emoji: sinal de OK]</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D</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Não</w:t>
            </w:r>
          </w:p>
        </w:tc>
      </w:tr>
      <w:tr>
        <w:trPr>
          <w:cantSplit/>
          <w:tblHeader w:val="false"/>
        </w:trPr>
        <w:tc>
          <w:tcPr>
            <w:tcW w:type="dxa" w:w="5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19</w:t>
            </w:r>
          </w:p>
        </w:tc>
        <w:tc>
          <w:tcPr>
            <w:tcW w:type="dxa" w:w="41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Está faltar chegarmos até aos condomínios [emoji: sinal de OK] eles moram lá [emoji: dedo para cima, rosto pensativo, sorriso de lado, olhos a revirar]</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11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r>
        <w:trPr>
          <w:cantSplit/>
          <w:tblHeader w:val="false"/>
        </w:trPr>
        <w:tc>
          <w:tcPr>
            <w:tcW w:type="dxa" w:w="5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20</w:t>
            </w:r>
          </w:p>
        </w:tc>
        <w:tc>
          <w:tcPr>
            <w:tcW w:type="dxa" w:w="41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8"/>
                <w:szCs w:val="18"/>
              </w:rPr>
              <w:t xml:space="preserve">O POVO É QUE SE UNEM E VÃO NO PALÁCIO..E NÃO CULPO ESTE POVO SOFREDOR E ABANDONADO [emoji: rosto a chorar]</w:t>
            </w:r>
          </w:p>
        </w:tc>
        <w:tc>
          <w:tcPr>
            <w:tcW w:type="dxa" w:w="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5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9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M</w:t>
            </w:r>
          </w:p>
        </w:tc>
        <w:tc>
          <w:tcPr>
            <w:tcW w:type="dxa" w:w="114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8"/>
                <w:szCs w:val="18"/>
              </w:rPr>
              <w:t xml:space="preserve">Sim</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N = Normal; D = Desinformação; O = Discurso de Ódio; M = Mobilização Hostil. A amostra não foi escolhida para ilustrar casos claros, e mostra também o ruído da anotação e o uso, por vezes, de critérios mais amplos do que os do guia (Secção 3.4): o comentário 12, composto apenas por emojis, recebeu a etiqueta Discurso de Ódio de dois anotadores, e o 11 é sarcasmo político, de fronteira discutível com a categoria Normal. Casos como estes ajudam a explicar o κ substancial, mas não quase perfeito, do Apêndice C.</w:t>
      </w:r>
    </w:p>
    <w:p>
      <w:pPr>
        <w:sectPr>
          <w:headerReference w:type="default" r:id="rId37"/>
          <w:footerReference w:type="default" r:id="rId38"/>
          <w:type w:val="nextPage"/>
          <w:pgSz w:w="11906" w:h="16838" w:orient="portrait"/>
          <w:pgMar w:top="1701" w:right="1701" w:bottom="1417" w:left="1984" w:header="850" w:footer="567" w:gutter="0"/>
          <w:pgNumType w:start="1" w:fmt="decimal"/>
          <w:docGrid w:linePitch="360"/>
        </w:sectPr>
      </w:pPr>
    </w:p>
    <w:p>
      <w:pPr>
        <w:pStyle w:val="Heading1"/>
        <w:spacing w:after="480" w:before="567"/>
        <w:jc w:val="left"/>
      </w:pPr>
      <w:r>
        <w:rPr>
          <w:rFonts w:ascii="Times New Roman" w:cs="Times New Roman" w:eastAsia="Times New Roman" w:hAnsi="Times New Roman"/>
          <w:b/>
          <w:bCs/>
          <w:sz w:val="28"/>
          <w:szCs w:val="28"/>
        </w:rPr>
        <w:t xml:space="preserve">APÊNDICE F – MANUAL DE INSTALAÇÃO E UTILIZAÇÃO DO SISTEMA</w:t>
      </w:r>
    </w:p>
    <w:p>
      <w:pPr>
        <w:spacing w:after="120" w:before="0" w:line="360"/>
        <w:ind w:firstLine="567"/>
        <w:jc w:val="both"/>
      </w:pPr>
      <w:r>
        <w:rPr>
          <w:rFonts w:ascii="Times New Roman" w:cs="Times New Roman" w:eastAsia="Times New Roman" w:hAnsi="Times New Roman"/>
          <w:sz w:val="24"/>
          <w:szCs w:val="24"/>
        </w:rPr>
        <w:t xml:space="preserve">O sistema está na pasta sistema_uan do repositório do projecto. Os comandos destinam-se à linha de comandos do Windows (cmd), na pasta do sistema. O README do sistema descreve todas as opções.</w:t>
      </w:r>
    </w:p>
    <w:p>
      <w:pPr>
        <w:pStyle w:val="Heading2"/>
        <w:keepNext/>
        <w:keepLines/>
        <w:spacing w:after="160" w:before="360" w:line="300"/>
      </w:pPr>
      <w:r>
        <w:rPr>
          <w:rFonts w:ascii="Times New Roman" w:cs="Times New Roman" w:eastAsia="Times New Roman" w:hAnsi="Times New Roman"/>
          <w:b/>
          <w:bCs/>
          <w:sz w:val="26"/>
          <w:szCs w:val="26"/>
        </w:rPr>
        <w:t xml:space="preserve">F.1 Instalação e configuração</w:t>
      </w:r>
    </w:p>
    <w:p>
      <w:pPr>
        <w:shd w:fill="F4F3EF" w:color="auto" w:val="clear"/>
        <w:spacing w:after="0" w:before="120" w:line="220"/>
        <w:ind w:left="113" w:right="113"/>
      </w:pPr>
      <w:r>
        <w:rPr>
          <w:rFonts w:ascii="Courier New" w:cs="Courier New" w:eastAsia="Courier New" w:hAnsi="Courier New"/>
          <w:sz w:val="15"/>
          <w:szCs w:val="15"/>
        </w:rPr>
        <w:t xml:space="preserve">python -m pip install -r requirements.txt</w:t>
      </w:r>
    </w:p>
    <w:p>
      <w:pPr>
        <w:shd w:fill="F4F3EF" w:color="auto" w:val="clear"/>
        <w:spacing w:after="0" w:before="0" w:line="220"/>
        <w:ind w:left="113" w:right="113"/>
      </w:pPr>
      <w:r>
        <w:rPr>
          <w:rFonts w:ascii="Courier New" w:cs="Courier New" w:eastAsia="Courier New" w:hAnsi="Courier New"/>
          <w:sz w:val="15"/>
          <w:szCs w:val="15"/>
        </w:rPr>
        <w:t xml:space="preserve">python -m pytest -q</w:t>
      </w:r>
    </w:p>
    <w:p>
      <w:pPr>
        <w:shd w:fill="F4F3EF" w:color="auto" w:val="clear"/>
        <w:spacing w:after="0" w:before="0" w:line="220"/>
        <w:ind w:left="113" w:right="113"/>
      </w:pPr>
      <w:r>
        <w:rPr>
          <w:rFonts w:ascii="Courier New" w:cs="Courier New" w:eastAsia="Courier New" w:hAnsi="Courier New"/>
          <w:sz w:val="15"/>
          <w:szCs w:val="15"/>
        </w:rPr>
        <w:t xml:space="preserve">python -c "import secrets; print(secrets.token_urlsafe(32))"</w:t>
      </w:r>
    </w:p>
    <w:p>
      <w:pPr>
        <w:shd w:fill="F4F3EF" w:color="auto" w:val="clear"/>
        <w:spacing w:after="200" w:before="0" w:line="220"/>
        <w:ind w:left="113" w:right="113"/>
      </w:pPr>
      <w:r>
        <w:rPr>
          <w:rFonts w:ascii="Courier New" w:cs="Courier New" w:eastAsia="Courier New" w:hAnsi="Courier New"/>
          <w:sz w:val="15"/>
          <w:szCs w:val="15"/>
        </w:rPr>
        <w:t xml:space="preserve">python uan.py verificar-config</w:t>
      </w:r>
    </w:p>
    <w:p>
      <w:pPr>
        <w:spacing w:after="120" w:before="0" w:line="360"/>
        <w:ind w:firstLine="567"/>
        <w:jc w:val="both"/>
      </w:pPr>
      <w:r>
        <w:rPr>
          <w:rFonts w:ascii="Times New Roman" w:cs="Times New Roman" w:eastAsia="Times New Roman" w:hAnsi="Times New Roman"/>
          <w:sz w:val="24"/>
          <w:szCs w:val="24"/>
        </w:rPr>
        <w:t xml:space="preserve">A configuração fica no ficheiro uan.env, criado a partir de uan.env.exemplo e nunca guardado no repositório. As variáveis essenciais são UAN_MODELO (pasta do modelo; vazio activa um classificador de demonstração), UAN_SEGREDO_HASH (segredo dos pseudónimos, gerado ao acaso com o terceiro comando e nunca mudado depois da primeira recolha), UAN_YOUTUBE_CHAVE (chave da YouTube Data API v3) e, para os alertas por e-mail, UAN_SMTP_SERVIDOR e UAN_SMTP_REMETENTE. O comando verificar-config mostra que ficheiro é lido e que variáveis estão definidas, sem os valores.</w:t>
      </w:r>
    </w:p>
    <w:p>
      <w:pPr>
        <w:pStyle w:val="Heading2"/>
        <w:keepNext/>
        <w:keepLines/>
        <w:spacing w:after="160" w:before="360" w:line="300"/>
      </w:pPr>
      <w:r>
        <w:rPr>
          <w:rFonts w:ascii="Times New Roman" w:cs="Times New Roman" w:eastAsia="Times New Roman" w:hAnsi="Times New Roman"/>
          <w:b/>
          <w:bCs/>
          <w:sz w:val="26"/>
          <w:szCs w:val="26"/>
        </w:rPr>
        <w:t xml:space="preserve">F.2 Arranque e utilização</w:t>
      </w:r>
    </w:p>
    <w:p>
      <w:pPr>
        <w:shd w:fill="F4F3EF" w:color="auto" w:val="clear"/>
        <w:spacing w:after="0" w:before="120" w:line="220"/>
        <w:ind w:left="113" w:right="113"/>
      </w:pPr>
      <w:r>
        <w:rPr>
          <w:rFonts w:ascii="Courier New" w:cs="Courier New" w:eastAsia="Courier New" w:hAnsi="Courier New"/>
          <w:sz w:val="15"/>
          <w:szCs w:val="15"/>
        </w:rPr>
        <w:t xml:space="preserve">python uan.py servir</w:t>
      </w:r>
    </w:p>
    <w:p>
      <w:pPr>
        <w:shd w:fill="F4F3EF" w:color="auto" w:val="clear"/>
        <w:spacing w:after="200" w:before="0" w:line="220"/>
        <w:ind w:left="113" w:right="113"/>
      </w:pPr>
      <w:r>
        <w:rPr>
          <w:rFonts w:ascii="Courier New" w:cs="Courier New" w:eastAsia="Courier New" w:hAnsi="Courier New"/>
          <w:sz w:val="15"/>
          <w:szCs w:val="15"/>
        </w:rPr>
        <w:t xml:space="preserve">python uan.py servir --demonstracao</w:t>
      </w:r>
    </w:p>
    <w:p>
      <w:pPr>
        <w:spacing w:after="120" w:before="0" w:line="360"/>
        <w:ind w:firstLine="567"/>
        <w:jc w:val="both"/>
      </w:pPr>
      <w:r>
        <w:rPr>
          <w:rFonts w:ascii="Times New Roman" w:cs="Times New Roman" w:eastAsia="Times New Roman" w:hAnsi="Times New Roman"/>
          <w:sz w:val="24"/>
          <w:szCs w:val="24"/>
        </w:rPr>
        <w:t xml:space="preserve">O sistema abre em http://127.0.0.1:8000. Na primeira utilização pede a conta do supervisor, que cria as dos analistas em Utilizadores. O modo de demonstração usa a base dados\demonstracao.db, com dados fictícios e as contas demo.supervisor, demo.analista e demo.revisor (palavra-passe demonstracao); o supervisor pode trocar de modo com o sistema aberto. Na fila, as teclas 1 a 4 decidem, J e K mudam de item, U desfaz, D abre o detalhe e ? mostra todos os atalhos; Ctrl+K abre a procura de páginas e acções. Em Fontes e recolha, o supervisor cola um ou vários endereços (vídeo, canal, lista ou pesquisa do YouTube, feed, página ou sítio), recolhe a pedido e escolhe a frequência da recolha automática. Cada utilizador gera em A minha conta o seu código de recuperação; quem se esquece da palavra-passe usa a ligação «Esqueceu-se da palavra-passe?» na entrada.</w:t>
      </w:r>
    </w:p>
    <w:p>
      <w:pPr>
        <w:pStyle w:val="Heading2"/>
        <w:keepNext/>
        <w:keepLines/>
        <w:spacing w:after="160" w:before="360" w:line="300"/>
      </w:pPr>
      <w:r>
        <w:rPr>
          <w:rFonts w:ascii="Times New Roman" w:cs="Times New Roman" w:eastAsia="Times New Roman" w:hAnsi="Times New Roman"/>
          <w:b/>
          <w:bCs/>
          <w:sz w:val="26"/>
          <w:szCs w:val="26"/>
        </w:rPr>
        <w:t xml:space="preserve">F.3 Linha de comandos</w:t>
      </w:r>
    </w:p>
    <w:p>
      <w:pPr>
        <w:spacing w:after="120" w:before="0" w:line="360"/>
        <w:ind w:firstLine="567"/>
        <w:jc w:val="both"/>
      </w:pPr>
      <w:r>
        <w:rPr>
          <w:rFonts w:ascii="Times New Roman" w:cs="Times New Roman" w:eastAsia="Times New Roman" w:hAnsi="Times New Roman"/>
          <w:sz w:val="24"/>
          <w:szCs w:val="24"/>
        </w:rPr>
        <w:t xml:space="preserve">A Tabela F.1 resume os comandos do sistema.</w:t>
      </w:r>
    </w:p>
    <w:p>
      <w:pPr>
        <w:pStyle w:val="LegendaTabela"/>
        <w:keepNext/>
        <w:spacing w:after="80" w:before="240" w:line="240"/>
        <w:jc w:val="center"/>
      </w:pPr>
      <w:r>
        <w:rPr>
          <w:rFonts w:ascii="Times New Roman" w:cs="Times New Roman" w:eastAsia="Times New Roman" w:hAnsi="Times New Roman"/>
          <w:b/>
          <w:bCs/>
          <w:sz w:val="20"/>
          <w:szCs w:val="20"/>
        </w:rPr>
        <w:t xml:space="preserve">Tabela F.1 – Comandos do sistema</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4600"/>
        <w:gridCol w:w="3620"/>
      </w:tblGrid>
      <w:tr>
        <w:trPr>
          <w:cantSplit/>
          <w:tblHeader/>
        </w:trPr>
        <w:tc>
          <w:tcPr>
            <w:tcW w:type="dxa" w:w="46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7"/>
                <w:szCs w:val="17"/>
              </w:rPr>
              <w:t xml:space="preserve">Comando</w:t>
            </w:r>
          </w:p>
        </w:tc>
        <w:tc>
          <w:tcPr>
            <w:tcW w:type="dxa" w:w="36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7"/>
                <w:szCs w:val="17"/>
              </w:rPr>
              <w:t xml:space="preserve">Função</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servir [--demonstracao]</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Arranca a aplicação web</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criar-utilizador ana --nome "Ana" --papel analista</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Cria uma conta</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repor-senha utilizador [--temporaria]</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Repõe a palavra-passe e desbloqueia a conta</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importar ficheiro.csv --plataforma YouTube --via api_oficial</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Importa e anonimiza um lote</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fonte-adicionar --endereco URL "termos"</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Regista fontes; o tipo é detectado</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recolher</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Recolhe as fontes activas e classifica</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alertas</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Verifica tendências e envia os alertas</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relatorio --dias 30 --email</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Relatório de alertas do período</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metricas / exportar revisoes.csv</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Métricas operacionais; revisões para novo treino</w:t>
            </w:r>
          </w:p>
        </w:tc>
      </w:tr>
      <w:tr>
        <w:trPr>
          <w:cantSplit/>
          <w:tblHeader w:val="false"/>
        </w:trPr>
        <w:tc>
          <w:tcPr>
            <w:tcW w:type="dxa" w:w="46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limpar --dias 180 / copia</w:t>
            </w:r>
          </w:p>
        </w:tc>
        <w:tc>
          <w:tcPr>
            <w:tcW w:type="dxa" w:w="36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Prazo de conservação; cópia de segurança</w:t>
            </w:r>
          </w:p>
        </w:tc>
      </w:tr>
      <w:tr>
        <w:trPr>
          <w:cantSplit/>
          <w:tblHeader w:val="false"/>
        </w:trPr>
        <w:tc>
          <w:tcPr>
            <w:tcW w:type="dxa" w:w="46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python uan.py medir-latencia ficheiro.csv</w:t>
            </w:r>
          </w:p>
        </w:tc>
        <w:tc>
          <w:tcPr>
            <w:tcW w:type="dxa" w:w="36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Mede o tempo de processamento (H2)</w:t>
            </w:r>
          </w:p>
        </w:tc>
      </w:tr>
    </w:tbl>
    <w:p>
      <w:pPr>
        <w:spacing w:after="240" w:before="60" w:line="240"/>
        <w:jc w:val="both"/>
      </w:pPr>
      <w:r>
        <w:rPr>
          <w:rFonts w:ascii="Times New Roman" w:cs="Times New Roman" w:eastAsia="Times New Roman" w:hAnsi="Times New Roman"/>
          <w:i/>
          <w:iCs/>
          <w:sz w:val="18"/>
          <w:szCs w:val="18"/>
        </w:rPr>
        <w:t xml:space="preserve">Nota.</w:t>
      </w:r>
      <w:r>
        <w:rPr>
          <w:rFonts w:ascii="Times New Roman" w:cs="Times New Roman" w:eastAsia="Times New Roman" w:hAnsi="Times New Roman"/>
          <w:sz w:val="18"/>
          <w:szCs w:val="18"/>
        </w:rPr>
        <w:t xml:space="preserve"> O modelo treinado no Google Colab deve ser guardado no formato da biblioteca Transformers, com o ficheiro colab_guardar_modelo.py, e acompanhado do ficheiro ficha_modelo.json, que a página Sobre o modelo apresenta.</w:t>
      </w:r>
    </w:p>
    <w:p>
      <w:pPr>
        <w:pStyle w:val="Heading2"/>
        <w:keepNext/>
        <w:keepLines/>
        <w:spacing w:after="160" w:before="360" w:line="300"/>
      </w:pPr>
      <w:r>
        <w:rPr>
          <w:rFonts w:ascii="Times New Roman" w:cs="Times New Roman" w:eastAsia="Times New Roman" w:hAnsi="Times New Roman"/>
          <w:b/>
          <w:bCs/>
          <w:sz w:val="26"/>
          <w:szCs w:val="26"/>
        </w:rPr>
        <w:t xml:space="preserve">F.4 Verificação dos requisitos</w:t>
      </w:r>
    </w:p>
    <w:p>
      <w:pPr>
        <w:spacing w:after="120" w:before="0" w:line="360"/>
        <w:ind w:firstLine="567"/>
        <w:jc w:val="both"/>
      </w:pPr>
      <w:r>
        <w:rPr>
          <w:rFonts w:ascii="Times New Roman" w:cs="Times New Roman" w:eastAsia="Times New Roman" w:hAnsi="Times New Roman"/>
          <w:sz w:val="24"/>
          <w:szCs w:val="24"/>
        </w:rPr>
        <w:t xml:space="preserve">A Tabela F.2 liga cada requisito da Tabela 3.4 aos testes automáticos que o verificam; cada teste conta no requisito principal, e o do fluxo completo cobre também RF2 a RF6. Os 121 testes passam na versão final.</w:t>
      </w:r>
    </w:p>
    <w:p>
      <w:pPr>
        <w:pStyle w:val="LegendaTabela"/>
        <w:keepNext/>
        <w:spacing w:after="80" w:before="240" w:line="240"/>
        <w:jc w:val="center"/>
      </w:pPr>
      <w:r>
        <w:rPr>
          <w:rFonts w:ascii="Times New Roman" w:cs="Times New Roman" w:eastAsia="Times New Roman" w:hAnsi="Times New Roman"/>
          <w:b/>
          <w:bCs/>
          <w:sz w:val="20"/>
          <w:szCs w:val="20"/>
        </w:rPr>
        <w:t xml:space="preserve">Tabela F.2 – Requisitos e testes automáticos</w:t>
      </w:r>
    </w:p>
    <w:tbl>
      <w:tblPr>
        <w:tblW w:type="dxa" w:w="8220"/>
        <w:jc w:val="center"/>
        <w:tblBorders>
          <w:top w:val="single" w:color="auto" w:sz="4"/>
          <w:left w:val="single" w:color="auto" w:sz="4"/>
          <w:bottom w:val="single" w:color="auto" w:sz="4"/>
          <w:right w:val="single" w:color="auto" w:sz="4"/>
          <w:insideH w:val="single" w:color="auto" w:sz="4"/>
          <w:insideV w:val="single" w:color="auto" w:sz="4"/>
        </w:tblBorders>
      </w:tblPr>
      <w:tblGrid>
        <w:gridCol w:w="1100"/>
        <w:gridCol w:w="800"/>
        <w:gridCol w:w="6320"/>
      </w:tblGrid>
      <w:tr>
        <w:trPr>
          <w:cantSplit/>
          <w:tblHeader/>
        </w:trPr>
        <w:tc>
          <w:tcPr>
            <w:tcW w:type="dxa" w:w="11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7"/>
                <w:szCs w:val="17"/>
              </w:rPr>
              <w:t xml:space="preserve">Req.</w:t>
            </w:r>
          </w:p>
        </w:tc>
        <w:tc>
          <w:tcPr>
            <w:tcW w:type="dxa" w:w="80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center"/>
            </w:pPr>
            <w:r>
              <w:rPr>
                <w:rFonts w:ascii="Times New Roman" w:cs="Times New Roman" w:eastAsia="Times New Roman" w:hAnsi="Times New Roman"/>
                <w:b/>
                <w:bCs/>
                <w:sz w:val="17"/>
                <w:szCs w:val="17"/>
              </w:rPr>
              <w:t xml:space="preserve">Testes</w:t>
            </w:r>
          </w:p>
        </w:tc>
        <w:tc>
          <w:tcPr>
            <w:tcW w:type="dxa" w:w="6320"/>
            <w:tcBorders>
              <w:top w:val="single" w:color="000000" w:sz="4"/>
              <w:left w:val="none" w:color="FFFFFF" w:sz="0"/>
              <w:bottom w:val="single" w:color="000000" w:sz="4"/>
              <w:right w:val="none" w:color="FFFFFF" w:sz="0"/>
            </w:tcBorders>
            <w:shd w:fill="E7E6E1" w:color="auto" w:val="clear"/>
            <w:tcMar>
              <w:top w:type="dxa" w:w="50"/>
              <w:left w:type="dxa" w:w="80"/>
              <w:bottom w:type="dxa" w:w="50"/>
              <w:right w:type="dxa" w:w="80"/>
            </w:tcMar>
            <w:vAlign w:val="center"/>
          </w:tcPr>
          <w:p>
            <w:pPr>
              <w:spacing w:line="240"/>
              <w:jc w:val="left"/>
            </w:pPr>
            <w:r>
              <w:rPr>
                <w:rFonts w:ascii="Times New Roman" w:cs="Times New Roman" w:eastAsia="Times New Roman" w:hAnsi="Times New Roman"/>
                <w:b/>
                <w:bCs/>
                <w:sz w:val="17"/>
                <w:szCs w:val="17"/>
              </w:rPr>
              <w:t xml:space="preserve">O que verificam (exemplos)</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RF1</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7"/>
                <w:szCs w:val="17"/>
              </w:rPr>
              <w:t xml:space="preserve">30</w:t>
            </w:r>
          </w:p>
        </w:tc>
        <w:tc>
          <w:tcPr>
            <w:tcW w:type="dxa" w:w="6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Detecção do tipo de fonte; robots.txt; páginas com conta excluídas; YouTube e RSS</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RF2–RF3</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7"/>
                <w:szCs w:val="17"/>
              </w:rPr>
              <w:t xml:space="preserve">4</w:t>
            </w:r>
          </w:p>
        </w:tc>
        <w:tc>
          <w:tcPr>
            <w:tcW w:type="dxa" w:w="6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Importação com proveniência; máscaras; pseudónimo dependente do segredo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RF4</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7"/>
                <w:szCs w:val="17"/>
              </w:rPr>
              <w:t xml:space="preserve">5</w:t>
            </w:r>
          </w:p>
        </w:tc>
        <w:tc>
          <w:tcPr>
            <w:tcW w:type="dxa" w:w="6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Migração de bases antigas; prazo de conservação; cópia de segurança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RF5</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7"/>
                <w:szCs w:val="17"/>
              </w:rPr>
              <w:t xml:space="preserve">7</w:t>
            </w:r>
          </w:p>
        </w:tc>
        <w:tc>
          <w:tcPr>
            <w:tcW w:type="dxa" w:w="6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Carregamento do modelo; gravação por sublotes; API protegida por chave</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RF6</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7"/>
                <w:szCs w:val="17"/>
              </w:rPr>
              <w:t xml:space="preserve">5</w:t>
            </w:r>
          </w:p>
        </w:tc>
        <w:tc>
          <w:tcPr>
            <w:tcW w:type="dxa" w:w="6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Prioridade 1 − P(Normal); decisão e anulação na fila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RF7–RF8</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7"/>
                <w:szCs w:val="17"/>
              </w:rPr>
              <w:t xml:space="preserve">2</w:t>
            </w:r>
          </w:p>
        </w:tc>
        <w:tc>
          <w:tcPr>
            <w:tcW w:type="dxa" w:w="6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Fluxo completo (importar, classificar, rever, métricas, exportar); κ</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RF9</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7"/>
                <w:szCs w:val="17"/>
              </w:rPr>
              <w:t xml:space="preserve">11</w:t>
            </w:r>
          </w:p>
        </w:tc>
        <w:tc>
          <w:tcPr>
            <w:tcW w:type="dxa" w:w="6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Palavras-passe, bloqueio, papéis, CSRF, fim da sessão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RF10</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7"/>
                <w:szCs w:val="17"/>
              </w:rPr>
              <w:t xml:space="preserve">6</w:t>
            </w:r>
          </w:p>
        </w:tc>
        <w:tc>
          <w:tcPr>
            <w:tcW w:type="dxa" w:w="6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Revisão cega; amostra de controlo reprodutível; dois analistas</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RF11</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7"/>
                <w:szCs w:val="17"/>
              </w:rPr>
              <w:t xml:space="preserve">10</w:t>
            </w:r>
          </w:p>
        </w:tc>
        <w:tc>
          <w:tcPr>
            <w:tcW w:type="dxa" w:w="6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Alertas só de decisões humanas; tendência normalizada; e-mail sem texto nem autor</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RF12</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7"/>
                <w:szCs w:val="17"/>
              </w:rPr>
              <w:t xml:space="preserve">11</w:t>
            </w:r>
          </w:p>
        </w:tc>
        <w:tc>
          <w:tcPr>
            <w:tcW w:type="dxa" w:w="6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18 províncias; topónimos ambíguos; taxa com mínimo de casos; séries</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RF13–RF14</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7"/>
                <w:szCs w:val="17"/>
              </w:rPr>
              <w:t xml:space="preserve">3</w:t>
            </w:r>
          </w:p>
        </w:tc>
        <w:tc>
          <w:tcPr>
            <w:tcW w:type="dxa" w:w="6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Relatório com tendências; fluxo alerta–mapa–relatório; Sobre o modelo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RF15</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7"/>
                <w:szCs w:val="17"/>
              </w:rPr>
              <w:t xml:space="preserve">4</w:t>
            </w:r>
          </w:p>
        </w:tc>
        <w:tc>
          <w:tcPr>
            <w:tcW w:type="dxa" w:w="6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Modo de demonstração; dados fictícios reprodutíveis; troca de modo</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RF16</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7"/>
                <w:szCs w:val="17"/>
              </w:rPr>
              <w:t xml:space="preserve">6</w:t>
            </w:r>
          </w:p>
        </w:tc>
        <w:tc>
          <w:tcPr>
            <w:tcW w:type="dxa" w:w="6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Recolha periódica; fontes inactivas; quota; chave nunca exposta</w:t>
            </w:r>
          </w:p>
        </w:tc>
      </w:tr>
      <w:tr>
        <w:trPr>
          <w:cantSplit/>
          <w:tblHeader w:val="false"/>
        </w:trPr>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RF17</w:t>
            </w:r>
          </w:p>
        </w:tc>
        <w:tc>
          <w:tcPr>
            <w:tcW w:type="dxa" w:w="80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7"/>
                <w:szCs w:val="17"/>
              </w:rPr>
              <w:t xml:space="preserve">10</w:t>
            </w:r>
          </w:p>
        </w:tc>
        <w:tc>
          <w:tcPr>
            <w:tcW w:type="dxa" w:w="632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Código de uso único; pedido ao supervisor; reposição local</w:t>
            </w:r>
          </w:p>
        </w:tc>
      </w:tr>
      <w:tr>
        <w:trPr>
          <w:cantSplit/>
          <w:tblHeader w:val="false"/>
        </w:trPr>
        <w:tc>
          <w:tcPr>
            <w:tcW w:type="dxa" w:w="11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Outros</w:t>
            </w:r>
          </w:p>
        </w:tc>
        <w:tc>
          <w:tcPr>
            <w:tcW w:type="dxa" w:w="80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center"/>
            </w:pPr>
            <w:r>
              <w:rPr>
                <w:rFonts w:ascii="Times New Roman" w:cs="Times New Roman" w:eastAsia="Times New Roman" w:hAnsi="Times New Roman"/>
                <w:b w:val="false"/>
                <w:bCs w:val="false"/>
                <w:sz w:val="17"/>
                <w:szCs w:val="17"/>
              </w:rPr>
              <w:t xml:space="preserve">7</w:t>
            </w:r>
          </w:p>
        </w:tc>
        <w:tc>
          <w:tcPr>
            <w:tcW w:type="dxa" w:w="6320"/>
            <w:tcBorders>
              <w:top w:val="none" w:color="FFFFFF" w:sz="0"/>
              <w:left w:val="none" w:color="FFFFFF" w:sz="0"/>
              <w:bottom w:val="single" w:color="000000" w:sz="4"/>
              <w:right w:val="none" w:color="FFFFFF" w:sz="0"/>
            </w:tcBorders>
            <w:tcMar>
              <w:top w:type="dxa" w:w="50"/>
              <w:left w:type="dxa" w:w="80"/>
              <w:bottom w:type="dxa" w:w="50"/>
              <w:right w:type="dxa" w:w="80"/>
            </w:tcMar>
            <w:vAlign w:val="center"/>
          </w:tcPr>
          <w:p>
            <w:pPr>
              <w:spacing w:line="240"/>
              <w:jc w:val="left"/>
            </w:pPr>
            <w:r>
              <w:rPr>
                <w:rFonts w:ascii="Times New Roman" w:cs="Times New Roman" w:eastAsia="Times New Roman" w:hAnsi="Times New Roman"/>
                <w:b w:val="false"/>
                <w:bCs w:val="false"/>
                <w:sz w:val="17"/>
                <w:szCs w:val="17"/>
              </w:rPr>
              <w:t xml:space="preserve">Configuração sem segredos à vista; aspecto; visita guiada</w:t>
            </w:r>
          </w:p>
        </w:tc>
      </w:tr>
    </w:tbl>
    <w:sectPr>
      <w:headerReference w:type="default" r:id="rId39"/>
      <w:footerReference w:type="default" r:id="rId40"/>
      <w:type w:val="nextPage"/>
      <w:pgSz w:w="11906" w:h="16838" w:orient="portrait"/>
      <w:pgMar w:top="1701" w:right="1701" w:bottom="1417" w:left="1984" w:header="850" w:footer="567"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G</w:t>
      <w:fldChar w:fldCharType="begin"/>
      <w:instrText xml:space="preserve">PAGE</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A</w:t>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B</w:t>
      <w:fldChar w:fldCharType="begin"/>
      <w:instrText xml:space="preserve">PAGE</w:instrText>
      <w:fldChar w:fldCharType="separate"/>
      <w:fldChar w:fldCharType="end"/>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C</w:t>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D</w:t>
      <w:fldChar w:fldCharType="begin"/>
      <w:instrText xml:space="preserve">PAGE</w:instrText>
      <w:fldChar w:fldCharType="separate"/>
      <w:fldChar w:fldCharType="end"/>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E</w:t>
      <w:fldChar w:fldCharType="begin"/>
      <w:instrText xml:space="preserve">PAGE</w:instrText>
      <w:fldChar w:fldCharType="separate"/>
      <w:fldChar w:fldCharType="end"/>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F</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1 – Introdução</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2 – Revisão da literatura</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3 – Metodologia</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4 – Resultados e discussão</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5 – Conclusões</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Capítulo 6 – Recomendações</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Referências bibliográficas</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Glossário</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A – Excertos de código-fonte</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B – Guia de anotação</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C – Acordo entre anotadores</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D – Declaração dos anotadores</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E – Amostra anotada do corpus</w:t>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jc w:val="right"/>
    </w:pPr>
    <w:r>
      <w:rPr>
        <w:rFonts w:ascii="Times New Roman" w:cs="Times New Roman" w:eastAsia="Times New Roman" w:hAnsi="Times New Roman"/>
        <w:i/>
        <w:iCs/>
        <w:sz w:val="18"/>
        <w:szCs w:val="18"/>
      </w:rPr>
      <w:t xml:space="preserve">Apêndice F – Manual do protótipo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4"/>
      <w:szCs w:val="24"/>
    </w:rPr>
  </w:style>
  <w:style w:type="paragraph" w:styleId="LegendaTabela">
    <w:name w:val="LegendaTabela"/>
    <w:basedOn w:val="Normal"/>
    <w:rPr>
      <w:rFonts w:ascii="Times New Roman" w:cs="Times New Roman" w:eastAsia="Times New Roman" w:hAnsi="Times New Roman"/>
      <w:b/>
      <w:bCs/>
      <w:sz w:val="20"/>
      <w:szCs w:val="20"/>
    </w:rPr>
  </w:style>
  <w:style w:type="paragraph" w:styleId="LegendaFigura">
    <w:name w:val="LegendaFigura"/>
    <w:basedOn w:val="Normal"/>
    <w:rPr>
      <w:rFonts w:ascii="Times New Roman" w:cs="Times New Roman" w:eastAsia="Times New Roman" w:hAnsi="Times New Roman"/>
      <w:b/>
      <w:bCs/>
      <w:sz w:val="20"/>
      <w:szCs w:val="20"/>
    </w:rPr>
  </w:style>
  <w:style w:type="paragraph" w:styleId="TituloSemIndice">
    <w:name w:val="TituloSemIndice"/>
    <w:basedOn w:val="Normal"/>
    <w:rPr>
      <w:rFonts w:ascii="Times New Roman" w:cs="Times New Roman" w:eastAsia="Times New Roman" w:hAnsi="Times New Roman"/>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footer" Target="footer11.xml"/><Relationship Id="rId29" Type="http://schemas.openxmlformats.org/officeDocument/2006/relationships/header" Target="header12.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footer" Target="footer13.xml"/><Relationship Id="rId33" Type="http://schemas.openxmlformats.org/officeDocument/2006/relationships/header" Target="header14.xml"/><Relationship Id="rId34" Type="http://schemas.openxmlformats.org/officeDocument/2006/relationships/footer" Target="footer14.xml"/><Relationship Id="rId35" Type="http://schemas.openxmlformats.org/officeDocument/2006/relationships/header" Target="header15.xml"/><Relationship Id="rId36" Type="http://schemas.openxmlformats.org/officeDocument/2006/relationships/footer" Target="footer15.xml"/><Relationship Id="rId37" Type="http://schemas.openxmlformats.org/officeDocument/2006/relationships/header" Target="header16.xml"/><Relationship Id="rId38" Type="http://schemas.openxmlformats.org/officeDocument/2006/relationships/footer" Target="footer16.xml"/><Relationship Id="rId39" Type="http://schemas.openxmlformats.org/officeDocument/2006/relationships/header" Target="header17.xml"/><Relationship Id="rId40" Type="http://schemas.openxmlformats.org/officeDocument/2006/relationships/footer" Target="footer17.xml"/><Relationship Id="rId41" Type="http://schemas.openxmlformats.org/officeDocument/2006/relationships/image" Target="media/c816aef37e22984724a83e3e10c5dd351647ae01.png"/><Relationship Id="rId42" Type="http://schemas.openxmlformats.org/officeDocument/2006/relationships/image" Target="media/c109c6b9ce633d91afc6e89bbdb8ab4873404065.png"/><Relationship Id="rId43" Type="http://schemas.openxmlformats.org/officeDocument/2006/relationships/image" Target="media/5be778db715b7aa4e89c0d547cc98872a2b22911.png"/><Relationship Id="rId44" Type="http://schemas.openxmlformats.org/officeDocument/2006/relationships/image" Target="media/f3a51382c5cf1e4cbde2ae43cd64aa5a620ad4ff.png"/><Relationship Id="rId45" Type="http://schemas.openxmlformats.org/officeDocument/2006/relationships/image" Target="media/5d950866185848d2980b210f993a4b648df4ea71.png"/><Relationship Id="rId46" Type="http://schemas.openxmlformats.org/officeDocument/2006/relationships/image" Target="media/e17474243c328ebd835d6d2930973bcca8c1916e.png"/><Relationship Id="rId47" Type="http://schemas.openxmlformats.org/officeDocument/2006/relationships/image" Target="media/e7bca9b24f2643deb8c15aaca03c7976804397ec.png"/><Relationship Id="rId48" Type="http://schemas.openxmlformats.org/officeDocument/2006/relationships/image" Target="media/ed14317e7338b44f5b563c294fe1ad83a252e79c.png"/><Relationship Id="rId49" Type="http://schemas.openxmlformats.org/officeDocument/2006/relationships/image" Target="media/760dcdb0bcdc29efd263e9d80fa38c7a1268af70.png"/><Relationship Id="rId50" Type="http://schemas.openxmlformats.org/officeDocument/2006/relationships/image" Target="media/6cd90355a90d575798805a8f0cc9404567b41a6d.png"/><Relationship Id="rId51" Type="http://schemas.openxmlformats.org/officeDocument/2006/relationships/image" Target="media/54e2f39674e5da3a7f2e05f33d61775a0cea0edb.png"/><Relationship Id="rId52" Type="http://schemas.openxmlformats.org/officeDocument/2006/relationships/image" Target="media/bc6783565b89f7be4fec30e85afd5949b6d7914a.png"/><Relationship Id="rId53" Type="http://schemas.openxmlformats.org/officeDocument/2006/relationships/image" Target="media/0726c9ab28b87713202ffdf74a24b552f72c5b2e.png"/><Relationship Id="rId54" Type="http://schemas.openxmlformats.org/officeDocument/2006/relationships/image" Target="media/95b3dbf413b63a0eedf5f1ca9f4e92d6d0d189b7.png"/><Relationship Id="rId55" Type="http://schemas.openxmlformats.org/officeDocument/2006/relationships/image" Target="media/115dc5f3dd6cafdadaba5dd89c79eb1d3768a10d.png"/><Relationship Id="rId56" Type="http://schemas.openxmlformats.org/officeDocument/2006/relationships/image" Target="media/3ada2f9ff4d717b97e71d13c161f43fc88490f57.png"/><Relationship Id="rId57" Type="http://schemas.openxmlformats.org/officeDocument/2006/relationships/image" Target="media/2a9aeda44079fe022dfaa1ebbbb190c81bb7e08c.png"/><Relationship Id="rId5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
</file>

<file path=word/_rels/header16.xml.rels><?xml version="1.0" encoding="UTF-8"?><Relationships xmlns="http://schemas.openxmlformats.org/package/2006/relationships"/>
</file>

<file path=word/_rels/header17.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Monitoramento inteligente de ameaças em redes sociais em Angola</dc:title>
  <dc:creator>Manuel Gonga Muinga</dc:creator>
  <dc:description>Dissertação de Mestrado em Engenharia e Ciência de Dados, UAN, 2026</dc:description>
  <cp:lastModifiedBy>Un-named</cp:lastModifiedBy>
  <cp:revision>1</cp:revision>
  <dcterms:created xsi:type="dcterms:W3CDTF">2026-10-27T23:49:32.640Z</dcterms:created>
  <dcterms:modified xsi:type="dcterms:W3CDTF">2026-10-27T23:49:32.640Z</dcterms:modified>
</cp:coreProperties>
</file>

<file path=docProps/custom.xml><?xml version="1.0" encoding="utf-8"?>
<Properties xmlns="http://schemas.openxmlformats.org/officeDocument/2006/custom-properties" xmlns:vt="http://schemas.openxmlformats.org/officeDocument/2006/docPropsVTypes"/>
</file>