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rPr>
              <w:t xml:space="preserve">[n.º]</w:t>
            </w:r>
            <w:r>
              <w:rPr>
                <w:rFonts w:ascii="Times New Roman" w:cs="Times New Roman" w:eastAsia="Times New Roman" w:hAnsi="Times New Roman"/>
                <w:sz w:val="20"/>
                <w:szCs w:val="20"/>
              </w:rPr>
              <w:t xml:space="preserve"> p.;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Detecção de discurso de ódio. 3. Desinformação. 4. BERTimbau. 5. Processamento de linguagem natural.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É permitida a reprodução total ou parcial deste documento para fins académicos e não comerciais, desde que citada a fonte.</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"A informação é a moeda do século XXI. Quem a controla, controla o futuro."</w:t>
      </w:r>
    </w:p>
    <w:p>
      <w:pPr>
        <w:ind w:left="4110"/>
        <w:jc w:val="right"/>
      </w:pPr>
      <w:r>
        <w:rPr>
          <w:rFonts w:ascii="Times New Roman" w:cs="Times New Roman" w:eastAsia="Times New Roman" w:hAnsi="Times New Roman"/>
          <w:sz w:val="22"/>
          <w:szCs w:val="22"/>
        </w:rPr>
        <w:t xml:space="preserve">Adaptado de Peter Drucker</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Tenente 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AUTORIZAÇÃO INSTITUCIONAL DO PROJECTO</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sz w:val="24"/>
          <w:szCs w:val="24"/>
          <w:highlight w:val="yellow"/>
        </w:rPr>
        <w:t xml:space="preserve">[Inserir aqui o documento de autorização institucional digitalizado.]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jc w:val="both"/>
      </w:pPr>
      <w:r>
        <w:rPr>
          <w:rFonts w:ascii="Times New Roman" w:cs="Times New Roman" w:eastAsia="Times New Roman" w:hAnsi="Times New Roman"/>
          <w:sz w:val="24"/>
          <w:szCs w:val="24"/>
        </w:rPr>
        <w:t xml:space="preserve">Em Angola, as redes sociais passaram a ser também um lugar onde a desinformação, o discurso de ódio e os apelos à mobilização hostil circulam ao lado da conversa de todos os dias. Com cerca de 5,5 milhões de identidades activas no final de 2025, há mais publicações do que uma equipa de analistas consegue ler. Esta dissertação desenvolve e avalia um sistema que ajuda a fazer a triagem dessas publicações, pensado para ordenar o trabalho do analista e não para o substituir. Construiu-se um corpus de 2.637 publicações públicas angolanas, na sua maioria comentários do YouTube, anotadas por três anotadores em quatro categorias (Normal, Desinformação, Discurso de Ódio e Mobilização Hostil), com κ de Fleiss de 0,718. Este corpus foi juntado a três corpora públicos do português do Brasil (HateBR, ToLD-BR e Fake.br), num total de 26.859 registos, e serviu para comparar quatro classificadores: SVM, Floresta Aleatória, Bi-LSTM e BERTimbau. No conjunto de teste (n = 3.987), o BERTimbau obteve F1-macro de 0,807 (IC 95% de 0,774 a 0,838), entre 14,6 e 17,4 pontos percentuais acima dos outros modelos (teste de McNemar com correcção de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enquanto o Bi-LSTM não se distinguiu da Floresta Aleatória. Nas publicações angolanas, porém, o F1-macro do BERTimbau caiu para 0,533, contra 0,919 no corpus público, uma diferença de 38,6 pontos percentuais. A queda foi maior na Desinformação, sinal de que o modelo aprendeu sobretudo o estilo das notícias do Fake.br. Com base nestes resultados, desenvolveu-se uma aplicação web com contas individuais, anonimização à entrada conforme a Lei n.º 22/11, registo de proveniência, auditoria e uma fila de revisão ordenada por prioridade, sem decisões automáticas. As ameaças confirmadas pelos analistas geram alertas na aplicação e por e-mail, e um mapa por província mostra a sua concentração e evolução. Num computador sem GPU, o sistema processou cada publicação em cerca de 0,63 segundos e, gravando as classificações por sublotes, pôs as primeiras publicações na fila em 36 segundos, o que confirma com condições a hipótese sobre o tempo de processamento. A antecedência de detecção não foi testada. Os principais contributos são o corpus angolano anotado, a medida da lacuna de domínio e uma arquitectura reprodutível e de baixo custo para triagem com revisão humana.</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Discurso de ódio. Desinformação. BERTimbau. Adaptação de domínio. Português de Angola.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sz w:val="24"/>
          <w:szCs w:val="24"/>
        </w:rPr>
        <w:t xml:space="preserve">In Angola, social media have also become a place where disinformation, hate speech and calls for hostile mobilisation circulate alongside everyday conversation. With about 5.5 million active identities at the end of 2025, there are more posts than a team of analysts can read. This dissertation develops and evaluates a system that helps triage these posts, designed to order the analyst's work rather than replace it. A corpus of 2,637 public Angolan posts, mostly YouTube comments, was built and annotated by three annotators into four categories (Normal, Disinformation, Hate Speech and Hostile Mobilisation), with a Fleiss' kappa of 0.718. It was combined with three public Brazilian Portuguese corpora (HateBR, ToLD-BR and Fake.br), for a total of 26,859 records, and used to compare four classifiers: SVM, Random Forest, Bi-LSTM and BERTimbau. On the test set (n = 3,987), BERTimbau reached a macro-F1 of 0.807 (95% CI 0.774 to 0.838), between 14.6 and 17.4 percentage points above the other models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while the Bi-LSTM did not differ from the Random Forest. On Angolan posts, however, BERTimbau's macro-F1 fell to 0.533, against 0.919 on the public corpus, a gap of 38.6 percentage points. The drop was largest for disinformation, a sign that the model learned mainly the style of the Fake.br news articles. Building on these results, a web application was developed with individual accounts, anonymisation at ingestion in line with Angolan Law No. 22/11, provenance records, auditing and a review queue ordered by priority, with no automatic decisions. Threats confirmed by analysts trigger alerts in the application and by e-mail, and a province map shows their concentration and change over time. On a computer without a GPU, the system processed each post in about 0.63 seconds and, by writing classifications in sub-batches, placed the first posts in the queue within 36 seconds, which conditionally supports the processing-time hypothesis. Early warning was not tested. The main contributions are the annotated Angolan corpus, the measurement of the domain gap and a reproducible, low-cost architecture for human-in-the-loop triage.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Disinformation. BERTimbau. Domain adaptation. Angolan Portuguese.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CRA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Constituição da República de Angola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SQL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consulta estruturada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instrText xml:space="preserve">TOC \h \o "1-3"</w:instrText>
            <w:fldChar w:fldCharType="separate"/>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1 – INTRODUÇÃO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1.1 Contextualização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1.2 Problema de investigação</w:t>
          </w:r>
          <w:r>
            <w:rPr>
              <w:rFonts w:ascii="Times New Roman" w:hAnsi="Times New Roman" w:cs="Times New Roman"/>
              <w:sz w:val="24"/>
              <w:szCs w:val="24"/>
            </w:rPr>
            <w:tab/>
          </w:r>
          <w:r>
            <w:rPr>
              <w:rFonts w:ascii="Times New Roman" w:hAnsi="Times New Roman" w:cs="Times New Roman"/>
              <w:sz w:val="24"/>
              <w:szCs w:val="24"/>
            </w:rPr>
            <w:t>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1.3 Hipóteses de investigação</w:t>
          </w:r>
          <w:r>
            <w:rPr>
              <w:rFonts w:ascii="Times New Roman" w:hAnsi="Times New Roman" w:cs="Times New Roman"/>
              <w:sz w:val="24"/>
              <w:szCs w:val="24"/>
            </w:rPr>
            <w:tab/>
          </w:r>
          <w:r>
            <w:rPr>
              <w:rFonts w:ascii="Times New Roman" w:hAnsi="Times New Roman" w:cs="Times New Roman"/>
              <w:sz w:val="24"/>
              <w:szCs w:val="24"/>
            </w:rPr>
            <w:t>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1.4 Objectivos</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1.4.1 Objectivo geral</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1.4.2 Objectivos específicos</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1.5 Justificação e relevância</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1.6 Delimitação do estudo</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1.7 Estrutura da dissertação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2 – REVISÃO DA LITERATURA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 Redes sociais: conceito, evolução e dimensão securitária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2.1.1 Conceito e evolução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2.1.2 O ecossistema digital angolano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2.2 Categorias de ameaças digitais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2.3 Sistemas de monitorização de ameaças</w:t>
          </w:r>
          <w:r>
            <w:rPr>
              <w:rFonts w:ascii="Times New Roman" w:hAnsi="Times New Roman" w:cs="Times New Roman"/>
              <w:sz w:val="24"/>
              <w:szCs w:val="24"/>
            </w:rPr>
            <w:tab/>
          </w:r>
          <w:r>
            <w:rPr>
              <w:rFonts w:ascii="Times New Roman" w:hAnsi="Times New Roman" w:cs="Times New Roman"/>
              <w:sz w:val="24"/>
              <w:szCs w:val="24"/>
            </w:rPr>
            <w:t>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2.4 Recursos e modelos de linguagem para o português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2.4.1 Corpora anotados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2.4.2 Modelos de linguagem</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2.5 Algoritmos de classificação de texto</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2.6 Avaliação de classificadores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2.7 Generalização entre domínios e aprendizagem de atalhos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2.8 Aspectos éticos, legais e de direitos humanos</w:t>
          </w:r>
          <w:r>
            <w:rPr>
              <w:rFonts w:ascii="Times New Roman" w:hAnsi="Times New Roman" w:cs="Times New Roman"/>
              <w:sz w:val="24"/>
              <w:szCs w:val="24"/>
            </w:rPr>
            <w:tab/>
          </w:r>
          <w:r>
            <w:rPr>
              <w:rFonts w:ascii="Times New Roman" w:hAnsi="Times New Roman" w:cs="Times New Roman"/>
              <w:sz w:val="24"/>
              <w:szCs w:val="24"/>
            </w:rPr>
            <w:t>12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2.9 Síntese e lacuna de investigação</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3 – METODOLOGIA</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 Paradigma e desenho da investigação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3.2 Considerações éticas e protecção de dados</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3.3 Recolha de dados do piloto angolano</w:t>
          </w:r>
          <w:r>
            <w:rPr>
              <w:rFonts w:ascii="Times New Roman" w:hAnsi="Times New Roman" w:cs="Times New Roman"/>
              <w:sz w:val="24"/>
              <w:szCs w:val="24"/>
            </w:rPr>
            <w:tab/>
          </w:r>
          <w:r>
            <w:rPr>
              <w:rFonts w:ascii="Times New Roman" w:hAnsi="Times New Roman" w:cs="Times New Roman"/>
              <w:sz w:val="24"/>
              <w:szCs w:val="24"/>
            </w:rPr>
            <w:t>16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3.4 Anotação e acordo entre anotadores</w:t>
          </w:r>
          <w:r>
            <w:rPr>
              <w:rFonts w:ascii="Times New Roman" w:hAnsi="Times New Roman" w:cs="Times New Roman"/>
              <w:sz w:val="24"/>
              <w:szCs w:val="24"/>
            </w:rPr>
            <w:tab/>
          </w:r>
          <w:r>
            <w:rPr>
              <w:rFonts w:ascii="Times New Roman" w:hAnsi="Times New Roman" w:cs="Times New Roman"/>
              <w:sz w:val="24"/>
              <w:szCs w:val="24"/>
            </w:rPr>
            <w:t>17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3.5 Construção do corpus híbrido</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3.6 Modelos e treino</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3.6.1 Pré-processamento e representação</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3.6.2 Configuração dos modelos</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3.6.3 Ambiente de desenvolvimento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3.7 Protocolo de avaliação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3.8 Arquitectura do sistema</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3.8.1 Requisitos</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3.8.2 Alternativas e decisão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3.8.3 Camadas e componentes</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3.8.4 Casos de uso e fluxo de processamento</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3.8.5 Interface do analista</w:t>
          </w:r>
          <w:r>
            <w:rPr>
              <w:rFonts w:ascii="Times New Roman" w:hAnsi="Times New Roman" w:cs="Times New Roman"/>
              <w:sz w:val="24"/>
              <w:szCs w:val="24"/>
            </w:rPr>
            <w:tab/>
          </w:r>
          <w:r>
            <w:rPr>
              <w:rFonts w:ascii="Times New Roman" w:hAnsi="Times New Roman" w:cs="Times New Roman"/>
              <w:sz w:val="24"/>
              <w:szCs w:val="24"/>
            </w:rPr>
            <w:t>28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3.9 Plano de testes e avaliação operacional</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3.10 Plano de implementação faseada</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4 – RESULTADOS E DISCUSSÃO</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4.1 Corpus de avaliação e protocolo experimental</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4.2 Desempenho global dos modelos</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4.3 Significância estatística das diferenças</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4.4 Desempenho por categoria e análise de erros</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4.5 Análises de robustez</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4.5.1 Variabilidade entre sementes, ensemble e ablações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4.5.2 Ajuste de limiares de decisão</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4.6 Lacuna de domínio: piloto angolano e corpus público (Hipótese H4)</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4.7 Avaliação operacional do sistema (Hipóteses H2 e H3)</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4.7.1 Tempo de processamento (H2)</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4.7.2 Antecedência de detecção (H3)</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4.7.3 Implicações para o desenho operacional</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4.8 Discussão e verificação formal das hipóteses</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5 – CONCLUSÕES E RECOMENDAÇÕES</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5.1 Síntese dos objectivos</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5.2 Resposta às hipóteses</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5.3 Contributos</w:t>
          </w:r>
          <w:r>
            <w:rPr>
              <w:rFonts w:ascii="Times New Roman" w:hAnsi="Times New Roman" w:cs="Times New Roman"/>
              <w:sz w:val="24"/>
              <w:szCs w:val="24"/>
            </w:rPr>
            <w:tab/>
          </w:r>
          <w:r>
            <w:rPr>
              <w:rFonts w:ascii="Times New Roman" w:hAnsi="Times New Roman" w:cs="Times New Roman"/>
              <w:sz w:val="24"/>
              <w:szCs w:val="24"/>
            </w:rPr>
            <w:t>48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5.4 Limitações</w:t>
          </w:r>
          <w:r>
            <w:rPr>
              <w:rFonts w:ascii="Times New Roman" w:hAnsi="Times New Roman" w:cs="Times New Roman"/>
              <w:sz w:val="24"/>
              <w:szCs w:val="24"/>
            </w:rPr>
            <w:tab/>
          </w:r>
          <w:r>
            <w:rPr>
              <w:rFonts w:ascii="Times New Roman" w:hAnsi="Times New Roman" w:cs="Times New Roman"/>
              <w:sz w:val="24"/>
              <w:szCs w:val="24"/>
            </w:rPr>
            <w:t>48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5.5 Recomendações e trabalho futuro</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5.6 Considerações finais</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REFERÊNCIAS BIBLIOGRÁFICAS</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GLOSSÁRIO</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A – EXCERTOS DE CÓDIGO-FONTE</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A.1 Anonimização à entrada</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A.2 Classificação em lote com o BERTimbau</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A.3 Prioridade e classificação das publicações pendentes</w:t>
          </w:r>
          <w:r>
            <w:rPr>
              <w:rFonts w:ascii="Times New Roman" w:hAnsi="Times New Roman" w:cs="Times New Roman"/>
              <w:sz w:val="24"/>
              <w:szCs w:val="24"/>
            </w:rPr>
            <w:tab/>
          </w:r>
          <w:r>
            <w:rPr>
              <w:rFonts w:ascii="Times New Roman" w:hAnsi="Times New Roman" w:cs="Times New Roman"/>
              <w:sz w:val="24"/>
              <w:szCs w:val="24"/>
            </w:rPr>
            <w:t>A2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A.4 Métricas operacionais</w:t>
          </w:r>
          <w:r>
            <w:rPr>
              <w:rFonts w:ascii="Times New Roman" w:hAnsi="Times New Roman" w:cs="Times New Roman"/>
              <w:sz w:val="24"/>
              <w:szCs w:val="24"/>
            </w:rPr>
            <w:tab/>
          </w:r>
          <w:r>
            <w:rPr>
              <w:rFonts w:ascii="Times New Roman" w:hAnsi="Times New Roman" w:cs="Times New Roman"/>
              <w:sz w:val="24"/>
              <w:szCs w:val="24"/>
            </w:rPr>
            <w:t>A2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B – GUIA DE ANOTAÇÃO PADRONIZADO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B.1 Identificação do projecto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B.2 Objectivo da anotação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B.3 Categorias</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B.3.1 Normal (rótulo Normal)</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B.3.2 Desinformação (rótulo Desinformacao)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B.3.3 Discurso de ódio (rótulo Odio)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B.3.4 Mobilização hostil (rótulo Mobilizacao)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B.4 Casos limítrofes</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B.5 Regras de desempate</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B.6 Instruções de preenchimento</w:t>
          </w:r>
          <w:r>
            <w:rPr>
              <w:rFonts w:ascii="Times New Roman" w:hAnsi="Times New Roman" w:cs="Times New Roman"/>
              <w:sz w:val="24"/>
              <w:szCs w:val="24"/>
            </w:rPr>
            <w:tab/>
          </w:r>
          <w:r>
            <w:rPr>
              <w:rFonts w:ascii="Times New Roman" w:hAnsi="Times New Roman" w:cs="Times New Roman"/>
              <w:sz w:val="24"/>
              <w:szCs w:val="24"/>
            </w:rPr>
            <w:t>B3</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C – ACORDO ENTRE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C.1 Escala de interpretação</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C.2 Fórmulas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C.3 Resultados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C.4 Distribuição das etiquetas finais</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D – DECLARAÇÃO DE CONSENTIMENTO E CONFIDENCIALIDADE DOS ANOTADORES</w:t>
          </w:r>
          <w:r>
            <w:rPr>
              <w:rFonts w:ascii="Times New Roman" w:hAnsi="Times New Roman" w:cs="Times New Roman"/>
              <w:sz w:val="24"/>
              <w:szCs w:val="24"/>
            </w:rPr>
            <w:tab/>
          </w:r>
          <w:r>
            <w:rPr>
              <w:rFonts w:ascii="Times New Roman" w:hAnsi="Times New Roman" w:cs="Times New Roman"/>
              <w:sz w:val="24"/>
              <w:szCs w:val="24"/>
            </w:rPr>
            <w:t>D1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E – AMOSTRA ANOTADA DO CORPUS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F – MANUAL DE INSTALAÇÃO E UTILIZAÇÃO DO SISTEMA</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F.1 Instalação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F.2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F.3 Arranque e primeira utilização</w:t>
          </w:r>
          <w:r>
            <w:rPr>
              <w:rFonts w:ascii="Times New Roman" w:hAnsi="Times New Roman" w:cs="Times New Roman"/>
              <w:sz w:val="24"/>
              <w:szCs w:val="24"/>
            </w:rPr>
            <w:tab/>
          </w:r>
          <w:r>
            <w:rPr>
              <w:rFonts w:ascii="Times New Roman" w:hAnsi="Times New Roman" w:cs="Times New Roman"/>
              <w:sz w:val="24"/>
              <w:szCs w:val="24"/>
            </w:rPr>
            <w:t>F2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F.4 Recolha de novos dados</w:t>
          </w:r>
          <w:r>
            <w:rPr>
              <w:rFonts w:ascii="Times New Roman" w:hAnsi="Times New Roman" w:cs="Times New Roman"/>
              <w:sz w:val="24"/>
              <w:szCs w:val="24"/>
            </w:rPr>
            <w:tab/>
          </w:r>
          <w:r>
            <w:rPr>
              <w:rFonts w:ascii="Times New Roman" w:hAnsi="Times New Roman" w:cs="Times New Roman"/>
              <w:sz w:val="24"/>
              <w:szCs w:val="24"/>
            </w:rPr>
            <w:t>F3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F.5 Alertas, mapa e relatório</w:t>
          </w:r>
          <w:r>
            <w:rPr>
              <w:rFonts w:ascii="Times New Roman" w:hAnsi="Times New Roman" w:cs="Times New Roman"/>
              <w:sz w:val="24"/>
              <w:szCs w:val="24"/>
            </w:rPr>
            <w:tab/>
          </w:r>
          <w:r>
            <w:rPr>
              <w:rFonts w:ascii="Times New Roman" w:hAnsi="Times New Roman" w:cs="Times New Roman"/>
              <w:sz w:val="24"/>
              <w:szCs w:val="24"/>
            </w:rPr>
            <w:t>F3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F.6 Linha de comandos</w:t>
          </w:r>
          <w:r>
            <w:rPr>
              <w:rFonts w:ascii="Times New Roman" w:hAnsi="Times New Roman" w:cs="Times New Roman"/>
              <w:sz w:val="24"/>
              <w:szCs w:val="24"/>
            </w:rPr>
            <w:tab/>
          </w:r>
          <w:r>
            <w:rPr>
              <w:rFonts w:ascii="Times New Roman" w:hAnsi="Times New Roman" w:cs="Times New Roman"/>
              <w:sz w:val="24"/>
              <w:szCs w:val="24"/>
            </w:rPr>
            <w:t>F3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F.7 Guardar o modelo depois do treino</w:t>
          </w:r>
          <w:r>
            <w:rPr>
              <w:rFonts w:ascii="Times New Roman" w:hAnsi="Times New Roman" w:cs="Times New Roman"/>
              <w:sz w:val="24"/>
              <w:szCs w:val="24"/>
            </w:rPr>
            <w:tab/>
          </w:r>
          <w:r>
            <w:rPr>
              <w:rFonts w:ascii="Times New Roman" w:hAnsi="Times New Roman" w:cs="Times New Roman"/>
              <w:sz w:val="24"/>
              <w:szCs w:val="24"/>
            </w:rPr>
            <w:t>F4</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instrText xml:space="preserve">TOC \h \t "LegendaTabela,1"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1.1 – Correspondência entre objectivos específicos e hipóteses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2.1 – Algoritmos de classificação comparados</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3.1 – Configuração dos modelos</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3.2 – Ambiente de desenvolvimento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3.3 – Requisitos do sistema</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3.4 – Comparação das arquitecturas consideradas</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3.5 – Plano de implementação faseada</w:t>
          </w:r>
          <w:r>
            <w:rPr>
              <w:rFonts w:ascii="Times New Roman" w:hAnsi="Times New Roman" w:cs="Times New Roman"/>
              <w:sz w:val="24"/>
              <w:szCs w:val="24"/>
            </w:rPr>
            <w:tab/>
          </w:r>
          <w:r>
            <w:rPr>
              <w:rFonts w:ascii="Times New Roman" w:hAnsi="Times New Roman" w:cs="Times New Roman"/>
              <w:sz w:val="24"/>
              <w:szCs w:val="24"/>
            </w:rPr>
            <w:t>32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 – Composição do corpus harmonizado por fonte e categoria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4.2 – Desempenho dos modelos no conjunto de teste</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4.3 – Comparações emparelhadas: diferença de F1-macro e teste de McNemar</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4.4 – F1 por categoria e modelo; precisão e sensibilidade do BERTimbau</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4.5 – Variantes do BERTimbau: validação, teste e comparação com a referência</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4.6 – Efeito do ajuste de limiares no F1-macro</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4.7 – Desempenho do BERTimbau no piloto angolano e no corpus público</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4.8 – Tempo de processamento do protótipo com o modelo do sistema</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4.9 – Verificação formal das hipóteses de investigação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5.1 – Cumprimento dos objectivos específicos</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C.1 – Escala de interpretação do Kappa (Landis &amp; Koch, 1977)</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C.2 – Acordo entre os três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C.3 – Acordo por par de anotadores e por categoria (amostras aleatórias, n = 2.443)</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C.4 – Distribuição das etiquetas finais do corpus angolano</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E.1 – Amostra de comentários anotados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F.1 – Variáveis de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F.2 – Páginas da aplicação web</w:t>
          </w:r>
          <w:r>
            <w:rPr>
              <w:rFonts w:ascii="Times New Roman" w:hAnsi="Times New Roman" w:cs="Times New Roman"/>
              <w:sz w:val="24"/>
              <w:szCs w:val="24"/>
            </w:rPr>
            <w:tab/>
          </w:r>
          <w:r>
            <w:rPr>
              <w:rFonts w:ascii="Times New Roman" w:hAnsi="Times New Roman" w:cs="Times New Roman"/>
              <w:sz w:val="24"/>
              <w:szCs w:val="24"/>
            </w:rPr>
            <w:t>F2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F.3 – Comandos do sistema</w:t>
          </w:r>
          <w:r>
            <w:rPr>
              <w:rFonts w:ascii="Times New Roman" w:hAnsi="Times New Roman" w:cs="Times New Roman"/>
              <w:sz w:val="24"/>
              <w:szCs w:val="24"/>
            </w:rPr>
            <w:tab/>
          </w:r>
          <w:r>
            <w:rPr>
              <w:rFonts w:ascii="Times New Roman" w:hAnsi="Times New Roman" w:cs="Times New Roman"/>
              <w:sz w:val="24"/>
              <w:szCs w:val="24"/>
            </w:rPr>
            <w:t>F3</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instrText xml:space="preserve">TOC \h \t "LegendaFigura,1"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1.1 – Indicadores do ecossistema digital angolano (Outubro de 2025)</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 – Desenho da investigação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3.2 – Construção do corpus híbrido e divisão em treino, validação e teste</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3.3 – Arquitectura em camadas do sistema de triagem</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3.4 – Modelo de dados do sistema</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3.5 – Diagrama de casos de uso (UML)</w:t>
          </w:r>
          <w:r>
            <w:rPr>
              <w:rFonts w:ascii="Times New Roman" w:hAnsi="Times New Roman" w:cs="Times New Roman"/>
              <w:sz w:val="24"/>
              <w:szCs w:val="24"/>
            </w:rPr>
            <w:tab/>
          </w:r>
          <w:r>
            <w:rPr>
              <w:rFonts w:ascii="Times New Roman" w:hAnsi="Times New Roman" w:cs="Times New Roman"/>
              <w:sz w:val="24"/>
              <w:szCs w:val="24"/>
            </w:rPr>
            <w:t>27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3.6 – Diagrama de sequência (UML): da recolha à revisão</w:t>
          </w:r>
          <w:r>
            <w:rPr>
              <w:rFonts w:ascii="Times New Roman" w:hAnsi="Times New Roman" w:cs="Times New Roman"/>
              <w:sz w:val="24"/>
              <w:szCs w:val="24"/>
            </w:rPr>
            <w:tab/>
          </w:r>
          <w:r>
            <w:rPr>
              <w:rFonts w:ascii="Times New Roman" w:hAnsi="Times New Roman" w:cs="Times New Roman"/>
              <w:sz w:val="24"/>
              <w:szCs w:val="24"/>
            </w:rPr>
            <w:t>28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3.7 – Fila de revisão na aplicação web</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3.8 – Mapa por província na aplicação web</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4.1 – Curvas ROC um-contra-todos por categoria e modelo (conjunto de teste; AUC entre parêntesis)</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4.2 – Matrizes de confusão (4 × 4) no conjunto de teste (contagens e percentagem por linha)</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4.3 – F1 por categoria do BERTimbau no corpus público e no piloto angolano (conjunto de teste)</w:t>
          </w:r>
          <w:r>
            <w:rPr>
              <w:rFonts w:ascii="Times New Roman" w:hAnsi="Times New Roman" w:cs="Times New Roman"/>
              <w:sz w:val="24"/>
              <w:szCs w:val="24"/>
            </w:rPr>
            <w:tab/>
          </w:r>
          <w:r>
            <w:rPr>
              <w:rFonts w:ascii="Times New Roman" w:hAnsi="Times New Roman" w:cs="Times New Roman"/>
              <w:sz w:val="24"/>
              <w:szCs w:val="24"/>
            </w:rPr>
            <w:t>41</w:t>
          </w:r>
        </w:p>
        <w:p>
          <w:r>
            <w:fldChar w:fldCharType="end"/>
          </w:r>
        </w:p>
      </w:sdtContent>
    </w:sdt>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Por isso, em quase todos os países com acesso generalizado à Internet, as plataformas digitais passaram também a ser assunto de segurança nacional.</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Facebook é a plataforma com maior alcance publicitário, seguido do TikTok, e as ligações móveis (30,6 milhões) superam largamente o número de computadores, o que faz do telemóvel o principal ponto de acesso. A Figura 1.1 resume estes indicadores.</w:t>
      </w:r>
    </w:p>
    <w:p>
      <w:pPr>
        <w:keepNext/>
        <w:spacing w:after="40" w:before="160"/>
        <w:jc w:val="center"/>
      </w:pPr>
      <w:r>
        <w:drawing>
          <wp:inline distT="0" distB="0" distL="0" distR="0">
            <wp:extent cx="5038725" cy="2524125"/>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038725" cy="25241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Nos dois casos, a mobilização começou na Internet e só alguns dias depois chegou às ruas.</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uma dimensão técnica e outra operacional. Do lado técnico,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Do lado operacional, mesmo um bom classificador comete erros, e esses erros não custam todos o mesmo.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A pergunta de partida é, assim, a seguinte: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As hipóteses foram formuladas para serem refutáveis e para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spacing w:after="120" w:before="0" w:line="360"/>
        <w:ind w:firstLine="567"/>
        <w:jc w:val="both"/>
      </w:pPr>
      <w:r>
        <w:rPr>
          <w:rFonts w:ascii="Times New Roman" w:cs="Times New Roman" w:eastAsia="Times New Roman" w:hAnsi="Times New Roman"/>
          <w:sz w:val="24"/>
          <w:szCs w:val="24"/>
        </w:rPr>
        <w:t xml:space="preserve">A H4 compara o conteúdo angolano no seu todo com o conteúdo dos corpora públicos. Uma comparação mais fina, por exemplo entre comentários com e sem calão urbano ou com e sem palavras de línguas nacionais, exigiria uma marcação que o corpus anotado não tem, e fica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comentários públicos angolanos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conteúdo angolano e conteúdo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serviço de inferência, alertas e mapa por província,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(protocolo definido)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Em termos operacionais, uma ferramenta que ordene as publicações por probabilidade de serem problemáticas reduz o tempo que o analista gasta com conteúdo irrelevante, sem lhe retirar a decisão.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No plano institucional e jurídico, o trabalho mostra que é possível conceber estes sistemas com salvaguardas concretas: anonimização à entrada, registo de proveniência, prazos de conservação, auditoria e proibição de decisões automáticas sobre pessoas. Sem elas, um sistema deste tipo dificilmente seria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é formado sobretudo por comentários públicos do YouTube, recolhidos pela interface oficial da plataforma, e por um conjunto menor de publicações recolhidas manualmente em páginas públicas. Não foram recolhidas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sistemas de monitorização, corpora e modelos para o português, métodos de avaliação e enquadramento ético e legal. O Capítulo 3 descreve a metodologia: a construção do corpus, a anotação, os modelos, o protocolo de avaliação e a arquitectura do sistema. O Capítulo 4 apresenta e discute os resultados e verifica as hipóteses. O Capítulo 5 sintetiza as conclusões, as limitações e as recomendações. Os apêndices reúnem excertos de código, o guia de anotação, os dados de acordo entre anotadores, a declaração dos anotadores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e do problema da generalização entre domínios. Termina com o enquadramento ético e legal e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 Uma década depois, esta forma de coordenação deixou de ser excepcional e faz parte do funcionamento corrente das redes.</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O acesso faz-se sobretudo por telemóvel. A concentração urbana dos utilizadores, em especial em Luanda, significa que o que se discute online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Dois episódios marcaram a relação entre redes sociais e segurança em Angola. A campanha «2022 Vais Gostar» começou online e resultou em manifestações simultâneas em várias províncias (Hassane, 2021). Nos protestos de Agosto de 2025, foram referidos conteúdos sintéticos usados para influenciar a narrativa pública (Cintra, 2025).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 Taxonomias mais finas, com subcategorias por alvo ou por grau de urgência, deixariam poucas amostras por classe e tornariam os alertas mais difíceis de interpretar.</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Num país com dezenas de grupos etnolinguísticos, como Angola, o discurso que opõe grupos entre si tem relevância securitária própria (Elias, 2019).</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ameacem a ordem pública (Hassane, 2021; Sette Câmara, 2016).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infra-estrutura e de um fornecedor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 componente automático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Esta dimensão relacional não foi implementada no protótipo desta dissertação, que trabalha ao nível da publicação individual, mas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 Esta observação orienta o desenho do sistema proposto: em vez de procurar a máxima cobertura, procura-se um fluxo de trabalho auditável, com o analista no centro.</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O efeito não se resolve apenas com o ajuste fino, porque este parte das representações aprendidas no pré-treino.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é menos comum em texto, mas útil como segunda referência clássica e pela interpretabilidade da importância dos termos.</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permite, assim, separar em parte o efeito da arquitectura sequencial do efeito do pré-treino.</w:t>
      </w:r>
    </w:p>
    <w:p>
      <w:pPr>
        <w:spacing w:after="120" w:before="0" w:line="360"/>
        <w:ind w:firstLine="567"/>
        <w:jc w:val="both"/>
      </w:pPr>
      <w:r>
        <w:rPr>
          <w:rFonts w:ascii="Times New Roman" w:cs="Times New Roman" w:eastAsia="Times New Roman" w:hAnsi="Times New Roman"/>
          <w:sz w:val="24"/>
          <w:szCs w:val="24"/>
        </w:rPr>
        <w:t xml:space="preserve">A manutenção de modelos clássicos tem também uma razão prática. Num sistema operacional, um modelo leve que corre em CPU pode servir de contingência quando a GPU não está disponível, desde que se conheça e se aceite a perda de desempenho que isso implica.</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da categoria Normal. Reportam-se também o F1 ponderado, a exactidão, a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 embora os próprios autores a apresentem como indicativa.</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foi formulada para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A tecnologia, por si, não resolve essa tensão. Resolvem-na regras claras sobre o que se recolhe, sobre o modo como a informação é tratada e sobre quem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spacing w:after="120" w:before="0" w:line="360"/>
        <w:ind w:firstLine="567"/>
        <w:jc w:val="both"/>
      </w:pPr>
      <w:r>
        <w:rPr>
          <w:rFonts w:ascii="Times New Roman" w:cs="Times New Roman" w:eastAsia="Times New Roman" w:hAnsi="Times New Roman"/>
          <w:sz w:val="24"/>
          <w:szCs w:val="24"/>
        </w:rPr>
        <w:t xml:space="preserve">O risco mais imediato é o falso positivo na Mobilização Hostil. Uma convocatória para uma manifestação pacífica partilha com uma convocatória hostil muitos dos marcadores superficiais (urgência, data, local, apelo colectivo). Nenhum classificador actual resolve esta ambiguidade com a fiabilidade necessária para fundamentar uma acção institucional sem revisão humana.</w:t>
      </w:r>
    </w:p>
    <w:p>
      <w:pPr>
        <w:pStyle w:val="Heading2"/>
        <w:keepNext/>
        <w:keepLines/>
        <w:spacing w:after="160" w:before="360" w:line="300"/>
      </w:pPr>
      <w:r>
        <w:rPr>
          <w:rFonts w:ascii="Times New Roman" w:cs="Times New Roman" w:eastAsia="Times New Roman" w:hAnsi="Times New Roman"/>
          <w:b/>
          <w:bCs/>
          <w:sz w:val="26"/>
          <w:szCs w:val="26"/>
        </w:rPr>
        <w:t xml:space="preserve">2.9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das redes sociais. Por fim, sabe-se que os classificadores de conteúdo nocivo generalizam mal entre domínios,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Esta dissertação procura, por isso, fazer duas coisas: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a investigação foi conduzida: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neste capítulo. A componente de engenharia (o protótipo) é avaliada por testes automáticos e pela sua conformidade com requisitos explícitos.</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5581650" cy="333375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3337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apenas conteúdos públicos: comentários do YouTube, obtidos pela interface oficial, e publicações copiadas manualmente de páginas acessíveis sem autenticação.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irreversíveis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a revisão foi feita depois do treino, com o script mascarar_nomes_lote_tema.py: em 24 dos 194 comentários, os nomes de comentadores de programas televisivos, de um activista e de uma outra pessoa foram substituídos por descritores (31 substituições), e mantiveram-se os de figuras políticas e históricas. O modelo foi treinado com o texto anterior a esta revisão. Como o lote só entra no treino, as métricas de teste não são afectadas.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A maior parte dos dados angolanos foi recolhida no YouTube, plataforma onde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Descoberta.</w:t>
      </w:r>
      <w:r>
        <w:rPr>
          <w:rFonts w:ascii="Times New Roman" w:cs="Times New Roman" w:eastAsia="Times New Roman" w:hAnsi="Times New Roman"/>
          <w:sz w:val="24"/>
          <w:szCs w:val="24"/>
        </w:rPr>
        <w:t xml:space="preserve"> Pesquisa de vídeos por termos relacionados com a actualidade angolana, restrita a canais e conteúdos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Sondagem.</w:t>
      </w:r>
      <w:r>
        <w:rPr>
          <w:rFonts w:ascii="Times New Roman" w:cs="Times New Roman" w:eastAsia="Times New Roman" w:hAnsi="Times New Roman"/>
          <w:sz w:val="24"/>
          <w:szCs w:val="24"/>
        </w:rPr>
        <w:t xml:space="preserve"> Leitura de uma pequena amostra de comentários de cada vídeo para estimar a proporção de comentários angolanos e o volume disponível.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w:t>
      </w:r>
      <w:r>
        <w:rPr>
          <w:rFonts w:ascii="Times New Roman" w:cs="Times New Roman" w:eastAsia="Times New Roman" w:hAnsi="Times New Roman"/>
          <w:sz w:val="24"/>
          <w:szCs w:val="24"/>
        </w:rPr>
        <w:t xml:space="preserve"> Escolha dos vídeos a recolher, privilegiando a diversidade de canais e de temas e excluindo vídeos claramente não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Obtenção dos comentários e respostas, com limite por vídeo para evitar que poucos vídeos dominassem o corpus,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(10 000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Os casos duvidosos foram mantidos, o que torna a estimativa da lacuna de domínio, se alguma coisa, conservadora.</w:t>
      </w:r>
    </w:p>
    <w:p>
      <w:pPr>
        <w:spacing w:after="120" w:before="0" w:line="360"/>
        <w:ind w:firstLine="567"/>
        <w:jc w:val="both"/>
      </w:pPr>
      <w:r>
        <w:rPr>
          <w:rFonts w:ascii="Times New Roman" w:cs="Times New Roman" w:eastAsia="Times New Roman" w:hAnsi="Times New Roman"/>
          <w:sz w:val="24"/>
          <w:szCs w:val="24"/>
        </w:rPr>
        <w:t xml:space="preserve">Uma parte menor do piloto veio de recolha manual: 180 títulos e entradas de notícias de sete órgãos de comunicação angolanos e 194 publicações e comentários copiados de páginas públicas, incluindo o Facebook. Estes itens passaram pela mesma anonimização e pela mesma anotação que os comentários do YouTube. No corpus, o piloto aparece com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Amostras aleatórias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2.352 itens, dos quais 1.978 são comentários seleccionados aleatoriamente dos vídeos recolhidos e 374 vêm da recolha manual; formam a base do piloto e são os únicos dados angolanos usados na validação e no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de domínio angolano,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foram usados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A anotação foi feita por três anotadores independentes, dois angolanos e um com formação em processamento de linguagem natural, seguindo o Guia de Anotação Padronizado (Apêndice B). Cada anotador classificou cada publicação numa das quatro categorias, sem acesso às classificações dos outros nem às previsões de qualquer modelo. Nos casos de desacordo, aplicou-se o princípio da gravidade ascendente definido no guia (Mobilização Hostil &gt; Discurso de Ódio &gt; Desinformação &gt; Normal),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O acordo foi medido com o Kappa de Fleiss para os três anotadores e com o Kappa de Cohen para cada par. Nas amostras aleatórias do piloto, obteve-se κ de Fleiss de 0,718 (IC 95%: 0,695–0,741), κ de Cohen médio de 0,719 e concordância observada de 81,3%, o que corresponde a acordo substancial na escala de Landis e Koch (1977). No lote temático de vídeos, o κ de Fleiss foi de 0,818 (IC 95%: 0,763–0,869);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publicações, com a seguinte distribuição de etiquetas: Normal 1.664, Mobilização Hostil 364, Desinformação 326 e Discurso de Ódio 283. Após a harmonização e a remoção de duplicados (Secção 3.5), entram no corpus de treino 2.573 registos do piloto.</w:t>
      </w:r>
    </w:p>
    <w:p>
      <w:pPr>
        <w:spacing w:after="120" w:before="0" w:line="360"/>
        <w:ind w:firstLine="567"/>
        <w:jc w:val="both"/>
      </w:pPr>
      <w:r>
        <w:rPr>
          <w:rFonts w:ascii="Times New Roman" w:cs="Times New Roman" w:eastAsia="Times New Roman" w:hAnsi="Times New Roman"/>
          <w:sz w:val="24"/>
          <w:szCs w:val="24"/>
        </w:rPr>
        <w:t xml:space="preserve">O léxico de candidatos usado para priorizar a anotação foi avaliado nos próprios dados anotados.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foi usado como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As etiquetas originais de cada corpus foram mapeadas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Odio, os tweets sem qualquer marcação a Normal, e os tweets tóxicos apenas por obscenidade ou insulto sem alvo identitário foram excluídos. No HateBR, os comentários marcados como linguagem ofensiva passaram a Odio e os restantes a Normal. No Fake.br, as notícias falsas passaram a Desinformacao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5400675" cy="289560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00675" cy="2895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foram forçados para o treino. O conjunto de teste foi usado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Odio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O desequilíbrio entre classes foi tratado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3.1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O BERTimbau foi treinado três vezes, com as sementes 42, 43 e 44, para medir a variabilidade devida à inicialização. A execução com a semente 42 foi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 leitura de páginas web e feeds RSS públicos (biblioteca padrão do Python, com respeito pelo robots.txt); recolha manual</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Jinja2 e Uvicorn (aplicação web sem dependências de compilação)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Armazenamento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SQLite 3 (base de dados num único ficheiro, com transacções e chaves estrangeiras)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A avaliação foi definida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A arquitectura foi desenhada depois de conhecidos os resultados do Capítulo 4. Um classificador com F1-macro de cerca de 0,80 no teste global, de cerca de 0,53 em conteúdo angolano e com precisão de cerca de 0,51 na Mobilização Hostil não deve tomar decisões, mas pode ajudar a ordenar o trabalho de quem decide. É desta constatação que partem os requisitos da Tabela 3.3.</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publicações de fontes públicas registadas: comentários do YouTube pela interface oficial e artigos de sítios de notícias e feeds RSS que não exigem conta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ficheiros de outras vias, registando a proveniência de cada lote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Guardar lotes, publicações, classificações, revisões e auditoria numa base de dados relacional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RF8</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κ analista–sistema e entre analistas, sensibilidade estimada,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RF9</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Controlar o acesso por contas individuais com dois papéis (analista e supervisor)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RF10</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avaliação independente por vários analistas, com revisão cega e amostra de controlo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Gerar alertas a partir de ameaças confirmadas por analistas e de tendências de crescimento, na aplicação e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num mapa, por província, a concentração e a evolução das ameaças no período escolhido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Produzir o relatório de alertas de ameaças de um período, para impressão, exportação e envio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apenas conteúdo público, sem contornar protecções técnicas nem condições de acesso dos sítios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3.4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sítios públicos sem conta (respeitando o robots.txt),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problema fosse o volume de dados. Aqui, o que limita o sistema é a capacidade humana de rever o que o modelo sinaliza e a fiabilidade do modelo em conteúdo angolano. Uma arquitectura que processasse milhões de publicações por hora produziria alertas que ninguém conseguiria rever, com uma precisão que não justificaria a confiança. Com a arquitectura leve, o esforço vai para a qualidade da fila de revisão, para a protecção dos dados e para a facilidade de trocar o modelo quando houver uma versão melhor. Se o volume crescer, a base de dados pode passar para PostgreSQL e o serviço de inferência pode ser replicado,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seis camadas.</w:t>
      </w:r>
    </w:p>
    <w:p>
      <w:pPr>
        <w:keepNext/>
        <w:spacing w:after="40" w:before="160"/>
        <w:jc w:val="center"/>
      </w:pPr>
      <w:r>
        <w:drawing>
          <wp:inline distT="0" distB="0" distL="0" distR="0">
            <wp:extent cx="5581650" cy="4381500"/>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43815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O sistema recolhe ele próprio de duas origens. A primeira é o YouTube, pela interface oficial (YouTube Data API v3): para um vídeo ou para os vídeos mais recentes de um canal, obtém os comentários e as respostas. A segunda são sítios da internet de acesso livre, que não exigem conta nem estão protegidos por barreiras de acesso, como os portais dos órgãos de comunicação angolanos: o sistema lê feeds RSS, artigos isolados ou a página inicial de uma secção, a partir da qual segue as ligações para artigos do mesmo sítio. Das redes que exigem conta, como o Facebook, o conteúdo público entra por importação de ficheiros, tal como os conjuntos de dados doados ou de terceiros. Cada fonte e cada via ficam registadas com o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 supervisor regista as fontes na aplicação, indicando o tipo, o endereço e o número máximo de itens, e lança a recolha a pedido ou por tarefa agendada. Antes de cada pedido a um sítio, o módulo de recolha consulta o ficheiro robots.txt e respeita as exclusões; identifica-se como ferramenta de investigação, espera alguns segundos entre pedidos ao mesmo sítio e não guarda </w:t>
      </w:r>
      <w:r>
        <w:rPr>
          <w:rFonts w:ascii="Times New Roman" w:cs="Times New Roman" w:eastAsia="Times New Roman" w:hAnsi="Times New Roman"/>
          <w:i/>
          <w:iCs/>
          <w:sz w:val="24"/>
          <w:szCs w:val="24"/>
        </w:rPr>
        <w:t xml:space="preserve">cookies</w:t>
      </w:r>
      <w:r>
        <w:rPr>
          <w:rFonts w:ascii="Times New Roman" w:cs="Times New Roman" w:eastAsia="Times New Roman" w:hAnsi="Times New Roman"/>
          <w:sz w:val="24"/>
          <w:szCs w:val="24"/>
        </w:rPr>
        <w:t xml:space="preserve">. Páginas com formulário de palavra-passe ou respostas de acesso negado são ignoradas. Não há rotação de endereços IP, identidades falsas nem resolução de </w:t>
      </w:r>
      <w:r>
        <w:rPr>
          <w:rFonts w:ascii="Times New Roman" w:cs="Times New Roman" w:eastAsia="Times New Roman" w:hAnsi="Times New Roman"/>
          <w:i/>
          <w:iCs/>
          <w:sz w:val="24"/>
          <w:szCs w:val="24"/>
        </w:rPr>
        <w:t xml:space="preserve">captchas</w:t>
      </w:r>
      <w:r>
        <w:rPr>
          <w:rFonts w:ascii="Times New Roman" w:cs="Times New Roman" w:eastAsia="Times New Roman" w:hAnsi="Times New Roman"/>
          <w:sz w:val="24"/>
          <w:szCs w:val="24"/>
        </w:rPr>
        <w:t xml:space="preserve">. De cada artigo guarda-se o título, a data e os primeiros parágrafos, o suficiente para a classificação, sem copiar o artigo inteiro. Cada recolha cria um lote e entrega os registos à camada de ingestão.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Os registos recolhidos e os ficheiros importados passam pelo mesmo módulo. Este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com um segredo guardado fora do código. Sem esse segredo, o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de um nome de utilizador podia ser revertido por dicionário.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O armazenamento usa SQLite, um motor de base de dados relacional que guarda tudo num único ficheiro (por omissão, dados\sistema.db), não precisa de servidor próprio e suporta transacções e chaves estrangeiras. A base de dados guarda as fontes de recolha, os lotes, as publicações, as classificações, as revisões (uma por analista e publicação), a amostra de controlo, os utilizadores e as sessões, as definições e o registo de auditoria (Figura 3.4). Duas tabelas servem os alertas: uma liga cada publicação às províncias que menciona e outra guarda os alertas e quem já os viu. O modo de diário WAL permite que a classificação em segundo plano grave enquanto os analistas consultam a fila. A cópia de segurança é feita com a função de cópia em linha do SQLite, sem parar o serviço. Para vários servidores ou volumes maiores, o mesmo esquema pode passar para PostgreSQL.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segundo plano, gravando os resultados por sublotes de 32, para que as primeiras publicações cheguem à fila sem esperar pelo lote inteiro. A prioridade de cada publicação é a probabilidade de não ser Normal, 1 − P(Normal). Esta escolha faz subir na fila uma publicação com 45% de probabilidade de Mobilização Hostil, mesmo que a categoria mais provável seja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Uma aplicação web, acedida pelo navegador, mostra a fila de revisão, a amostra de controlo, o panorama agregado, os alertas, o mapa por província, o relatório de alertas e os lotes e, para o supervisor, as métricas, as contas e a auditoria. As métricas podem ser exportadas para relatórios, incluindo ferramentas como o Power BI, sem que estas tenham acesso aos textos.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Alertas e relatório.</w:t>
      </w:r>
      <w:r>
        <w:rPr>
          <w:rFonts w:ascii="Times New Roman" w:cs="Times New Roman" w:eastAsia="Times New Roman" w:hAnsi="Times New Roman"/>
          <w:sz w:val="24"/>
          <w:szCs w:val="24"/>
        </w:rPr>
        <w:t xml:space="preserve"> Os alertas nascem apenas de decisões humanas. Um alerta de ameaça confirmada surge quando o número de analistas definido pelo supervisor (um, por omissão) escolhe uma categoria de ameaça e há mais decisões de ameaça do que de Normal. Um alerta de tendência surge quando as ameaças confirmadas numa província, ou no país, chegam a um mínimo de casos numa janela (cinco em sete dias, por omissão), crescem pelo menos 50% face à janela anterior e ganham peso no total de publicações recolhidas; esta última condição impede que um simples aumento da recolha pareça um aumento de ameaça. Os alertas aparecem na aplicação e são enviados por e-mail aos destinatários definidos pelo supervisor, sem o texto da publicação nem o pseudónimo do autor, apenas com a categoria, a província, a data e a ligação para o sistema. Nunca são enviados automaticamente a terceiros. O relatório de alertas de ameaças reúne, para o período escolhido, os indicadores, o mapa, as categorias, os alertas e as ameaças confirmadas, e pode ser impresso, guardado em PDF, exportado em CSV ou enviado por e-mail.</w:t>
      </w:r>
    </w:p>
    <w:p>
      <w:pPr>
        <w:spacing w:after="120" w:before="0" w:line="360"/>
        <w:ind w:firstLine="567"/>
        <w:jc w:val="both"/>
      </w:pPr>
      <w:r>
        <w:rPr>
          <w:rFonts w:ascii="Times New Roman" w:cs="Times New Roman" w:eastAsia="Times New Roman" w:hAnsi="Times New Roman"/>
          <w:sz w:val="24"/>
          <w:szCs w:val="24"/>
        </w:rPr>
        <w:t xml:space="preserve">A localização usada nos alertas e no mapa é o lugar mencionado na publicação, não a localização de quem a escreveu, que os dados públicos não revelam. À entrada, o texto e o contexto são comparados com uma lista de topónimos (nomes das províncias, capitais e municípios mais citados), da qual se excluíram nomes com outro significado corrente, como Belas ou Cela, e termos ambíguos, como Kwanza sem Norte ou Sul. A localização fica ao nível da província, para não se aproximar de um perfil de pessoas, e as publicações sem lugar mencionado contam como «sem localização». O mapa usa as 18 províncias com os limites em vigor de 2011 a 2024, anteriores à divisão político-administrativa que entrou em vigor em Janeiro de 2025, a partir dos limites do geoBoundaries, de domínio público (Runfola et al., 2020). A cor de cada província é a taxa de ameaças confirmadas sobre as publicações que a mencionam, de modo que falar muito de Luanda não a torne, por si só, a província mais ameaçada; abaixo de cinco publicações, a taxa não é calculada. Setas indicam a variação face ao período anterior com a mesma duração (Figura 3.8).</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5400675" cy="466725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46672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cinco actores (Figura 3.5). O analista revê a sua fila e a amostra de controlo, consulta o panorama, os alertas e o mapa e gera o relatório de alertas. O supervisor, que também pode rever, regista as fontes públicas e lança a recolha, importa lotes, define as regras e os destinatários dos alertas, envia o relatório por e-mail, sorteia a amostra de controlo, gere as contas, consulta métricas e auditoria, activa a revisão cega e aplica o prazo de conservação. O serviço de inferência classifica em segundo plano cada lote recolhido ou importado. O investigador exporta as revisões e treina novas versões do modelo. O destinatário do e-mail, designado pelo supervisor, recebe os alertas e o resumo do relatório sem ter acesso ao sistema.</w:t>
      </w:r>
    </w:p>
    <w:p>
      <w:pPr>
        <w:keepNext/>
        <w:spacing w:after="40" w:before="160"/>
        <w:jc w:val="center"/>
      </w:pPr>
      <w:r>
        <w:drawing>
          <wp:inline distT="0" distB="0" distL="0" distR="0">
            <wp:extent cx="5038725" cy="4305300"/>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38725" cy="4305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recolha ou importação de um lote até à gravação da decisão do analista e aos alertas que dela resultam.</w:t>
      </w:r>
    </w:p>
    <w:p>
      <w:pPr>
        <w:keepNext/>
        <w:spacing w:after="40" w:before="160"/>
        <w:jc w:val="center"/>
      </w:pPr>
      <w:r>
        <w:drawing>
          <wp:inline distT="0" distB="0" distL="0" distR="0">
            <wp:extent cx="5581650" cy="3981450"/>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81650" cy="39814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recolha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A interface é uma aplicação web servida pelo próprio sistema (FastAPI com modelos Jinja2), acedida pelo navegador, sem instalação nos postos dos analistas nem dependências de compilação. Cada pessoa entra com uma conta individual. As palavras-passe são guardadas com PBKDF2-SHA-256, a conta é bloqueada temporariamente após cinco tentativas falhadas, as sessões são mantidas no servidor e todos os formulários estão protegidos contra pedidos forjados (CSRF). Há dois papéis: o analista revê; o supervisor importa lotes, gere contas, consulta métricas e auditoria e define as opções de avaliação.</w:t>
      </w:r>
    </w:p>
    <w:p>
      <w:pPr>
        <w:spacing w:after="120" w:before="0" w:line="360"/>
        <w:ind w:firstLine="567"/>
        <w:jc w:val="both"/>
      </w:pPr>
      <w:r>
        <w:rPr>
          <w:rFonts w:ascii="Times New Roman" w:cs="Times New Roman" w:eastAsia="Times New Roman" w:hAnsi="Times New Roman"/>
          <w:sz w:val="24"/>
          <w:szCs w:val="24"/>
        </w:rPr>
        <w:t xml:space="preserve">Na fila, cada publicação aparece com a categoria prevista, as probabilidades das quatro categorias e quatro botões de decisão, que também respondem às teclas 1 a 4. A decisão fica gravada com a posição que o item ocupava na fila. Cada analista tem a sua própria fila: um item revisto por um analista continua na fila dos outros, o que permite medir o acordo entre analistas de forma independente. Duas funções servem directamente a avaliação da Secção 3.9. A revisão cega, activada pelo supervisor, esconde a sugestão do modelo, para que a concordância entre analista e sistema não seja inflacionada pela própria sugestão. A amostra de controlo sorteia, com semente registada, publicações classificadas como Normal, que os analistas revêem sem sugestão; a fracção que considerem ameaça estima o que a fila deixa passar. O ecrã de entrada lembra que as classificações servem apenas para ordenar a revisão, e a fila lembra que a convocatória pacífica é exercício de direitos. A Figura 3.7 mostra a fila.</w:t>
      </w:r>
    </w:p>
    <w:p>
      <w:pPr>
        <w:keepNext/>
        <w:spacing w:after="40" w:before="160"/>
        <w:jc w:val="center"/>
      </w:pPr>
      <w:r>
        <w:drawing>
          <wp:inline distT="0" distB="0" distL="0" distR="0">
            <wp:extent cx="5581650" cy="3486150"/>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81650" cy="3486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na aplicação web</w:t>
      </w:r>
    </w:p>
    <w:p>
      <w:pPr>
        <w:spacing w:after="240" w:before="0" w:line="240"/>
        <w:jc w:val="center"/>
      </w:pPr>
      <w:r>
        <w:rPr>
          <w:rFonts w:ascii="Times New Roman" w:cs="Times New Roman" w:eastAsia="Times New Roman" w:hAnsi="Times New Roman"/>
          <w:i/>
          <w:iCs/>
          <w:sz w:val="18"/>
          <w:szCs w:val="18"/>
        </w:rPr>
        <w:t xml:space="preserve">Nota: textos fictícios e classificador de demonstração por palavras-chave, assinalado no topo da página, usados apenas para ilustrar a interface.</w:t>
      </w:r>
    </w:p>
    <w:p>
      <w:pPr>
        <w:keepNext/>
        <w:spacing w:after="40" w:before="160"/>
        <w:jc w:val="center"/>
      </w:pPr>
      <w:r>
        <w:drawing>
          <wp:inline distT="0" distB="0" distL="0" distR="0">
            <wp:extent cx="5581650" cy="5476875"/>
            <wp:effectExtent t="0" r="0" b="0" l="0"/>
            <wp:docPr id="1" name="fig3_8_mapa.png" descr="fig3_8_mapa.png" title="fig3_8_ma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81650" cy="54768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3.8 – Mapa por província na aplicação web</w:t>
      </w:r>
    </w:p>
    <w:p>
      <w:pPr>
        <w:spacing w:after="240" w:before="0" w:line="240"/>
        <w:jc w:val="center"/>
      </w:pPr>
      <w:r>
        <w:rPr>
          <w:rFonts w:ascii="Times New Roman" w:cs="Times New Roman" w:eastAsia="Times New Roman" w:hAnsi="Times New Roman"/>
          <w:i/>
          <w:iCs/>
          <w:sz w:val="18"/>
          <w:szCs w:val="18"/>
        </w:rPr>
        <w:t xml:space="preserve">Nota: dados fictícios e classificador de demonstração, usados apenas para ilustrar a interface.</w:t>
      </w:r>
    </w:p>
    <w:p>
      <w:pPr>
        <w:spacing w:after="120" w:before="0" w:line="360"/>
        <w:ind w:firstLine="567"/>
        <w:jc w:val="both"/>
      </w:pPr>
      <w:r>
        <w:rPr>
          <w:rFonts w:ascii="Times New Roman" w:cs="Times New Roman" w:eastAsia="Times New Roman" w:hAnsi="Times New Roman"/>
          <w:sz w:val="24"/>
          <w:szCs w:val="24"/>
        </w:rPr>
        <w:t xml:space="preserve">As principais funções estão também disponíveis numa interface de programação JSON, protegida por chave, para integração com outros componentes, e numa linha de comandos, para tarefas agendadas como a recolha periódica das fontes, a importação, a verificação de tendências, o relatório periódico, a limpeza e as cópias de segurança. O manual de instalação e utilização consta do Apêndice F.</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sistema tem 57 testes automáticos. Cobrem a anonimização (máscaras e pseudónimos), a importação (deduplicação e rejeição de vias não previstas), a recolha (com um sítio de notícias simulado localmente, verifica-se que o robots.txt é respeitado, que as páginas com início de sessão e as de outros sítios ficam de fora, que os feeds RSS são lidos e que os comentários do YouTube, obtidos de um cliente simulado, chegam anonimizados à base de dados), os alertas (o número mínimo de confirmações, a ausência de alertas repetidos, o alerta de tendência e a sua normalização pelo volume recolhido, o conteúdo dos e-mails, sem texto nem autor, e o registo de falhas de envio sem perda da decisão), a detecção de províncias e os seus casos ambíguos, o mapa e o relatório, o fluxo completo de importação, classificação, revisão, métricas e exportação, a gravação por sublotes, o prazo de conservação e as cópias de segurança, o carregamento de um modelo BERT guardado em disco e a interface de programação. Do lado da aplicação web, testam o controlo de acesso por papel, o bloqueio após tentativas falhadas, a protecção CSRF, o escape de texto malicioso, a revisão independente por dois analistas, a revisão cega, a amostra de controlo reprodutível e a migração automática do esquema da base de dados. Os testes são executados com o comando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sistema regista ainda, para cada publicação, o intervalo entre a importação e a classificação (mediana e percentil 95). Estas medidas cobrem o processamento interno; o intervalo entre a publicação original e a recolha depende da frequência de recolha e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e com a revisão cega activa, pelo menos dois analistas revêem a fila por ordem, de forma independente. Calcula-se a precisão nos primeiros K itens (K = 10, 25, 50, 100), a concordância e o κ entre cada analista e o sistema, e o κ entre analistas. Para estimar a sensibilidade, os analistas revêem também a amostra de controlo de itens classificados como Normal; a fracção considerada ameaça é reportada com IC 95% de Wilson.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com datas de publicação em torno de eventos documentados, dividido cronologicamente (treino anterior ao período de teste), e uma lista de eventos de referência independente do corpus. Sem estes elementos, qualquer medida de antecedência seria circular.</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3.5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e verifica formalmente as hipóteses formuladas na Secção 1.3. Todos os valores foram recalculados a partir das previsões guardadas de cada modelo no conjunto de teste e reproduzem os ficheiros de métricas gerados pelo pipeline. A Secção 4.1 descreve o protocolo de avaliação. As Secções 4.2 a 4.5 tratam do desempenho global, da significância estatística, do desempenho por categoria e da estabilidade dos resultados. A Secção 4.6 testa a lacuna de domínio entre o piloto angolano e o corpus público (H4), a Secção 4.7 trata da avaliação operacional (H2 e H3) e a Secção 4.8 reúne a verificação das hipóteses.</w:t>
      </w:r>
    </w:p>
    <w:p>
      <w:pPr>
        <w:spacing w:after="120" w:before="0" w:line="360"/>
        <w:ind w:firstLine="567"/>
        <w:jc w:val="both"/>
      </w:pPr>
      <w:r>
        <w:rPr>
          <w:rFonts w:ascii="Times New Roman" w:cs="Times New Roman" w:eastAsia="Times New Roman" w:hAnsi="Times New Roman"/>
          <w:sz w:val="24"/>
          <w:szCs w:val="24"/>
        </w:rPr>
        <w:t xml:space="preserve">As categorias são designadas, em tabelas e figuras, pelos rótulos usados no pipeline: Normal, Desinformacao, Odio (Discurso de Ódio) e Mobilizacao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Desinformacao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Odio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Mobilizacao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Mobilizacao existe apenas no piloto angolano. O piloto inclui 2.288 comentários públicos obtidos por amostragem aleatória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Três decisões de protocolo condicionam a leitura dos resultados. Primeiro, os lotes enriquecidos do piloto entraram apenas no treino: a sua selecção não foi aleatória e a sua inclusão nos conjuntos de avaliação inflacionaria as métricas. Segundo, a escolha de configurações e variantes foi feita no conjunto de validação, nunca no de teste. Terceiro, os resultados são reportados tal como saíram de cada execução, sem selecção de sementes ou de variantes pelo desempenho no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Desinformacao 580; Odio 517; Mobilizacao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Os intervalos de confiança a 95% (IC 95%) foram obtidos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A mesma ordenação verifica-se no Kappa (0,832 contra 0,566–0,624) e na AUC-ROC (0,979 contra 0,906–0,915).</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Mobilizacao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5400675" cy="50482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400675" cy="50482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Odio, onde as AUC dos restantes modelos descem para 0,837–0,882. Na Desinformacao, todos os modelos ultrapassam 0,96, um resultado cuja interpretação é revista na Secção 4.6. Na Mobilizacao,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diferença de F1-macro e teste de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Só o BERTimbau se distingue, portanto, dos restantes. O Bi-LSTM não mostra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Desinformacao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Mobilizacao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Desinformacao, 0,778 no Odio e 0,549 na Mobilizacao. A vantagem sobre os modelos de referência é maior no Odio (0,778 contra 0,455–0,585), categoria em que a Floresta Aleatória classifica como Normal a maioria dos itens de ódio, e na Mobilizacao (0,549 contra 0,326–0,368). Na Desinformacao,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Mobilizacao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5400675" cy="5162550"/>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400675" cy="51625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Três padrões de erro são comuns aos quatro modelos. O primeiro, e mais frequente, é a confusão entre Normal e Odio: no BERTimbau, 100 itens Normais foram classificados como Odio e 104 itens de Odio como Normais, o que corresponde a 20% dos itens de ódio. Trata-se de uma fronteira conceptualmente difícil, que envolve ódio implícito, ironia e insulto sem alvo identitário. O segundo padrão é a classificação de Mobilizacao como Normal (12 dos 47 itens no BERTimbau; 16 no Bi-LSTM, 24 na Floresta Aleatória e 7 no SVM), que reproduz a fronteira, assumida no Guia de Anotação, entre convocatória legítima e mobilização hostil. O terceiro padrão é a quase ausência de confusões que envolvam a Desinformacao nos corpora públicos,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Mobilizacao significa que o modelo deixa escapar aproximadamente quatro em cada dez itens desta categoria e que cerca de metade dos seus alertas desta categoria são falsos positivos. Estes valores são incompatíveis com qualquer uso automático das classificações e sustentam o desenho do sistema como ferramenta de triagem com revisão humana obrigatória (Secção 4.7).</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o ajuste fino foi repetido com três sementes aleatórias (42, 43 e 44) e foram testadas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2000"/>
        <w:gridCol w:w="1250"/>
        <w:gridCol w:w="13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12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McNemar vs. referência</w:t>
            </w:r>
          </w:p>
        </w:tc>
      </w:tr>
      <w:tr>
        <w:trPr>
          <w:cantSplit/>
          <w:tblHeader w:val="false"/>
        </w:trPr>
        <w:tc>
          <w:tcPr>
            <w:tcW w:type="dxa" w:w="25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20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2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12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sem correcção para comparações múltiplas.</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Mobilizacao, cujo F1 oscila entre 0,472 e 0,549. Embora os F1-macro sejam próximos, as sementes 42 e 44 diferem significativamente nos itens que acertam (p = 0,002), o que confirma que, com 47 itens de Mobilizacao, as decisões individuais do modelo nesta categoria são sensíveis à inicialização.</w:t>
      </w:r>
    </w:p>
    <w:p>
      <w:pPr>
        <w:spacing w:after="120" w:before="0" w:line="360"/>
        <w:ind w:firstLine="567"/>
        <w:jc w:val="both"/>
      </w:pPr>
      <w:r>
        <w:rPr>
          <w:rFonts w:ascii="Times New Roman" w:cs="Times New Roman" w:eastAsia="Times New Roman" w:hAnsi="Times New Roman"/>
          <w:sz w:val="24"/>
          <w:szCs w:val="24"/>
        </w:rPr>
        <w:t xml:space="preserve">Nenhuma das variantes se distingue da referência no conjunto de teste (p &gt; 0,40). A variante com pesos suavizados obteve o melhor F1-macro de validação (0,826), mas no teste ficou em 0,799, com F1 de Mobilizacao inferior (0,518). De acordo com o critério fixado antes das experiências (adoptar uma variante apenas se esta se distinguir da referência), manteve-se a configuração de referência. A ablação do lote de vídeos temáticos reduziu o F1-macro de 0,807 para 0,799 e o F1 de Mobilizacao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log-probabilidades de cada modelo, escolhidos no conjunto de validação. Como os vieses são escolhidos nos mesmos dados em que se medem, o ganho na validação é optimista; por isso, o ganho esperado foi estimado por validação cruzada dentro do conjunto de validação e confirmado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0,632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Análise de sensibilidade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de forma consistente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Odio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Mobilizacao, pelo que o seu F1-macro é calculado sobre três classes.</w:t>
      </w:r>
    </w:p>
    <w:p>
      <w:pPr>
        <w:keepNext/>
        <w:spacing w:after="40" w:before="160"/>
        <w:jc w:val="center"/>
      </w:pPr>
      <w:r>
        <w:drawing>
          <wp:inline distT="0" distB="0" distL="0" distR="0">
            <wp:extent cx="4857750" cy="2600325"/>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857750" cy="26003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Mobilizacao, a categoria mais difícil, existe apenas no piloto, e o F1-macro do corpus público é calculado sobre três classes. Para isolar este efeito, considerou-se no piloto apenas a média do F1 das três categorias comuns, que é de aproximadamente 0,53. A diferença mantém-se na mesma ordem de grandeza (cerca de 39 p.p.), pelo que a degradação não se explica pela composição das classes.</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Desinformacao: F1 de 0,992 no corpus público e de 0,235 no piloto. Nos corpora públicos, toda a Desinformacao provém do Fake.br, constituído por notícias completas, enquanto o piloto contém sobretudo comentários curtos. A combinação de um desempenho quase perfeito no domínio de origem com um desempenho muito baixo no domínio angolano é um indício forte de que o modelo aprendeu sobretudo marcas de estilo e de formato do Fake.br (registo jornalístico, extensão, estrutura) e não propriedades da desinformação enquanto tal. O mesmo mecanismo pode afectar, em menor grau, o Odio (0,802 contra 0,518), cujos exemplos públicos provêm de comentários do Instagram e do Twitter brasileiros. Por isso, o F1 global de 0,807 e, em particular, o F1 de 0,947 na Desinformacao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H4 confirma, por isso, a existência de uma lacuna de domínio substancial, mas não atribui essa lacuna especificamente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20" w:before="240"/>
      </w:pPr>
      <w:r>
        <w:rPr>
          <w:rFonts w:ascii="Times New Roman" w:cs="Times New Roman" w:eastAsia="Times New Roman" w:hAnsi="Times New Roman"/>
          <w:b/>
          <w:bCs/>
          <w:sz w:val="24"/>
          <w:szCs w:val="24"/>
        </w:rPr>
        <w:t xml:space="preserve">4.7.1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das amostras aleatórias do piloto, numa base de dados temporária nova em cada repetição; 2 comentários foram descartados na importação por terem menos de três caracteres, restando 198. O ensaio foi repetido 3 vezes num computador pessoal, sem GPU, com processador Intel N100 (quatro núcleos, de baixo consumo) e 8 GB de memória RAM. Trata-se de equipamento modesto, pelo que os tempos obtidos tendem a ser conservadores face a um servidor de produção. A Tabela 4.8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0"/>
        <w:gridCol w:w="3220"/>
      </w:tblGrid>
      <w:tr>
        <w:trPr>
          <w:cantSplit/>
          <w:tblHeader/>
        </w:trPr>
        <w:tc>
          <w:tcPr>
            <w:tcW w:type="dxa" w:w="5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3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 (repetição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Dispositivo de inferência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CPU (sem GPU)</w:t>
            </w:r>
          </w:p>
        </w:tc>
      </w:tr>
      <w:tr>
        <w:trPr>
          <w:cantSplit/>
          <w:tblHeader w:val="false"/>
        </w:trPr>
        <w:tc>
          <w:tcPr>
            <w:tcW w:type="dxa" w:w="5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compatível com o limiar de 60 s</w:t>
            </w:r>
          </w:p>
        </w:tc>
        <w:tc>
          <w:tcPr>
            <w:tcW w:type="dxa" w:w="3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 publicações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Há, no entanto, uma condição: no protótipo, as classificações de um lote são gravadas em conjunto no fim do lote, pelo que todas as publicações entram na fila de revisão ao mesmo tempo. Num lote de 198 publicações, a primeira só fica disponível ao fim de cerca de 125 segundos. O critério da H2 é cumprido para lotes até cerca de 94 publicações neste equipamento; acima desse volume, é necessário processar em lotes menores, gravar as classificações à medida que cada sublote termina ou usar uma GPU. A medição foi feita num único computador e com um único lote, e não inclui o tempo entre a publicação na plataforma e a sua recolha, que depende da frequência de recolha; deve ser lida como uma estimativa do custo de processamento interno, e não como o tempo de detecção de ponta a ponta.</w:t>
      </w:r>
    </w:p>
    <w:p>
      <w:pPr>
        <w:spacing w:after="120" w:before="0" w:line="360"/>
        <w:ind w:firstLine="567"/>
        <w:jc w:val="both"/>
      </w:pPr>
      <w:r>
        <w:rPr>
          <w:rFonts w:ascii="Times New Roman" w:cs="Times New Roman" w:eastAsia="Times New Roman" w:hAnsi="Times New Roman"/>
          <w:sz w:val="24"/>
          <w:szCs w:val="24"/>
        </w:rPr>
        <w:t xml:space="preserve">Depois desta medição, o sistema passou a gravar as classificações por sublotes de 32 publicações (Secção 3.8.3), e a medição foi repetida com esta configuração, no mesmo computador e com o mesmo lote de 198 publicações (três repetições). Com a gravação por sublotes, as primeiras 32 publicações ficaram disponíveis na fila ao fim de 36,1 segundos (mediana), contra cerca de 125 segundos com a gravação no fim do lote, e este tempo não depende da dimensão do lote. O lote completo demorou 139,7 segundos (0,71 s por publicação). O custo por publicação foi um pouco mais alto do que na primeira medição porque a aplicação web, com o modelo carregado, estava a correr em simultâneo no mesmo computador.</w:t>
      </w:r>
    </w:p>
    <w:p>
      <w:pPr>
        <w:spacing w:after="120" w:before="0" w:line="360"/>
        <w:ind w:firstLine="567"/>
        <w:jc w:val="both"/>
      </w:pPr>
      <w:r>
        <w:rPr>
          <w:rFonts w:ascii="Times New Roman" w:cs="Times New Roman" w:eastAsia="Times New Roman" w:hAnsi="Times New Roman"/>
          <w:sz w:val="24"/>
          <w:szCs w:val="24"/>
        </w:rPr>
        <w:t xml:space="preserve">A gravação por sublotes muda, portanto, a natureza da condição. As primeiras publicações de qualquer lote chegam à fila em menos de 60 segundos; as seguintes chegam de sublote em sublote, a cada 23 segundos aproximadamente. Por estimativa a partir destes tempos, todas as publicações de um lote ficam disponíveis em menos de 60 segundos quando cada recolha traz até cerca de 64 publicações (dois sublotes). Com recolhas frequentes e pequenas, o critério da H2 é cumprido para todas as publicações neste equipamento.</w:t>
      </w:r>
    </w:p>
    <w:p>
      <w:pPr>
        <w:pStyle w:val="Heading3"/>
        <w:keepNext/>
        <w:spacing w:after="120" w:before="240"/>
      </w:pPr>
      <w:r>
        <w:rPr>
          <w:rFonts w:ascii="Times New Roman" w:cs="Times New Roman" w:eastAsia="Times New Roman" w:hAnsi="Times New Roman"/>
          <w:b/>
          <w:bCs/>
          <w:sz w:val="24"/>
          <w:szCs w:val="24"/>
        </w:rPr>
        <w:t xml:space="preserve">4.7.2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20" w:before="240"/>
      </w:pPr>
      <w:r>
        <w:rPr>
          <w:rFonts w:ascii="Times New Roman" w:cs="Times New Roman" w:eastAsia="Times New Roman" w:hAnsi="Times New Roman"/>
          <w:b/>
          <w:bCs/>
          <w:sz w:val="24"/>
          <w:szCs w:val="24"/>
        </w:rPr>
        <w:t xml:space="preserve">4.7.3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Mobilizacao,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w:t>
      </w:r>
    </w:p>
    <w:p>
      <w:pPr>
        <w:pStyle w:val="Heading2"/>
        <w:keepNext/>
        <w:keepLines/>
        <w:spacing w:after="160" w:before="360" w:line="300"/>
      </w:pPr>
      <w:r>
        <w:rPr>
          <w:rFonts w:ascii="Times New Roman" w:cs="Times New Roman" w:eastAsia="Times New Roman" w:hAnsi="Times New Roman"/>
          <w:b/>
          <w:bCs/>
          <w:sz w:val="26"/>
          <w:szCs w:val="26"/>
        </w:rPr>
        <w:t xml:space="preserve">4.8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4.9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com sublotes, primeiras publicações na fila em 36 s; todas em menos de 60 s para recolhas até cerca de 64 publicações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Uma explicação plausível para a diferença entre os dois modelos profundos é o pré-treino: o BERTimbau parte de representações contextuais aprendidas num corpus de português de grande dimensão, ao passo que o Bi-LSTM aprende essas representações sobretudo a partir do corpus de treino. O resultado sugere que, neste volume de dados, o pré-treino linguístico pesa mais do que a natureza sequencial da arquitectura, hipótese que exigiria um ensaio controlado para ser confirmada.</w:t>
      </w:r>
    </w:p>
    <w:p>
      <w:pPr>
        <w:spacing w:after="120" w:before="0" w:line="360"/>
        <w:ind w:firstLine="567"/>
        <w:jc w:val="both"/>
      </w:pPr>
      <w:r>
        <w:rPr>
          <w:rFonts w:ascii="Times New Roman" w:cs="Times New Roman" w:eastAsia="Times New Roman" w:hAnsi="Times New Roman"/>
          <w:b/>
          <w:bCs/>
          <w:sz w:val="24"/>
          <w:szCs w:val="24"/>
        </w:rPr>
        <w:t xml:space="preserve">H2: confirmada com condições.</w:t>
      </w:r>
      <w:r>
        <w:rPr>
          <w:rFonts w:ascii="Times New Roman" w:cs="Times New Roman" w:eastAsia="Times New Roman" w:hAnsi="Times New Roman"/>
          <w:sz w:val="24"/>
          <w:szCs w:val="24"/>
        </w:rPr>
        <w:t xml:space="preserve"> O protótipo processa cada publicação em cerca de 0,63 segundos num computador sem GPU, muito abaixo do limiar de 60 segundos. Com a gravação de todo o lote no fim, o limiar só era respeitado para lotes até cerca de 94 publicações. Com a gravação por sublotes, as primeiras publicações chegam à fila em 36 segundos independentemente do lote, e todas chegam em menos de 60 segundos quando cada recolha traz até cerca de 64 publicações. A medição cobre o processamento interno e não o intervalo entre a publicação e a sua recolha.</w:t>
      </w:r>
    </w:p>
    <w:p>
      <w:pPr>
        <w:spacing w:after="120" w:before="0" w:line="360"/>
        <w:ind w:firstLine="567"/>
        <w:jc w:val="both"/>
      </w:pPr>
      <w:r>
        <w:rPr>
          <w:rFonts w:ascii="Times New Roman" w:cs="Times New Roman" w:eastAsia="Times New Roman" w:hAnsi="Times New Roman"/>
          <w:b/>
          <w:bCs/>
          <w:sz w:val="24"/>
          <w:szCs w:val="24"/>
        </w:rPr>
        <w:t xml:space="preserve">H3: não testada.</w:t>
      </w:r>
      <w:r>
        <w:rPr>
          <w:rFonts w:ascii="Times New Roman" w:cs="Times New Roman" w:eastAsia="Times New Roman" w:hAnsi="Times New Roman"/>
          <w:sz w:val="24"/>
          <w:szCs w:val="24"/>
        </w:rPr>
        <w:t xml:space="preserve"> A verificação exige um corpus datado em torno de eventos documentados, que não existe nesta fase, e constitui trabalho futuro.</w:t>
      </w:r>
    </w:p>
    <w:p>
      <w:pPr>
        <w:spacing w:after="120" w:before="0" w:line="360"/>
        <w:ind w:firstLine="567"/>
        <w:jc w:val="both"/>
      </w:pPr>
      <w:r>
        <w:rPr>
          <w:rFonts w:ascii="Times New Roman" w:cs="Times New Roman" w:eastAsia="Times New Roman" w:hAnsi="Times New Roman"/>
          <w:b/>
          <w:bCs/>
          <w:sz w:val="24"/>
          <w:szCs w:val="24"/>
        </w:rPr>
        <w:t xml:space="preserve">H4: confirmada, com reservas.</w:t>
      </w:r>
      <w:r>
        <w:rPr>
          <w:rFonts w:ascii="Times New Roman" w:cs="Times New Roman" w:eastAsia="Times New Roman" w:hAnsi="Times New Roman"/>
          <w:sz w:val="24"/>
          <w:szCs w:val="24"/>
        </w:rPr>
        <w:t xml:space="preserve"> A degradação do desempenho em conteúdo angolano é grande (38,6 p.p.), robusta ao controlo da composição de classes e consistente no Kappa. As reservas referem-se à dimensão do subconjunto do piloto, à impossibilidade de separar os efeitos de língua, plataforma e registo, e ao indício de aprendizagem de atalhos de estilo na Desinformacao. Este último ponto tem uma implicação metodológica que ultrapassa a H4: corpora de desinformação constituídos por notícias completas não são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Destes resultados tiram-se três conclusões. Entre os modelos avaliados, só o BERTimbau serve como classificador principal, e a sua vantagem é estatisticamente sólida. O desempenho global, com F1-macro de cerca de 0,80, foi obtido sobretudo em conteúdo brasileiro e não deve ser apresentado como desempenho do sistema em Angola, onde a estimativa disponível ronda 0,53. Por último, a Mobilizacao, que é a categoria com mais interesse para a segurança, é também aquela em que a evidência é mais frágil, tanto pelo pequeno número de exemplos de teste como pela fronteira pouco nítida com o direito de manifestação. As prioridades de trabalho futuro do Capítulo 5 partem daqui: ampliar o corpus angolano anotado, em especial nas categorias Mobilizacao e Desinformacao, medir o desempenho em conteúdo angolano como métrica principal e manter a revisão humana como componente obrigatória do sistema.</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em que medida a aprendizagem automática consegue apoiar, de forma fiável e responsável, a triagem de publicações ameaçadoras nas redes sociais angolanas. Os resultados mostram que consegue ajudar a ordenar o trabalho do analista, mas não o substitui, nem deve substituir.</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comentários públicos anotados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indício de atalhos de estilo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Aplicação web com contas e papéis, ingestão anonimizada, base de dados auditada, classificação em segundo plano, fila por analista, revisão cega e amostra de controlo; recolha integrada do YouTube e de sítios públicos; base de dados SQLite; alertas na aplicação e por e-mail, mapa por província e relatório de alertas; 57 testes; tempo de processamento medido (0,63 s por publicação em CPU; primeiras publicações na fila em 36 s com sublotes);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diferenças estatisticamente significativas. Já o Bi-LSTM não se distinguiu da Floresta Aleatória (ΔF1 = 0,2 p.p.), o que sugere que, neste volume de dados, o factor decisivo é o pré-treino linguístico e não a arquitectura sequencial.</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sistema processa cada publicação em cerca de 0,6 a 0,7 segundos num computador sem GPU. Com a gravação por sublotes, as primeiras publicações de qualquer lote chegam à fila em 36 segundos, e todas chegam em menos de 60 segundos quando cada recolha traz até cerca de 64 publicações; recolhas frequentes e pequenas cumprem, assim, o critério.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Em conteúdo angolano, o F1-macro do BERTimbau desce 38,6 pontos percentuais, e a diferença mantém-se quando se controla a composição das classes. A queda na Desinformação, de 0,99 para 0,24, mostra que o modelo aprendeu sobretudo o estilo das notícias do Fake.br.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comentários angolanos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uma causa concreta (a aprendizagem de atalhos de estilo na Desinformação).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metodologicamente cuidada.</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publicações, das quais cerca de 86% são comentários do YouTube.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A única fonte pública de desinformação são notícias completas, um género muito diferente dos comentários. O valor elevado desta categoria no teste global não deve ser interpretado como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O tempo de processamento foi medido num único computador, com um único lote, e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Localização.</w:t>
      </w:r>
      <w:r>
        <w:rPr>
          <w:rFonts w:ascii="Times New Roman" w:cs="Times New Roman" w:eastAsia="Times New Roman" w:hAnsi="Times New Roman"/>
          <w:sz w:val="24"/>
          <w:szCs w:val="24"/>
        </w:rPr>
        <w:t xml:space="preserve"> O mapa e os alertas por província usam o lugar mencionado nas publicações, não a localização de quem as escreveu. Uma província muito citada em notícias nacionais pode aparecer com mais ameaças do que aquelas que nela ocorrem, e as publicações sem lugar mencionado ficam fora do mapa. A lista de topónimos deixa de fora nomes ambíguos, o que reduz falsos positivos à custa de alguma cobertura.</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numa amostra aleatória dos itens classificados como Normal. O sistema já tem as funções necessárias (revisão cega, fila independente por analista e amostra de controlo). Em paralelo, repetir a medição da H2 em equipamento de produção, com recolhas agendadas e pequenas.</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w:t>
      </w:r>
    </w:p>
    <w:p>
      <w:pPr>
        <w:spacing w:after="120" w:before="0" w:line="360"/>
        <w:ind w:firstLine="567"/>
        <w:jc w:val="both"/>
      </w:pPr>
      <w:r>
        <w:rPr>
          <w:rFonts w:ascii="Times New Roman" w:cs="Times New Roman" w:eastAsia="Times New Roman" w:hAnsi="Times New Roman"/>
          <w:b/>
          <w:bCs/>
          <w:sz w:val="24"/>
          <w:szCs w:val="24"/>
        </w:rPr>
        <w:t xml:space="preserve">6.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7.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verificar se os alertas de tendência do sistema surgem antes desses eventos; acrescentar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8.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5.6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é claramente superior aos métodos clássicos, mas também que esse desempenho não se transfere intacto para o conteúdo angolano. Esta segunda conclusão é talvez a mais útil, porque indica onde vale a pena investir: em dados angolanos anotados, em avaliação no domínio real e em sistemas que tratem a classificação como uma sugestão e não como um veredicto. O protótipo desenvolvido segue esse princípio e fica disponível como base para as fases seguintes.</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24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24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24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24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24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24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24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24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24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24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24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24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24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24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24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24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24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24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24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24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24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24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24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24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24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24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24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24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24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24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24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24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24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24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24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24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24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240" w:line="240"/>
        <w:ind w:left="567" w:hanging="567"/>
        <w:jc w:val="left"/>
      </w:pPr>
      <w:r>
        <w:rPr>
          <w:rFonts w:ascii="Times New Roman" w:cs="Times New Roman" w:eastAsia="Times New Roman" w:hAnsi="Times New Roman"/>
          <w:sz w:val="24"/>
          <w:szCs w:val="24"/>
        </w:rPr>
        <w:t xml:space="preserve">Runfola, D., Anderson, A., Baier, H., Crittenden, M., Dowker, E., Fuhrig, S., Goodman, S., Grimsley, G., Layko, R., Melville, G., Mulder, M., Oberman, R., Panganiban, J., Peck, A., Seitz, L., Shea, S., Slevin, H., Youngerman, R., &amp; Hobbs, L. (2020). geoBoundaries: A global database of political administrative boundaries. </w:t>
      </w:r>
      <w:r>
        <w:rPr>
          <w:rFonts w:ascii="Times New Roman" w:cs="Times New Roman" w:eastAsia="Times New Roman" w:hAnsi="Times New Roman"/>
          <w:i/>
          <w:iCs/>
          <w:sz w:val="24"/>
          <w:szCs w:val="24"/>
        </w:rPr>
        <w:t xml:space="preserve">PLoS ONE, 15</w:t>
      </w:r>
      <w:r>
        <w:rPr>
          <w:rFonts w:ascii="Times New Roman" w:cs="Times New Roman" w:eastAsia="Times New Roman" w:hAnsi="Times New Roman"/>
          <w:sz w:val="24"/>
          <w:szCs w:val="24"/>
        </w:rPr>
        <w:t xml:space="preserve">(4), e0231866. https://doi.org/10.1371/journal.pone.0231866</w:t>
      </w:r>
    </w:p>
    <w:p>
      <w:pPr>
        <w:spacing w:after="24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24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24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24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24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24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24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24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24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24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24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AdamW.</w:t>
      </w:r>
      <w:r>
        <w:rPr>
          <w:rFonts w:ascii="Times New Roman" w:cs="Times New Roman" w:eastAsia="Times New Roman" w:hAnsi="Times New Roman"/>
          <w:sz w:val="24"/>
          <w:szCs w:val="24"/>
        </w:rPr>
        <w:t xml:space="preserve"> Variante do optimizador Adam com decaimento de pesos desacoplado, habitual no ajuste fino de modelos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AUC-ROC.</w:t>
      </w:r>
      <w:r>
        <w:rPr>
          <w:rFonts w:ascii="Times New Roman" w:cs="Times New Roman" w:eastAsia="Times New Roman" w:hAnsi="Times New Roman"/>
          <w:sz w:val="24"/>
          <w:szCs w:val="24"/>
        </w:rPr>
        <w:t xml:space="preserve"> Área sob a curva que relaciona a taxa de verdadeiros positivos com a taxa de falsos positivos para todos os limiares de decisão; 0,5 corresponde ao acaso e 1 à separação perfeita.</w:t>
      </w:r>
    </w:p>
    <w:p>
      <w:pPr>
        <w:spacing w:after="140" w:line="300"/>
        <w:jc w:val="both"/>
      </w:pPr>
      <w:r>
        <w:rPr>
          <w:rFonts w:ascii="Times New Roman" w:cs="Times New Roman" w:eastAsia="Times New Roman" w:hAnsi="Times New Roman"/>
          <w:b/>
          <w:bCs/>
          <w:sz w:val="24"/>
          <w:szCs w:val="24"/>
        </w:rPr>
        <w:t xml:space="preserve">BERTimbau.</w:t>
      </w:r>
      <w:r>
        <w:rPr>
          <w:rFonts w:ascii="Times New Roman" w:cs="Times New Roman" w:eastAsia="Times New Roman" w:hAnsi="Times New Roman"/>
          <w:sz w:val="24"/>
          <w:szCs w:val="24"/>
        </w:rPr>
        <w:t xml:space="preserve"> Versão do modelo BERT pré-treinada com texto em português do Brasil (Souza et al., 2020).</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Corpus.</w:t>
      </w:r>
      <w:r>
        <w:rPr>
          <w:rFonts w:ascii="Times New Roman" w:cs="Times New Roman" w:eastAsia="Times New Roman" w:hAnsi="Times New Roman"/>
          <w:sz w:val="24"/>
          <w:szCs w:val="24"/>
        </w:rPr>
        <w:t xml:space="preserve"> Colecção estruturada de textos usada para treinar ou avaliar modelos de linguagem.</w:t>
      </w:r>
    </w:p>
    <w:p>
      <w:pPr>
        <w:spacing w:after="140" w:line="300"/>
        <w:jc w:val="both"/>
      </w:pPr>
      <w:r>
        <w:rPr>
          <w:rFonts w:ascii="Times New Roman" w:cs="Times New Roman" w:eastAsia="Times New Roman" w:hAnsi="Times New Roman"/>
          <w:b/>
          <w:bCs/>
          <w:sz w:val="24"/>
          <w:szCs w:val="24"/>
        </w:rPr>
        <w:t xml:space="preserve">Corpus híbrido.</w:t>
      </w:r>
      <w:r>
        <w:rPr>
          <w:rFonts w:ascii="Times New Roman" w:cs="Times New Roman" w:eastAsia="Times New Roman" w:hAnsi="Times New Roman"/>
          <w:sz w:val="24"/>
          <w:szCs w:val="24"/>
        </w:rPr>
        <w:t xml:space="preserve"> Nesta dissertação, a combinação do piloto angolano com os corpora públicos ToLD-BR, HateBR e Fake.br.</w:t>
      </w:r>
    </w:p>
    <w:p>
      <w:pPr>
        <w:spacing w:after="140" w:line="300"/>
        <w:jc w:val="both"/>
      </w:pPr>
      <w:r>
        <w:rPr>
          <w:rFonts w:ascii="Times New Roman" w:cs="Times New Roman" w:eastAsia="Times New Roman" w:hAnsi="Times New Roman"/>
          <w:b/>
          <w:bCs/>
          <w:sz w:val="24"/>
          <w:szCs w:val="24"/>
        </w:rPr>
        <w:t xml:space="preserve">F1.</w:t>
      </w:r>
      <w:r>
        <w:rPr>
          <w:rFonts w:ascii="Times New Roman" w:cs="Times New Roman" w:eastAsia="Times New Roman" w:hAnsi="Times New Roman"/>
          <w:sz w:val="24"/>
          <w:szCs w:val="24"/>
        </w:rPr>
        <w:t xml:space="preserve"> Média harmónica entre a precisão e a sensibilidade de uma categoria.</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Fila de revisão.</w:t>
      </w:r>
      <w:r>
        <w:rPr>
          <w:rFonts w:ascii="Times New Roman" w:cs="Times New Roman" w:eastAsia="Times New Roman" w:hAnsi="Times New Roman"/>
          <w:sz w:val="24"/>
          <w:szCs w:val="24"/>
        </w:rPr>
        <w:t xml:space="preserve"> Lista de publicações por rever, ordenada pela prioridade calculada pelo sistema.</w:t>
      </w:r>
    </w:p>
    <w:p>
      <w:pPr>
        <w:spacing w:after="140" w:line="300"/>
        <w:jc w:val="both"/>
      </w:pPr>
      <w:r>
        <w:rPr>
          <w:rFonts w:ascii="Times New Roman" w:cs="Times New Roman" w:eastAsia="Times New Roman" w:hAnsi="Times New Roman"/>
          <w:b/>
          <w:bCs/>
          <w:sz w:val="24"/>
          <w:szCs w:val="24"/>
        </w:rPr>
        <w:t xml:space="preserve">HMAC.</w:t>
      </w:r>
      <w:r>
        <w:rPr>
          <w:rFonts w:ascii="Times New Roman" w:cs="Times New Roman" w:eastAsia="Times New Roman" w:hAnsi="Times New Roman"/>
          <w:sz w:val="24"/>
          <w:szCs w:val="24"/>
        </w:rPr>
        <w:t xml:space="preserve"> Código de autenticação de mensagens baseado numa função de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e num segredo; usado para gerar pseudónimos que não podem ser revertidos por dicionário sem o segredo.</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confirmadas pelo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TF-IDF.</w:t>
      </w:r>
      <w:r>
        <w:rPr>
          <w:rFonts w:ascii="Times New Roman" w:cs="Times New Roman" w:eastAsia="Times New Roman" w:hAnsi="Times New Roman"/>
          <w:sz w:val="24"/>
          <w:szCs w:val="24"/>
        </w:rPr>
        <w:t xml:space="preserve"> Representação de um texto pela frequência dos seus termos, ponderada pela raridade de cada termo no conjunto de documentos.</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Os excertos seguintes são reproduzidos, sem alterações, do código do protótipo (pasta sistema_uan do repositório do projecto). O código completo, com testes e documentação, está disponível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w:t>
      </w:r>
    </w:p>
    <w:p>
      <w:pPr>
        <w:spacing w:after="120" w:before="0" w:line="360"/>
        <w:ind w:firstLine="567"/>
        <w:jc w:val="both"/>
      </w:pPr>
      <w:r>
        <w:rPr>
          <w:rFonts w:ascii="Times New Roman" w:cs="Times New Roman" w:eastAsia="Times New Roman" w:hAnsi="Times New Roman"/>
          <w:sz w:val="24"/>
          <w:szCs w:val="24"/>
        </w:rPr>
        <w:t xml:space="preserve">Máscaras de identificadores directos e pseudónimo do autor (módulo sistema/anonimizacao.py).</w:t>
      </w:r>
    </w:p>
    <w:p>
      <w:pPr>
        <w:shd w:fill="F4F3EF" w:color="auto" w:val="clear"/>
        <w:spacing w:after="0" w:before="120" w:line="220"/>
        <w:ind w:left="113" w:right="113"/>
      </w:pPr>
      <w:r>
        <w:rPr>
          <w:rFonts w:ascii="Courier New" w:cs="Courier New" w:eastAsia="Courier New" w:hAnsi="Courier New"/>
          <w:sz w:val="17"/>
          <w:szCs w:val="17"/>
        </w:rPr>
        <w:t xml:space="preserve">_PADROES: list[tuple[re.Pattern[str], str]] = [</w:t>
      </w:r>
    </w:p>
    <w:p>
      <w:pPr>
        <w:shd w:fill="F4F3EF" w:color="auto" w:val="clear"/>
        <w:spacing w:after="0" w:before="0" w:line="220"/>
        <w:ind w:left="113" w:right="113"/>
      </w:pPr>
      <w:r>
        <w:rPr>
          <w:rFonts w:ascii="Courier New" w:cs="Courier New" w:eastAsia="Courier New" w:hAnsi="Courier New"/>
          <w:sz w:val="17"/>
          <w:szCs w:val="17"/>
        </w:rPr>
        <w:t xml:space="preserve">    (re.compile(r"https?://\S+|www\.\S+", re.IGNORECASE), "[URL]"),</w:t>
      </w:r>
    </w:p>
    <w:p>
      <w:pPr>
        <w:shd w:fill="F4F3EF" w:color="auto" w:val="clear"/>
        <w:spacing w:after="0" w:before="0" w:line="220"/>
        <w:ind w:left="113" w:right="113"/>
      </w:pPr>
      <w:r>
        <w:rPr>
          <w:rFonts w:ascii="Courier New" w:cs="Courier New" w:eastAsia="Courier New" w:hAnsi="Courier New"/>
          <w:sz w:val="17"/>
          <w:szCs w:val="17"/>
        </w:rPr>
        <w:t xml:space="preserve">    (re.compile(r"\b[\w.+-]+@[\w-]+\.[\w.-]+\b"), "[EMAIL]"),</w:t>
      </w:r>
    </w:p>
    <w:p>
      <w:pPr>
        <w:shd w:fill="F4F3EF" w:color="auto" w:val="clear"/>
        <w:spacing w:after="0" w:before="0" w:line="220"/>
        <w:ind w:left="113" w:right="113"/>
      </w:pPr>
      <w:r>
        <w:rPr>
          <w:rFonts w:ascii="Courier New" w:cs="Courier New" w:eastAsia="Courier New" w:hAnsi="Courier New"/>
          <w:sz w:val="17"/>
          <w:szCs w:val="17"/>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7"/>
          <w:szCs w:val="17"/>
        </w:rPr>
        <w:t xml:space="preserve">    (re.compile(r"(?&lt;!\w)(?:\+?244[\s-]?)?9\d{2}[\s-]?\d{3}[\s-]?\d{3}(?!\w)"), "[TELEFONE]"),</w:t>
      </w:r>
    </w:p>
    <w:p>
      <w:pPr>
        <w:shd w:fill="F4F3EF" w:color="auto" w:val="clear"/>
        <w:spacing w:after="0" w:before="0" w:line="220"/>
        <w:ind w:left="113" w:right="113"/>
      </w:pPr>
      <w:r>
        <w:rPr>
          <w:rFonts w:ascii="Courier New" w:cs="Courier New" w:eastAsia="Courier New" w:hAnsi="Courier New"/>
          <w:sz w:val="17"/>
          <w:szCs w:val="17"/>
        </w:rPr>
        <w:t xml:space="preserve">    (re.compile(r"(?&lt;!\w)@[\w.]{2,}"), "@[UTILIZADOR]"),</w:t>
      </w:r>
    </w:p>
    <w:p>
      <w:pPr>
        <w:shd w:fill="F4F3EF" w:color="auto" w:val="clear"/>
        <w:spacing w:after="0" w:before="0" w:line="220"/>
        <w:ind w:left="113" w:right="113"/>
      </w:pPr>
      <w:r>
        <w:rPr>
          <w:rFonts w:ascii="Courier New" w:cs="Courier New" w:eastAsia="Courier New" w:hAnsi="Courier New"/>
          <w:sz w:val="17"/>
          <w:szCs w:val="17"/>
        </w:rPr>
        <w:t xml:space="preserve">]</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mascarar_texto(texto: str) -&gt; str:</w:t>
      </w:r>
    </w:p>
    <w:p>
      <w:pPr>
        <w:shd w:fill="F4F3EF" w:color="auto" w:val="clear"/>
        <w:spacing w:after="0" w:before="0" w:line="220"/>
        <w:ind w:left="113" w:right="113"/>
      </w:pPr>
      <w:r>
        <w:rPr>
          <w:rFonts w:ascii="Courier New" w:cs="Courier New" w:eastAsia="Courier New" w:hAnsi="Courier New"/>
          <w:sz w:val="17"/>
          <w:szCs w:val="17"/>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7"/>
          <w:szCs w:val="17"/>
        </w:rPr>
        <w:t xml:space="preserve">    if not texto:</w:t>
      </w:r>
    </w:p>
    <w:p>
      <w:pPr>
        <w:shd w:fill="F4F3EF" w:color="auto" w:val="clear"/>
        <w:spacing w:after="0" w:before="0" w:line="220"/>
        <w:ind w:left="113" w:right="113"/>
      </w:pPr>
      <w:r>
        <w:rPr>
          <w:rFonts w:ascii="Courier New" w:cs="Courier New" w:eastAsia="Courier New" w:hAnsi="Courier New"/>
          <w:sz w:val="17"/>
          <w:szCs w:val="17"/>
        </w:rPr>
        <w:t xml:space="preserve">        return ""</w:t>
      </w:r>
    </w:p>
    <w:p>
      <w:pPr>
        <w:shd w:fill="F4F3EF" w:color="auto" w:val="clear"/>
        <w:spacing w:after="0" w:before="0" w:line="220"/>
        <w:ind w:left="113" w:right="113"/>
      </w:pPr>
      <w:r>
        <w:rPr>
          <w:rFonts w:ascii="Courier New" w:cs="Courier New" w:eastAsia="Courier New" w:hAnsi="Courier New"/>
          <w:sz w:val="17"/>
          <w:szCs w:val="17"/>
        </w:rPr>
        <w:t xml:space="preserve">    for padrao, marcador in _PADROES:</w:t>
      </w:r>
    </w:p>
    <w:p>
      <w:pPr>
        <w:shd w:fill="F4F3EF" w:color="auto" w:val="clear"/>
        <w:spacing w:after="0" w:before="0" w:line="220"/>
        <w:ind w:left="113" w:right="113"/>
      </w:pPr>
      <w:r>
        <w:rPr>
          <w:rFonts w:ascii="Courier New" w:cs="Courier New" w:eastAsia="Courier New" w:hAnsi="Courier New"/>
          <w:sz w:val="17"/>
          <w:szCs w:val="17"/>
        </w:rPr>
        <w:t xml:space="preserve">        texto = padrao.sub(marcador, texto)</w:t>
      </w:r>
    </w:p>
    <w:p>
      <w:pPr>
        <w:shd w:fill="F4F3EF" w:color="auto" w:val="clear"/>
        <w:spacing w:after="0" w:before="0" w:line="220"/>
        <w:ind w:left="113" w:right="113"/>
      </w:pPr>
      <w:r>
        <w:rPr>
          <w:rFonts w:ascii="Courier New" w:cs="Courier New" w:eastAsia="Courier New" w:hAnsi="Courier New"/>
          <w:sz w:val="17"/>
          <w:szCs w:val="17"/>
        </w:rPr>
        <w:t xml:space="preserve">    return re.sub(r"\s+", " ", texto).strip()</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7"/>
          <w:szCs w:val="17"/>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7"/>
          <w:szCs w:val="17"/>
        </w:rPr>
        <w:t xml:space="preserve">    if not autor:</w:t>
      </w:r>
    </w:p>
    <w:p>
      <w:pPr>
        <w:shd w:fill="F4F3EF" w:color="auto" w:val="clear"/>
        <w:spacing w:after="0" w:before="0" w:line="220"/>
        <w:ind w:left="113" w:right="113"/>
      </w:pPr>
      <w:r>
        <w:rPr>
          <w:rFonts w:ascii="Courier New" w:cs="Courier New" w:eastAsia="Courier New" w:hAnsi="Courier New"/>
          <w:sz w:val="17"/>
          <w:szCs w:val="17"/>
        </w:rPr>
        <w:t xml:space="preserve">        return None</w:t>
      </w:r>
    </w:p>
    <w:p>
      <w:pPr>
        <w:shd w:fill="F4F3EF" w:color="auto" w:val="clear"/>
        <w:spacing w:after="0" w:before="0" w:line="220"/>
        <w:ind w:left="113" w:right="113"/>
      </w:pPr>
      <w:r>
        <w:rPr>
          <w:rFonts w:ascii="Courier New" w:cs="Courier New" w:eastAsia="Courier New" w:hAnsi="Courier New"/>
          <w:sz w:val="17"/>
          <w:szCs w:val="17"/>
        </w:rPr>
        <w:t xml:space="preserve">    if not segredo:</w:t>
      </w:r>
    </w:p>
    <w:p>
      <w:pPr>
        <w:shd w:fill="F4F3EF" w:color="auto" w:val="clear"/>
        <w:spacing w:after="0" w:before="0" w:line="220"/>
        <w:ind w:left="113" w:right="113"/>
      </w:pPr>
      <w:r>
        <w:rPr>
          <w:rFonts w:ascii="Courier New" w:cs="Courier New" w:eastAsia="Courier New" w:hAnsi="Courier New"/>
          <w:sz w:val="17"/>
          <w:szCs w:val="17"/>
        </w:rPr>
        <w:t xml:space="preserve">        raise ValueError(</w:t>
      </w:r>
    </w:p>
    <w:p>
      <w:pPr>
        <w:shd w:fill="F4F3EF" w:color="auto" w:val="clear"/>
        <w:spacing w:after="0" w:before="0" w:line="220"/>
        <w:ind w:left="113" w:right="113"/>
      </w:pPr>
      <w:r>
        <w:rPr>
          <w:rFonts w:ascii="Courier New" w:cs="Courier New" w:eastAsia="Courier New" w:hAnsi="Courier New"/>
          <w:sz w:val="17"/>
          <w:szCs w:val="17"/>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7"/>
          <w:szCs w:val="17"/>
        </w:rPr>
        <w:t xml:space="preserve">            "pode ser revertido por dicionário."</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7"/>
          <w:szCs w:val="17"/>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w:t>
      </w:r>
    </w:p>
    <w:p>
      <w:pPr>
        <w:spacing w:after="120" w:before="0" w:line="360"/>
        <w:ind w:firstLine="567"/>
        <w:jc w:val="both"/>
      </w:pPr>
      <w:r>
        <w:rPr>
          <w:rFonts w:ascii="Times New Roman" w:cs="Times New Roman" w:eastAsia="Times New Roman" w:hAnsi="Times New Roman"/>
          <w:sz w:val="24"/>
          <w:szCs w:val="24"/>
        </w:rPr>
        <w:t xml:space="preserve">Método de classificação da classe ClassificadorBERTimbau (módulo sistema/classificador.py).</w:t>
      </w:r>
    </w:p>
    <w:p>
      <w:pPr>
        <w:shd w:fill="F4F3EF" w:color="auto" w:val="clear"/>
        <w:spacing w:after="0" w:before="120" w:line="220"/>
        <w:ind w:left="113" w:right="113"/>
      </w:pPr>
      <w:r>
        <w:rPr>
          <w:rFonts w:ascii="Courier New" w:cs="Courier New" w:eastAsia="Courier New" w:hAnsi="Courier New"/>
          <w:sz w:val="17"/>
          <w:szCs w:val="17"/>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7"/>
          <w:szCs w:val="17"/>
        </w:rPr>
        <w:t xml:space="preserve">        torch = self._torch</w:t>
      </w:r>
    </w:p>
    <w:p>
      <w:pPr>
        <w:shd w:fill="F4F3EF" w:color="auto" w:val="clear"/>
        <w:spacing w:after="0" w:before="0" w:line="220"/>
        <w:ind w:left="113" w:right="113"/>
      </w:pPr>
      <w:r>
        <w:rPr>
          <w:rFonts w:ascii="Courier New" w:cs="Courier New" w:eastAsia="Courier New" w:hAnsi="Courier New"/>
          <w:sz w:val="17"/>
          <w:szCs w:val="17"/>
        </w:rPr>
        <w:t xml:space="preserve">        resultados: list[Resultado] = []</w:t>
      </w:r>
    </w:p>
    <w:p>
      <w:pPr>
        <w:shd w:fill="F4F3EF" w:color="auto" w:val="clear"/>
        <w:spacing w:after="0" w:before="0" w:line="220"/>
        <w:ind w:left="113" w:right="113"/>
      </w:pPr>
      <w:r>
        <w:rPr>
          <w:rFonts w:ascii="Courier New" w:cs="Courier New" w:eastAsia="Courier New" w:hAnsi="Courier New"/>
          <w:sz w:val="17"/>
          <w:szCs w:val="17"/>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7"/>
          <w:szCs w:val="17"/>
        </w:rPr>
        <w:t xml:space="preserve">            lote = textos[i : i + self.tamanho_lote]</w:t>
      </w:r>
    </w:p>
    <w:p>
      <w:pPr>
        <w:shd w:fill="F4F3EF" w:color="auto" w:val="clear"/>
        <w:spacing w:after="0" w:before="0" w:line="220"/>
        <w:ind w:left="113" w:right="113"/>
      </w:pPr>
      <w:r>
        <w:rPr>
          <w:rFonts w:ascii="Courier New" w:cs="Courier New" w:eastAsia="Courier New" w:hAnsi="Courier New"/>
          <w:sz w:val="17"/>
          <w:szCs w:val="17"/>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7"/>
          <w:szCs w:val="17"/>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7"/>
          <w:szCs w:val="17"/>
        </w:rPr>
        <w:t xml:space="preserve">            with torch.no_grad():</w:t>
      </w:r>
    </w:p>
    <w:p>
      <w:pPr>
        <w:shd w:fill="F4F3EF" w:color="auto" w:val="clear"/>
        <w:spacing w:after="0" w:before="0" w:line="220"/>
        <w:ind w:left="113" w:right="113"/>
      </w:pPr>
      <w:r>
        <w:rPr>
          <w:rFonts w:ascii="Courier New" w:cs="Courier New" w:eastAsia="Courier New" w:hAnsi="Courier New"/>
          <w:sz w:val="17"/>
          <w:szCs w:val="17"/>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7"/>
          <w:szCs w:val="17"/>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7"/>
          <w:szCs w:val="17"/>
        </w:rPr>
        <w:t xml:space="preserve">        return resultados</w:t>
      </w:r>
    </w:p>
    <w:p>
      <w:pPr>
        <w:pStyle w:val="Heading2"/>
        <w:keepNext/>
        <w:keepLines/>
        <w:spacing w:after="160" w:before="360" w:line="300"/>
      </w:pPr>
      <w:r>
        <w:rPr>
          <w:rFonts w:ascii="Times New Roman" w:cs="Times New Roman" w:eastAsia="Times New Roman" w:hAnsi="Times New Roman"/>
          <w:b/>
          <w:bCs/>
          <w:sz w:val="26"/>
          <w:szCs w:val="26"/>
        </w:rPr>
        <w:t xml:space="preserve">A.3 Prioridade e classificação das publicações pendentes</w:t>
      </w:r>
    </w:p>
    <w:p>
      <w:pPr>
        <w:spacing w:after="120" w:before="0" w:line="360"/>
        <w:ind w:firstLine="567"/>
        <w:jc w:val="both"/>
      </w:pPr>
      <w:r>
        <w:rPr>
          <w:rFonts w:ascii="Times New Roman" w:cs="Times New Roman" w:eastAsia="Times New Roman" w:hAnsi="Times New Roman"/>
          <w:sz w:val="24"/>
          <w:szCs w:val="24"/>
        </w:rPr>
        <w:t xml:space="preserve">Cálculo da prioridade na fila e gravação das classificações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prioridade(res: Resultado) -&gt; float:</w:t>
      </w:r>
    </w:p>
    <w:p>
      <w:pPr>
        <w:shd w:fill="F4F3EF" w:color="auto" w:val="clear"/>
        <w:spacing w:after="0" w:before="0" w:line="220"/>
        <w:ind w:left="113" w:right="113"/>
      </w:pPr>
      <w:r>
        <w:rPr>
          <w:rFonts w:ascii="Courier New" w:cs="Courier New" w:eastAsia="Courier New" w:hAnsi="Courier New"/>
          <w:sz w:val="17"/>
          <w:szCs w:val="17"/>
        </w:rPr>
        <w:t xml:space="preserve">    """Prioridade na fila = probabilidade de NÃO ser Normal.</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Ordena pela suspeita global e não pela categoria prevista, para que um item</w:t>
      </w:r>
    </w:p>
    <w:p>
      <w:pPr>
        <w:shd w:fill="F4F3EF" w:color="auto" w:val="clear"/>
        <w:spacing w:after="0" w:before="0" w:line="220"/>
        <w:ind w:left="113" w:right="113"/>
      </w:pPr>
      <w:r>
        <w:rPr>
          <w:rFonts w:ascii="Courier New" w:cs="Courier New" w:eastAsia="Courier New" w:hAnsi="Courier New"/>
          <w:sz w:val="17"/>
          <w:szCs w:val="17"/>
        </w:rPr>
        <w:t xml:space="preserve">    com 45% Mobilizacao e 50% Normal (previsto Normal) também suba na fila.</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return 1.0 - res.probabilidades.get("Normal", 0.0)</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classificar_pendentes(bd: BaseDados, clf: Classificador, limite: int = 1000) -&gt; dict:</w:t>
      </w:r>
    </w:p>
    <w:p>
      <w:pPr>
        <w:shd w:fill="F4F3EF" w:color="auto" w:val="clear"/>
        <w:spacing w:after="0" w:before="0" w:line="220"/>
        <w:ind w:left="113" w:right="113"/>
      </w:pPr>
      <w:r>
        <w:rPr>
          <w:rFonts w:ascii="Courier New" w:cs="Courier New" w:eastAsia="Courier New" w:hAnsi="Courier New"/>
          <w:sz w:val="17"/>
          <w:szCs w:val="17"/>
        </w:rPr>
        <w:t xml:space="preserve">    pend = bd.pendentes(limite)</w:t>
      </w:r>
    </w:p>
    <w:p>
      <w:pPr>
        <w:shd w:fill="F4F3EF" w:color="auto" w:val="clear"/>
        <w:spacing w:after="0" w:before="0" w:line="220"/>
        <w:ind w:left="113" w:right="113"/>
      </w:pPr>
      <w:r>
        <w:rPr>
          <w:rFonts w:ascii="Courier New" w:cs="Courier New" w:eastAsia="Courier New" w:hAnsi="Courier New"/>
          <w:sz w:val="17"/>
          <w:szCs w:val="17"/>
        </w:rPr>
        <w:t xml:space="preserve">    if not pend:</w:t>
      </w:r>
    </w:p>
    <w:p>
      <w:pPr>
        <w:shd w:fill="F4F3EF" w:color="auto" w:val="clear"/>
        <w:spacing w:after="0" w:before="0" w:line="220"/>
        <w:ind w:left="113" w:right="113"/>
      </w:pPr>
      <w:r>
        <w:rPr>
          <w:rFonts w:ascii="Courier New" w:cs="Courier New" w:eastAsia="Courier New" w:hAnsi="Courier New"/>
          <w:sz w:val="17"/>
          <w:szCs w:val="17"/>
        </w:rPr>
        <w:t xml:space="preserve">        return {"classificados": 0}</w:t>
      </w:r>
    </w:p>
    <w:p>
      <w:pPr>
        <w:shd w:fill="F4F3EF" w:color="auto" w:val="clear"/>
        <w:spacing w:after="0" w:before="0" w:line="220"/>
        <w:ind w:left="113" w:right="113"/>
      </w:pPr>
      <w:r>
        <w:rPr>
          <w:rFonts w:ascii="Courier New" w:cs="Courier New" w:eastAsia="Courier New" w:hAnsi="Courier New"/>
          <w:sz w:val="17"/>
          <w:szCs w:val="17"/>
        </w:rPr>
        <w:t xml:space="preserve">    t0 = time.perf_counter()</w:t>
      </w:r>
    </w:p>
    <w:p>
      <w:pPr>
        <w:shd w:fill="F4F3EF" w:color="auto" w:val="clear"/>
        <w:spacing w:after="0" w:before="0" w:line="220"/>
        <w:ind w:left="113" w:right="113"/>
      </w:pPr>
      <w:r>
        <w:rPr>
          <w:rFonts w:ascii="Courier New" w:cs="Courier New" w:eastAsia="Courier New" w:hAnsi="Courier New"/>
          <w:sz w:val="17"/>
          <w:szCs w:val="17"/>
        </w:rPr>
        <w:t xml:space="preserve">    resultados = clf.classificar([p["texto"] for p in pend])</w:t>
      </w:r>
    </w:p>
    <w:p>
      <w:pPr>
        <w:shd w:fill="F4F3EF" w:color="auto" w:val="clear"/>
        <w:spacing w:after="0" w:before="0" w:line="220"/>
        <w:ind w:left="113" w:right="113"/>
      </w:pPr>
      <w:r>
        <w:rPr>
          <w:rFonts w:ascii="Courier New" w:cs="Courier New" w:eastAsia="Courier New" w:hAnsi="Courier New"/>
          <w:sz w:val="17"/>
          <w:szCs w:val="17"/>
        </w:rPr>
        <w:t xml:space="preserve">    dur_ms = (time.perf_counter() - t0) * 1000 / len(pend)</w:t>
      </w:r>
    </w:p>
    <w:p>
      <w:pPr>
        <w:shd w:fill="F4F3EF" w:color="auto" w:val="clear"/>
        <w:spacing w:after="0" w:before="0" w:line="220"/>
        <w:ind w:left="113" w:right="113"/>
      </w:pPr>
      <w:r>
        <w:rPr>
          <w:rFonts w:ascii="Courier New" w:cs="Courier New" w:eastAsia="Courier New" w:hAnsi="Courier New"/>
          <w:sz w:val="17"/>
          <w:szCs w:val="17"/>
        </w:rPr>
        <w:t xml:space="preserve">    quando = agora()</w:t>
      </w:r>
    </w:p>
    <w:p>
      <w:pPr>
        <w:shd w:fill="F4F3EF" w:color="auto" w:val="clear"/>
        <w:spacing w:after="0" w:before="0" w:line="220"/>
        <w:ind w:left="113" w:right="113"/>
      </w:pPr>
      <w:r>
        <w:rPr>
          <w:rFonts w:ascii="Courier New" w:cs="Courier New" w:eastAsia="Courier New" w:hAnsi="Courier New"/>
          <w:sz w:val="17"/>
          <w:szCs w:val="17"/>
        </w:rPr>
        <w:t xml:space="preserve">    bd.gravar_classificacoes([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"id_pub": p["id_pub"],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"probabilidades": json.dumps(r.probabilidades), "categoria": r.categoria,</w:t>
      </w:r>
    </w:p>
    <w:p>
      <w:pPr>
        <w:shd w:fill="F4F3EF" w:color="auto" w:val="clear"/>
        <w:spacing w:after="0" w:before="0" w:line="220"/>
        <w:ind w:left="113" w:right="113"/>
      </w:pPr>
      <w:r>
        <w:rPr>
          <w:rFonts w:ascii="Courier New" w:cs="Courier New" w:eastAsia="Courier New" w:hAnsi="Courier New"/>
          <w:sz w:val="17"/>
          <w:szCs w:val="17"/>
        </w:rPr>
        <w:t xml:space="preserve">            "confianca": r.confianca, "prioridade": prioridade(r),</w:t>
      </w:r>
    </w:p>
    <w:p>
      <w:pPr>
        <w:shd w:fill="F4F3EF" w:color="auto" w:val="clear"/>
        <w:spacing w:after="0" w:before="0" w:line="220"/>
        <w:ind w:left="113" w:right="113"/>
      </w:pPr>
      <w:r>
        <w:rPr>
          <w:rFonts w:ascii="Courier New" w:cs="Courier New" w:eastAsia="Courier New" w:hAnsi="Courier New"/>
          <w:sz w:val="17"/>
          <w:szCs w:val="17"/>
        </w:rPr>
        <w:t xml:space="preserve">            "classificado_em": quando, "duracao_ms": dur_ms,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for p, r in zip(pend, resultados)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bd.auditar("sistema", "classificacao", {"n": len(pend),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return {"classificados": len(pend), "ms_por_item": round(dur_ms, 2),</w:t>
      </w:r>
    </w:p>
    <w:p>
      <w:pPr>
        <w:shd w:fill="F4F3EF" w:color="auto" w:val="clear"/>
        <w:spacing w:after="200" w:before="0" w:line="220"/>
        <w:ind w:left="113" w:right="113"/>
      </w:pPr>
      <w:r>
        <w:rPr>
          <w:rFonts w:ascii="Courier New" w:cs="Courier New" w:eastAsia="Courier New" w:hAnsi="Courier New"/>
          <w:sz w:val="17"/>
          <w:szCs w:val="17"/>
        </w:rPr>
        <w:t xml:space="preserve">            "categorias": dict(Counter(r.categoria for r in resultados))}</w:t>
      </w:r>
    </w:p>
    <w:p>
      <w:pPr>
        <w:pStyle w:val="Heading2"/>
        <w:keepNext/>
        <w:keepLines/>
        <w:spacing w:after="160" w:before="360" w:line="300"/>
      </w:pPr>
      <w:r>
        <w:rPr>
          <w:rFonts w:ascii="Times New Roman" w:cs="Times New Roman" w:eastAsia="Times New Roman" w:hAnsi="Times New Roman"/>
          <w:b/>
          <w:bCs/>
          <w:sz w:val="26"/>
          <w:szCs w:val="26"/>
        </w:rPr>
        <w:t xml:space="preserve">A.4 Métricas operacionais</w:t>
      </w:r>
    </w:p>
    <w:p>
      <w:pPr>
        <w:spacing w:after="120" w:before="0" w:line="360"/>
        <w:ind w:firstLine="567"/>
        <w:jc w:val="both"/>
      </w:pPr>
      <w:r>
        <w:rPr>
          <w:rFonts w:ascii="Times New Roman" w:cs="Times New Roman" w:eastAsia="Times New Roman" w:hAnsi="Times New Roman"/>
          <w:sz w:val="24"/>
          <w:szCs w:val="24"/>
        </w:rPr>
        <w:t xml:space="preserve">Precisão nos primeiros K, concordância e Kappa entre analista e sistema, e latência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metricas(bd: BaseDados, ks: tuple[int, ...] = (10, 25, 50, 100)) -&gt; dict:</w:t>
      </w:r>
    </w:p>
    <w:p>
      <w:pPr>
        <w:shd w:fill="F4F3EF" w:color="auto" w:val="clear"/>
        <w:spacing w:after="0" w:before="0" w:line="220"/>
        <w:ind w:left="113" w:right="113"/>
      </w:pPr>
      <w:r>
        <w:rPr>
          <w:rFonts w:ascii="Courier New" w:cs="Courier New" w:eastAsia="Courier New" w:hAnsi="Courier New"/>
          <w:sz w:val="17"/>
          <w:szCs w:val="17"/>
        </w:rPr>
        <w:t xml:space="preserve">    """Métricas operacionais a partir das revisões humanas.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 precisão@K: entre os K itens de maior prioridade já revistos, fracção que o</w:t>
      </w:r>
    </w:p>
    <w:p>
      <w:pPr>
        <w:shd w:fill="F4F3EF" w:color="auto" w:val="clear"/>
        <w:spacing w:after="0" w:before="0" w:line="220"/>
        <w:ind w:left="113" w:right="113"/>
      </w:pPr>
      <w:r>
        <w:rPr>
          <w:rFonts w:ascii="Courier New" w:cs="Courier New" w:eastAsia="Courier New" w:hAnsi="Courier New"/>
          <w:sz w:val="17"/>
          <w:szCs w:val="17"/>
        </w:rPr>
        <w:t xml:space="preserve">      analista confirmou como ameaça (qualquer categoria diferente de Normal);</w:t>
      </w:r>
    </w:p>
    <w:p>
      <w:pPr>
        <w:shd w:fill="F4F3EF" w:color="auto" w:val="clear"/>
        <w:spacing w:after="0" w:before="0" w:line="220"/>
        <w:ind w:left="113" w:right="113"/>
      </w:pPr>
      <w:r>
        <w:rPr>
          <w:rFonts w:ascii="Courier New" w:cs="Courier New" w:eastAsia="Courier New" w:hAnsi="Courier New"/>
          <w:sz w:val="17"/>
          <w:szCs w:val="17"/>
        </w:rPr>
        <w:t xml:space="preserve">    - concordância e Kappa analista–sistema;</w:t>
      </w:r>
    </w:p>
    <w:p>
      <w:pPr>
        <w:shd w:fill="F4F3EF" w:color="auto" w:val="clear"/>
        <w:spacing w:after="0" w:before="0" w:line="220"/>
        <w:ind w:left="113" w:right="113"/>
      </w:pPr>
      <w:r>
        <w:rPr>
          <w:rFonts w:ascii="Courier New" w:cs="Courier New" w:eastAsia="Courier New" w:hAnsi="Courier New"/>
          <w:sz w:val="17"/>
          <w:szCs w:val="17"/>
        </w:rPr>
        <w:t xml:space="preserve">    - latência recolha→classificação (mediana e P95), para a H2.</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rev = bd.consultar(</w:t>
      </w:r>
    </w:p>
    <w:p>
      <w:pPr>
        <w:shd w:fill="F4F3EF" w:color="auto" w:val="clear"/>
        <w:spacing w:after="0" w:before="0" w:line="220"/>
        <w:ind w:left="113" w:right="113"/>
      </w:pPr>
      <w:r>
        <w:rPr>
          <w:rFonts w:ascii="Courier New" w:cs="Courier New" w:eastAsia="Courier New" w:hAnsi="Courier New"/>
          <w:sz w:val="17"/>
          <w:szCs w:val="17"/>
        </w:rPr>
        <w:t xml:space="preserve">        """SELECT k.categoria AS sistema, r.categoria AS analista, k.prioridade</w:t>
      </w:r>
    </w:p>
    <w:p>
      <w:pPr>
        <w:shd w:fill="F4F3EF" w:color="auto" w:val="clear"/>
        <w:spacing w:after="0" w:before="0" w:line="220"/>
        <w:ind w:left="113" w:right="113"/>
      </w:pPr>
      <w:r>
        <w:rPr>
          <w:rFonts w:ascii="Courier New" w:cs="Courier New" w:eastAsia="Courier New" w:hAnsi="Courier New"/>
          <w:sz w:val="17"/>
          <w:szCs w:val="17"/>
        </w:rPr>
        <w:t xml:space="preserve">           FROM revisoes r JOIN classificacoes k ON k.id_pub = r.id_pub ORDER BY k.prioridade DESC"""</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out: dict = {"n_revistas": len(rev)}</w:t>
      </w:r>
    </w:p>
    <w:p>
      <w:pPr>
        <w:shd w:fill="F4F3EF" w:color="auto" w:val="clear"/>
        <w:spacing w:after="0" w:before="0" w:line="220"/>
        <w:ind w:left="113" w:right="113"/>
      </w:pPr>
      <w:r>
        <w:rPr>
          <w:rFonts w:ascii="Courier New" w:cs="Courier New" w:eastAsia="Courier New" w:hAnsi="Courier New"/>
          <w:sz w:val="17"/>
          <w:szCs w:val="17"/>
        </w:rPr>
        <w:t xml:space="preserve">    if rev:</w:t>
      </w:r>
    </w:p>
    <w:p>
      <w:pPr>
        <w:shd w:fill="F4F3EF" w:color="auto" w:val="clear"/>
        <w:spacing w:after="0" w:before="0" w:line="220"/>
        <w:ind w:left="113" w:right="113"/>
      </w:pPr>
      <w:r>
        <w:rPr>
          <w:rFonts w:ascii="Courier New" w:cs="Courier New" w:eastAsia="Courier New" w:hAnsi="Courier New"/>
          <w:sz w:val="17"/>
          <w:szCs w:val="17"/>
        </w:rPr>
        <w:t xml:space="preserve">        ameaca = [x["analista"] != "Normal" for x in rev]</w:t>
      </w:r>
    </w:p>
    <w:p>
      <w:pPr>
        <w:shd w:fill="F4F3EF" w:color="auto" w:val="clear"/>
        <w:spacing w:after="0" w:before="0" w:line="220"/>
        <w:ind w:left="113" w:right="113"/>
      </w:pPr>
      <w:r>
        <w:rPr>
          <w:rFonts w:ascii="Courier New" w:cs="Courier New" w:eastAsia="Courier New" w:hAnsi="Courier New"/>
          <w:sz w:val="17"/>
          <w:szCs w:val="17"/>
        </w:rPr>
        <w:t xml:space="preserve">        out["precisao_at_k"] = {k: round(sum(ameaca[:k]) / min(k, len(ameaca)), 3) for k in ks if len(ameaca) &gt;= k}</w:t>
      </w:r>
    </w:p>
    <w:p>
      <w:pPr>
        <w:shd w:fill="F4F3EF" w:color="auto" w:val="clear"/>
        <w:spacing w:after="0" w:before="0" w:line="220"/>
        <w:ind w:left="113" w:right="113"/>
      </w:pPr>
      <w:r>
        <w:rPr>
          <w:rFonts w:ascii="Courier New" w:cs="Courier New" w:eastAsia="Courier New" w:hAnsi="Courier New"/>
          <w:sz w:val="17"/>
          <w:szCs w:val="17"/>
        </w:rPr>
        <w:t xml:space="preserve">        s, a = [x["sistema"] for x in rev], [x["analista"] for x in rev]</w:t>
      </w:r>
    </w:p>
    <w:p>
      <w:pPr>
        <w:shd w:fill="F4F3EF" w:color="auto" w:val="clear"/>
        <w:spacing w:after="0" w:before="0" w:line="220"/>
        <w:ind w:left="113" w:right="113"/>
      </w:pPr>
      <w:r>
        <w:rPr>
          <w:rFonts w:ascii="Courier New" w:cs="Courier New" w:eastAsia="Courier New" w:hAnsi="Courier New"/>
          <w:sz w:val="17"/>
          <w:szCs w:val="17"/>
        </w:rPr>
        <w:t xml:space="preserve">        out["concordancia"] = round(sum(x == y for x, y in zip(s, a)) / len(rev), 3)</w:t>
      </w:r>
    </w:p>
    <w:p>
      <w:pPr>
        <w:shd w:fill="F4F3EF" w:color="auto" w:val="clear"/>
        <w:spacing w:after="0" w:before="0" w:line="220"/>
        <w:ind w:left="113" w:right="113"/>
      </w:pPr>
      <w:r>
        <w:rPr>
          <w:rFonts w:ascii="Courier New" w:cs="Courier New" w:eastAsia="Courier New" w:hAnsi="Courier New"/>
          <w:sz w:val="17"/>
          <w:szCs w:val="17"/>
        </w:rPr>
        <w:t xml:space="preserve">        k = _kappa(s, a)</w:t>
      </w:r>
    </w:p>
    <w:p>
      <w:pPr>
        <w:shd w:fill="F4F3EF" w:color="auto" w:val="clear"/>
        <w:spacing w:after="0" w:before="0" w:line="220"/>
        <w:ind w:left="113" w:right="113"/>
      </w:pPr>
      <w:r>
        <w:rPr>
          <w:rFonts w:ascii="Courier New" w:cs="Courier New" w:eastAsia="Courier New" w:hAnsi="Courier New"/>
          <w:sz w:val="17"/>
          <w:szCs w:val="17"/>
        </w:rPr>
        <w:t xml:space="preserve">        out["kappa_analista_sistema"] = None if k is None else round(k, 3)</w:t>
      </w:r>
    </w:p>
    <w:p>
      <w:pPr>
        <w:shd w:fill="F4F3EF" w:color="auto" w:val="clear"/>
        <w:spacing w:after="0" w:before="0" w:line="220"/>
        <w:ind w:left="113" w:right="113"/>
      </w:pPr>
      <w:r>
        <w:rPr>
          <w:rFonts w:ascii="Courier New" w:cs="Courier New" w:eastAsia="Courier New" w:hAnsi="Courier New"/>
          <w:sz w:val="17"/>
          <w:szCs w:val="17"/>
        </w:rPr>
        <w:t xml:space="preserve">        out["por_categoria"] = {</w:t>
      </w:r>
    </w:p>
    <w:p>
      <w:pPr>
        <w:shd w:fill="F4F3EF" w:color="auto" w:val="clear"/>
        <w:spacing w:after="0" w:before="0" w:line="220"/>
        <w:ind w:left="113" w:right="113"/>
      </w:pPr>
      <w:r>
        <w:rPr>
          <w:rFonts w:ascii="Courier New" w:cs="Courier New" w:eastAsia="Courier New" w:hAnsi="Courier New"/>
          <w:sz w:val="17"/>
          <w:szCs w:val="17"/>
        </w:rPr>
        <w:t xml:space="preserve">            c: {"previstas": s.count(c), "confirmadas": sum(1 for x, y in zip(s, a) if x == c and y == c)}</w:t>
      </w:r>
    </w:p>
    <w:p>
      <w:pPr>
        <w:shd w:fill="F4F3EF" w:color="auto" w:val="clear"/>
        <w:spacing w:after="0" w:before="0" w:line="220"/>
        <w:ind w:left="113" w:right="113"/>
      </w:pPr>
      <w:r>
        <w:rPr>
          <w:rFonts w:ascii="Courier New" w:cs="Courier New" w:eastAsia="Courier New" w:hAnsi="Courier New"/>
          <w:sz w:val="17"/>
          <w:szCs w:val="17"/>
        </w:rPr>
        <w:t xml:space="preserve">            for c in ROTULOS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lat = bd.consultar(</w:t>
      </w:r>
    </w:p>
    <w:p>
      <w:pPr>
        <w:shd w:fill="F4F3EF" w:color="auto" w:val="clear"/>
        <w:spacing w:after="0" w:before="0" w:line="220"/>
        <w:ind w:left="113" w:right="113"/>
      </w:pPr>
      <w:r>
        <w:rPr>
          <w:rFonts w:ascii="Courier New" w:cs="Courier New" w:eastAsia="Courier New" w:hAnsi="Courier New"/>
          <w:sz w:val="17"/>
          <w:szCs w:val="17"/>
        </w:rPr>
        <w:t xml:space="preserve">        """SELECT p.recolhido_em, k.classificado_em FROM classificacoes k JOIN publicacoes p ON p.id_pub = k.id_pub"""</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seg = [</w:t>
      </w:r>
    </w:p>
    <w:p>
      <w:pPr>
        <w:shd w:fill="F4F3EF" w:color="auto" w:val="clear"/>
        <w:spacing w:after="0" w:before="0" w:line="220"/>
        <w:ind w:left="113" w:right="113"/>
      </w:pPr>
      <w:r>
        <w:rPr>
          <w:rFonts w:ascii="Courier New" w:cs="Courier New" w:eastAsia="Courier New" w:hAnsi="Courier New"/>
          <w:sz w:val="17"/>
          <w:szCs w:val="17"/>
        </w:rPr>
        <w:t xml:space="preserve">        (datetime.fromisoformat(x["classificado_em"]) - datetime.fromisoformat(x["recolhido_em"])).total_seconds()</w:t>
      </w:r>
    </w:p>
    <w:p>
      <w:pPr>
        <w:shd w:fill="F4F3EF" w:color="auto" w:val="clear"/>
        <w:spacing w:after="0" w:before="0" w:line="220"/>
        <w:ind w:left="113" w:right="113"/>
      </w:pPr>
      <w:r>
        <w:rPr>
          <w:rFonts w:ascii="Courier New" w:cs="Courier New" w:eastAsia="Courier New" w:hAnsi="Courier New"/>
          <w:sz w:val="17"/>
          <w:szCs w:val="17"/>
        </w:rPr>
        <w:t xml:space="preserve">        for x in lat</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if seg:</w:t>
      </w:r>
    </w:p>
    <w:p>
      <w:pPr>
        <w:shd w:fill="F4F3EF" w:color="auto" w:val="clear"/>
        <w:spacing w:after="0" w:before="0" w:line="220"/>
        <w:ind w:left="113" w:right="113"/>
      </w:pPr>
      <w:r>
        <w:rPr>
          <w:rFonts w:ascii="Courier New" w:cs="Courier New" w:eastAsia="Courier New" w:hAnsi="Courier New"/>
          <w:sz w:val="17"/>
          <w:szCs w:val="17"/>
        </w:rPr>
        <w:t xml:space="preserve">        seg.sort()</w:t>
      </w:r>
    </w:p>
    <w:p>
      <w:pPr>
        <w:shd w:fill="F4F3EF" w:color="auto" w:val="clear"/>
        <w:spacing w:after="0" w:before="0" w:line="220"/>
        <w:ind w:left="113" w:right="113"/>
      </w:pPr>
      <w:r>
        <w:rPr>
          <w:rFonts w:ascii="Courier New" w:cs="Courier New" w:eastAsia="Courier New" w:hAnsi="Courier New"/>
          <w:sz w:val="17"/>
          <w:szCs w:val="17"/>
        </w:rPr>
        <w:t xml:space="preserve">        out["latencia_s"] = {</w:t>
      </w:r>
    </w:p>
    <w:p>
      <w:pPr>
        <w:shd w:fill="F4F3EF" w:color="auto" w:val="clear"/>
        <w:spacing w:after="0" w:before="0" w:line="220"/>
        <w:ind w:left="113" w:right="113"/>
      </w:pPr>
      <w:r>
        <w:rPr>
          <w:rFonts w:ascii="Courier New" w:cs="Courier New" w:eastAsia="Courier New" w:hAnsi="Courier New"/>
          <w:sz w:val="17"/>
          <w:szCs w:val="17"/>
        </w:rPr>
        <w:t xml:space="preserve">            "n": len(seg), "mediana": round(statistics.median(seg), 3),</w:t>
      </w:r>
    </w:p>
    <w:p>
      <w:pPr>
        <w:shd w:fill="F4F3EF" w:color="auto" w:val="clear"/>
        <w:spacing w:after="0" w:before="0" w:line="220"/>
        <w:ind w:left="113" w:right="113"/>
      </w:pPr>
      <w:r>
        <w:rPr>
          <w:rFonts w:ascii="Courier New" w:cs="Courier New" w:eastAsia="Courier New" w:hAnsi="Courier New"/>
          <w:sz w:val="17"/>
          <w:szCs w:val="17"/>
        </w:rPr>
        <w:t xml:space="preserve">            "p95": round(seg[min(len(seg) - 1, int(0.95 * len(seg)))], 3), "max": round(seg[-1], 3),</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inf = bd.consultar("SELECT AVG(duracao_ms) AS m FROM classificacoes")</w:t>
      </w:r>
    </w:p>
    <w:p>
      <w:pPr>
        <w:shd w:fill="F4F3EF" w:color="auto" w:val="clear"/>
        <w:spacing w:after="0" w:before="0" w:line="220"/>
        <w:ind w:left="113" w:right="113"/>
      </w:pPr>
      <w:r>
        <w:rPr>
          <w:rFonts w:ascii="Courier New" w:cs="Courier New" w:eastAsia="Courier New" w:hAnsi="Courier New"/>
          <w:sz w:val="17"/>
          <w:szCs w:val="17"/>
        </w:rPr>
        <w:t xml:space="preserve">    if inf and inf[0]["m"] is not None:</w:t>
      </w:r>
    </w:p>
    <w:p>
      <w:pPr>
        <w:shd w:fill="F4F3EF" w:color="auto" w:val="clear"/>
        <w:spacing w:after="0" w:before="0" w:line="220"/>
        <w:ind w:left="113" w:right="113"/>
      </w:pPr>
      <w:r>
        <w:rPr>
          <w:rFonts w:ascii="Courier New" w:cs="Courier New" w:eastAsia="Courier New" w:hAnsi="Courier New"/>
          <w:sz w:val="17"/>
          <w:szCs w:val="17"/>
        </w:rPr>
        <w:t xml:space="preserve">        out["inferencia_ms_por_item"] = round(inf[0]["m"], 2)</w:t>
      </w:r>
    </w:p>
    <w:p>
      <w:pPr>
        <w:shd w:fill="F4F3EF" w:color="auto" w:val="clear"/>
        <w:spacing w:after="200" w:before="0" w:line="220"/>
        <w:ind w:left="113" w:right="113"/>
      </w:pPr>
      <w:r>
        <w:rPr>
          <w:rFonts w:ascii="Courier New" w:cs="Courier New" w:eastAsia="Courier New" w:hAnsi="Courier New"/>
          <w:sz w:val="17"/>
          <w:szCs w:val="17"/>
        </w:rPr>
        <w:t xml:space="preserve">    return out</w:t>
      </w:r>
    </w:p>
    <w:p>
      <w:pPr>
        <w:sectPr>
          <w:headerReference w:type="default" r:id="rId27"/>
          <w:footerReference w:type="default" r:id="rId2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comentários com calão ou expressões de línguas nacionais, aplique os mesmos critérios; em caso de dúvida sobre o significado, registe-a na coluna de observações.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Ironia e sátira sem intenção de dano são Normal; ironia que mascara conteúdo nocivo segue a categoria correspondente.</w:t>
      </w:r>
    </w:p>
    <w:p>
      <w:pPr>
        <w:pStyle w:val="Heading2"/>
        <w:keepNext/>
        <w:keepLines/>
        <w:spacing w:after="160" w:before="360" w:line="300"/>
      </w:pPr>
      <w:r>
        <w:rPr>
          <w:rFonts w:ascii="Times New Roman" w:cs="Times New Roman" w:eastAsia="Times New Roman" w:hAnsi="Times New Roman"/>
          <w:b/>
          <w:bCs/>
          <w:sz w:val="26"/>
          <w:szCs w:val="26"/>
        </w:rPr>
        <w:t xml:space="preserve">B.6 Instruções de preenchimento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Ler cada comentário na íntegra antes de classificar.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Registar a categoria e, nos casos difíceis, uma observação.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consultar os outros anotadores durante a fase individual.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caso de dúvida persistente, registar e continuar, sem bloquear o processo.</w:t>
      </w:r>
    </w:p>
    <w:p>
      <w:pPr>
        <w:sectPr>
          <w:headerReference w:type="default" r:id="rId29"/>
          <w:footerReference w:type="default" r:id="rId30"/>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não é comparável com o das amostras aleatórias,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nas amostras aleatórias do piloto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(amostras aleatórias,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sem lotes enriquecidos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script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Comentários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as amostras aleatórias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das amostras aleatórias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 eles moram lá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5"/>
          <w:footerReference w:type="default" r:id="rId36"/>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SISTEMA</w:t>
      </w:r>
    </w:p>
    <w:p>
      <w:pPr>
        <w:spacing w:after="120" w:before="0" w:line="360"/>
        <w:ind w:firstLine="567"/>
        <w:jc w:val="both"/>
      </w:pPr>
      <w:r>
        <w:rPr>
          <w:rFonts w:ascii="Times New Roman" w:cs="Times New Roman" w:eastAsia="Times New Roman" w:hAnsi="Times New Roman"/>
          <w:sz w:val="24"/>
          <w:szCs w:val="24"/>
        </w:rPr>
        <w:t xml:space="preserve">O sistema está na pasta sistema_uan do repositório do projecto. Os comandos seguintes destinam-se à linha de comandos do Windows (cmd), executados nessa pasta.</w:t>
      </w:r>
    </w:p>
    <w:p>
      <w:pPr>
        <w:pStyle w:val="Heading2"/>
        <w:keepNext/>
        <w:keepLines/>
        <w:spacing w:after="160" w:before="360" w:line="300"/>
      </w:pPr>
      <w:r>
        <w:rPr>
          <w:rFonts w:ascii="Times New Roman" w:cs="Times New Roman" w:eastAsia="Times New Roman" w:hAnsi="Times New Roman"/>
          <w:b/>
          <w:bCs/>
          <w:sz w:val="26"/>
          <w:szCs w:val="26"/>
        </w:rPr>
        <w:t xml:space="preserve">F.1 Instalação</w:t>
      </w:r>
    </w:p>
    <w:p>
      <w:pPr>
        <w:shd w:fill="F4F3EF" w:color="auto" w:val="clear"/>
        <w:spacing w:after="0" w:before="120" w:line="220"/>
        <w:ind w:left="113" w:right="113"/>
      </w:pPr>
      <w:r>
        <w:rPr>
          <w:rFonts w:ascii="Courier New" w:cs="Courier New" w:eastAsia="Courier New" w:hAnsi="Courier New"/>
          <w:sz w:val="17"/>
          <w:szCs w:val="17"/>
        </w:rPr>
        <w:t xml:space="preserve">python -m pip install -r requirements.txt</w:t>
      </w:r>
    </w:p>
    <w:p>
      <w:pPr>
        <w:shd w:fill="F4F3EF" w:color="auto" w:val="clear"/>
        <w:spacing w:after="200" w:before="0" w:line="220"/>
        <w:ind w:left="113" w:right="113"/>
      </w:pPr>
      <w:r>
        <w:rPr>
          <w:rFonts w:ascii="Courier New" w:cs="Courier New" w:eastAsia="Courier New" w:hAnsi="Courier New"/>
          <w:sz w:val="17"/>
          <w:szCs w:val="17"/>
        </w:rPr>
        <w:t xml:space="preserve">python -m pytest -q</w:t>
      </w:r>
    </w:p>
    <w:p>
      <w:pPr>
        <w:pStyle w:val="Heading2"/>
        <w:keepNext/>
        <w:keepLines/>
        <w:spacing w:after="160" w:before="360" w:line="300"/>
      </w:pPr>
      <w:r>
        <w:rPr>
          <w:rFonts w:ascii="Times New Roman" w:cs="Times New Roman" w:eastAsia="Times New Roman" w:hAnsi="Times New Roman"/>
          <w:b/>
          <w:bCs/>
          <w:sz w:val="26"/>
          <w:szCs w:val="26"/>
        </w:rPr>
        <w:t xml:space="preserve">F.2 Configuração</w:t>
      </w:r>
    </w:p>
    <w:p>
      <w:pPr>
        <w:spacing w:after="120" w:before="0" w:line="360"/>
        <w:ind w:firstLine="567"/>
        <w:jc w:val="both"/>
      </w:pPr>
      <w:r>
        <w:rPr>
          <w:rFonts w:ascii="Times New Roman" w:cs="Times New Roman" w:eastAsia="Times New Roman" w:hAnsi="Times New Roman"/>
          <w:sz w:val="24"/>
          <w:szCs w:val="24"/>
        </w:rPr>
        <w:t xml:space="preserve">O sistema lê a configuração do ficheiro uan.env, na pasta do sistema, que se cria a partir de uan.env.exemplo e nunca é guardado no repositório. As duas variáveis essenciais são a pasta do modelo e o segredo dos pseudónimos:</w:t>
      </w:r>
    </w:p>
    <w:p>
      <w:pPr>
        <w:shd w:fill="F4F3EF" w:color="auto" w:val="clear"/>
        <w:spacing w:after="0" w:before="120" w:line="220"/>
        <w:ind w:left="113" w:right="113"/>
      </w:pPr>
      <w:r>
        <w:rPr>
          <w:rFonts w:ascii="Courier New" w:cs="Courier New" w:eastAsia="Courier New" w:hAnsi="Courier New"/>
          <w:sz w:val="17"/>
          <w:szCs w:val="17"/>
        </w:rPr>
        <w:t xml:space="preserve">UAN_MODELO=C:\modelos\bertimbau_uan_v13_s42</w:t>
      </w:r>
    </w:p>
    <w:p>
      <w:pPr>
        <w:shd w:fill="F4F3EF" w:color="auto" w:val="clear"/>
        <w:spacing w:after="200" w:before="0" w:line="220"/>
        <w:ind w:left="113" w:right="113"/>
      </w:pPr>
      <w:r>
        <w:rPr>
          <w:rFonts w:ascii="Courier New" w:cs="Courier New" w:eastAsia="Courier New" w:hAnsi="Courier New"/>
          <w:sz w:val="17"/>
          <w:szCs w:val="17"/>
        </w:rPr>
        <w:t xml:space="preserve">UAN_SEGREDO_HASH=frase-secreta-longa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Variáveis de configuração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3920"/>
      </w:tblGrid>
      <w:tr>
        <w:trPr>
          <w:cantSplit/>
          <w:tblHeader/>
        </w:trPr>
        <w:tc>
          <w:tcPr>
            <w:tcW w:type="dxa" w:w="2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Variável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Valor por omissão</w:t>
            </w:r>
          </w:p>
        </w:tc>
        <w:tc>
          <w:tcPr>
            <w:tcW w:type="dxa" w:w="39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Significado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UAN_MODELO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Pasta do modelo; vazio activa o classificador de demonstração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UAN_SEGREDO_HASH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Segredo do pseudónimo dos autores; obrigatório para importar</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UAN_CHAVE_API</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Chave da interface de programação em /api; vazio desactiva-a</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UAN_BD</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dados\sistema.db</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Ficheiro da base de dados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UAN_MAX_LENGTH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256</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Comprimento máximo em subpalavras (igual ao do treino)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UAN_LOTE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32</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Lote de inferência e sublote de gravação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UAN_DISPOSITIVO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auto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cpu, cuda ou auto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UAN_DIAS_CONSERVACAO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180</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Prazo de conservação das publicações não revistas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UAN_HORAS_SESSAO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Duração da sessão na aplicação web</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UAN_COOKIE_SEGURO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quando o sistema for servido por HTTPS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UAN_YOUTUBE_CHAVE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Chave da YouTube Data API v3; vazio limita a recolha às fontes web</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UAN_RECOLHA_INTERVALO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Segundos entre pedidos ao mesmo sítio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UAN_RECOLHA_MAX_PAGINAS</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40</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de páginas visitadas por fonte em cada recolha</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UAN_SMTP_SERVIDOR</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Servidor de e-mail dos alertas; vazio deixa os alertas só na aplicação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UAN_SMTP_PORTA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587</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587 com STARTTLS ou 465 com SSL</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UAN_SMTP_UTILIZADOR, UAN_SMTP_SENHA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 de envio, quando o servidor exige autenticação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UAN_SMTP_REMETENTE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Endereço que aparece como remetente</w:t>
            </w:r>
          </w:p>
        </w:tc>
      </w:tr>
      <w:tr>
        <w:trPr>
          <w:cantSplit/>
          <w:tblHeader w:val="false"/>
        </w:trPr>
        <w:tc>
          <w:tcPr>
            <w:tcW w:type="dxa" w:w="2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UAN_URL_BASE</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http://127.0.0.1:8000</w:t>
            </w:r>
          </w:p>
        </w:tc>
        <w:tc>
          <w:tcPr>
            <w:tcW w:type="dxa" w:w="39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Endereço do sistema, usado nas ligações dos e-mails</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F.3 Arranque e primeira utilização</w:t>
      </w:r>
    </w:p>
    <w:p>
      <w:pPr>
        <w:shd w:fill="F4F3EF" w:color="auto" w:val="clear"/>
        <w:spacing w:after="200" w:before="120" w:line="220"/>
        <w:ind w:left="113" w:right="113"/>
      </w:pPr>
      <w:r>
        <w:rPr>
          <w:rFonts w:ascii="Courier New" w:cs="Courier New" w:eastAsia="Courier New" w:hAnsi="Courier New"/>
          <w:sz w:val="17"/>
          <w:szCs w:val="17"/>
        </w:rPr>
        <w:t xml:space="preserve">python uan.py servir</w:t>
      </w:r>
    </w:p>
    <w:p>
      <w:pPr>
        <w:spacing w:after="120" w:before="0" w:line="360"/>
        <w:ind w:firstLine="567"/>
        <w:jc w:val="both"/>
      </w:pPr>
      <w:r>
        <w:rPr>
          <w:rFonts w:ascii="Times New Roman" w:cs="Times New Roman" w:eastAsia="Times New Roman" w:hAnsi="Times New Roman"/>
          <w:sz w:val="24"/>
          <w:szCs w:val="24"/>
        </w:rPr>
        <w:t xml:space="preserve">Depois de arrancar, abre-se o endereço http://127.0.0.1:8000 no navegador. Na primeira utilização, a aplicação pede a criação da conta do supervisor, que depois cria as contas dos analistas na página Utilizadores. Por omissão, o servidor só aceita ligações do próprio computador; para o abrir à rede interna usa-se a opção --anfitriao 0.0.0.0, com a porta protegida pela firewall e, fora de ensaios, atrás de HTTPS.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Páginas da aplicação web</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412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Página</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Acesso</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Função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Panorama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Contagens por categoria, dia, plataforma e lote, sem vistas por autor</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Fila de revisão</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Itens sinalizados por prioridade; decisão com botões ou teclas 1 a 4</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Amostra de controlo</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Itens classificados como Normal, sorteados, sempre sem sugestão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Fontes e recolha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Registo de fontes públicas (YouTube, RSS, páginas e sítios) e recolha</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Alertas</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Ameaças confirmadas e tendências, com contador de alertas por ver</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Mapa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Taxa de ameaças por província e variação face ao período anterior, no período escolhido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Relatório</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 (enviar: 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Relatório de alertas de ameaças: imprimir, PDF, CSV e e-mail</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Lotes</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Todos (importar: 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Importação, proveniência e classificação de pendentes</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Métricas</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Precisão@K, κ analista–sistema e entre analistas, sensibilidade, latência; exportações</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Utilizadores</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Criação, desactivação e redefinição de palavra-passe</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Registo de todas as acções relevantes</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Definições</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Supervisor</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Revisão cega, regras e destinatários dos alertas, limpeza de conservação e cópias de segurança</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F.4 Recolha de novos dados</w:t>
      </w:r>
    </w:p>
    <w:p>
      <w:pPr>
        <w:spacing w:after="120" w:before="0" w:line="360"/>
        <w:ind w:firstLine="567"/>
        <w:jc w:val="both"/>
      </w:pPr>
      <w:r>
        <w:rPr>
          <w:rFonts w:ascii="Times New Roman" w:cs="Times New Roman" w:eastAsia="Times New Roman" w:hAnsi="Times New Roman"/>
          <w:sz w:val="24"/>
          <w:szCs w:val="24"/>
        </w:rPr>
        <w:t xml:space="preserve">Na página Fontes e recolha, o supervisor regista cada fonte pelo tipo e pelo endereço: a ligação de um vídeo ou de um canal do YouTube (por exemplo, https://www.youtube.com/@canal), o endereço de um feed RSS, a ligação de um artigo ou a página inicial de um sítio de notícias. O botão Recolher percorre as fontes activas, cria um lote por fonte e envia-o para classificação. A recolha do YouTube exige a chave UAN_YOUTUBE_CHAVE, obtida na Google Cloud Console. Para recolha periódica, agenda-se o comando python uan.py recolher no Agendador de Tarefas do Windows. Só se recolhe conteúdo público: o sistema respeita o robots.txt, ignora páginas que pedem palavra-passe e não contorna protecções; o conteúdo de redes que exigem conta entra por importação de ficheiros.</w:t>
      </w:r>
    </w:p>
    <w:p>
      <w:pPr>
        <w:pStyle w:val="Heading2"/>
        <w:keepNext/>
        <w:keepLines/>
        <w:spacing w:after="160" w:before="360" w:line="300"/>
      </w:pPr>
      <w:r>
        <w:rPr>
          <w:rFonts w:ascii="Times New Roman" w:cs="Times New Roman" w:eastAsia="Times New Roman" w:hAnsi="Times New Roman"/>
          <w:b/>
          <w:bCs/>
          <w:sz w:val="26"/>
          <w:szCs w:val="26"/>
        </w:rPr>
        <w:t xml:space="preserve">F.5 Alertas, mapa e relatório</w:t>
      </w:r>
    </w:p>
    <w:p>
      <w:pPr>
        <w:spacing w:after="120" w:before="0" w:line="360"/>
        <w:ind w:firstLine="567"/>
        <w:jc w:val="both"/>
      </w:pPr>
      <w:r>
        <w:rPr>
          <w:rFonts w:ascii="Times New Roman" w:cs="Times New Roman" w:eastAsia="Times New Roman" w:hAnsi="Times New Roman"/>
          <w:sz w:val="24"/>
          <w:szCs w:val="24"/>
        </w:rPr>
        <w:t xml:space="preserve">Para os alertas por e-mail, definem-se no uan.env o servidor de envio (UAN_SMTP_SERVIDOR) e o remetente (UAN_SMTP_REMETENTE) e, na página Definições, os destinatários. Na mesma página o supervisor ajusta o número de analistas que confirmam uma ameaça, a janela e o mínimo de casos da tendência e o crescimento mínimo, e pode enviar um e-mail de teste. Sem servidor configurado, os alertas ficam apenas na aplicação. A página Mapa e a página Relatório aceitam um período escolhido pelo utilizador (datas ou 7, 30 e 90 dias). O relatório pode ser impresso ou guardado em PDF a partir do navegador, descarregado em CSV ou, pelo supervisor, enviado por e-mail. Para um relatório periódico, agenda-se python uan.py relatorio --dias 7 --email no Agendador de Tarefas do Windows.</w:t>
      </w:r>
    </w:p>
    <w:p>
      <w:pPr>
        <w:pStyle w:val="Heading2"/>
        <w:keepNext/>
        <w:keepLines/>
        <w:spacing w:after="160" w:before="360" w:line="300"/>
      </w:pPr>
      <w:r>
        <w:rPr>
          <w:rFonts w:ascii="Times New Roman" w:cs="Times New Roman" w:eastAsia="Times New Roman" w:hAnsi="Times New Roman"/>
          <w:b/>
          <w:bCs/>
          <w:sz w:val="26"/>
          <w:szCs w:val="26"/>
        </w:rPr>
        <w:t xml:space="preserve">F.6 Linha de comandos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F.3 – Comandos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servir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Arranca a aplicação web</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criar-utilizador ana --nome "Ana" --papel analista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conta (pede a palavra-passe)</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 registando a proveniência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fonte-adicionar --tipo sitio --endereco https://exemplo.ao --nome "Jornal"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Regista uma fonte pública (tipos: youtube_video, youtube_canal, rss, pagina, sitio)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Lista as fontes e o estado da última recolha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recolher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Recolhe as fontes activas, cria um lote por fonte e classifica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classificar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Classifica as publicações pendentes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alertas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Verifica tendências, envia os alertas por e-mail e lista os mais recentes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relatorio --dias 30 --csv relatorio.csv --email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Gera o relatório de alertas do período; grava em CSV e envia o resumo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Calcula as métricas operacionais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Exporta as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Aplica o prazo de conservação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copia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cópia de segurança da base de dados</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F.7 Guardar o modelo depois do treino</w:t>
      </w:r>
    </w:p>
    <w:p>
      <w:pPr>
        <w:spacing w:after="120" w:before="0" w:line="360"/>
        <w:ind w:firstLine="567"/>
        <w:jc w:val="both"/>
      </w:pPr>
      <w:r>
        <w:rPr>
          <w:rFonts w:ascii="Times New Roman" w:cs="Times New Roman" w:eastAsia="Times New Roman" w:hAnsi="Times New Roman"/>
          <w:sz w:val="24"/>
          <w:szCs w:val="24"/>
        </w:rPr>
        <w:t xml:space="preserve">No fim da sessão de treino no Google Colab, o modelo deve ser gravado no formato da biblioteca Transformers (config.json, pesos e ficheiros do tokenizador) numa pasta do Google Drive, com a célula fornecida no ficheiro colab_guardar_modelo.py. Essa pasta é depois copiada para o computador e indicada em UAN_MODELO.</w:t>
      </w:r>
    </w:p>
    <w:sectPr>
      <w:headerReference w:type="default" r:id="rId37"/>
      <w:footerReference w:type="default" r:id="rId38"/>
      <w:type w:val="nextPage"/>
      <w:pgSz w:w="11906" w:h="16838" w:orient="portrait"/>
      <w:pgMar w:top="1701" w:right="1701" w:bottom="1417" w:left="1984" w:header="850"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B</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w:t>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D</w:t>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E</w:t>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F</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5be778db715b7aa4e89c0d547cc98872a2b22911.png"/><Relationship Id="rId42" Type="http://schemas.openxmlformats.org/officeDocument/2006/relationships/image" Target="media/f3a51382c5cf1e4cbde2ae43cd64aa5a620ad4ff.png"/><Relationship Id="rId43" Type="http://schemas.openxmlformats.org/officeDocument/2006/relationships/image" Target="media/07fb60bd22141ba5613a8c6efd6ec2dfd1eeae87.png"/><Relationship Id="rId44" Type="http://schemas.openxmlformats.org/officeDocument/2006/relationships/image" Target="media/e17474243c328ebd835d6d2930973bcca8c1916e.png"/><Relationship Id="rId45" Type="http://schemas.openxmlformats.org/officeDocument/2006/relationships/image" Target="media/e7bca9b24f2643deb8c15aaca03c7976804397ec.png"/><Relationship Id="rId46" Type="http://schemas.openxmlformats.org/officeDocument/2006/relationships/image" Target="media/ed14317e7338b44f5b563c294fe1ad83a252e79c.png"/><Relationship Id="rId47" Type="http://schemas.openxmlformats.org/officeDocument/2006/relationships/image" Target="media/760dcdb0bcdc29efd263e9d80fa38c7a1268af70.png"/><Relationship Id="rId48" Type="http://schemas.openxmlformats.org/officeDocument/2006/relationships/image" Target="media/4e203cddf53d766e3dadc2f0a024461a0bd23e2d.png"/><Relationship Id="rId49" Type="http://schemas.openxmlformats.org/officeDocument/2006/relationships/image" Target="media/06d7a4feaaf8da1eb7289b3e7f282939e9322b4f.png"/><Relationship Id="rId50" Type="http://schemas.openxmlformats.org/officeDocument/2006/relationships/image" Target="media/95b3dbf413b63a0eedf5f1ca9f4e92d6d0d189b7.png"/><Relationship Id="rId51" Type="http://schemas.openxmlformats.org/officeDocument/2006/relationships/image" Target="media/115dc5f3dd6cafdadaba5dd89c79eb1d3768a10d.png"/><Relationship Id="rId52" Type="http://schemas.openxmlformats.org/officeDocument/2006/relationships/image" Target="media/3ada2f9ff4d717b97e71d13c161f43fc88490f57.pn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2026-10-15T14:18:03.919Z</dcterms:created>
  <dcterms:modified xsi:type="dcterms:W3CDTF">2026-10-15T14:18:03.919Z</dcterms:modified>
</cp:coreProperties>
</file>

<file path=docProps/custom.xml><?xml version="1.0" encoding="utf-8"?>
<Properties xmlns="http://schemas.openxmlformats.org/officeDocument/2006/custom-properties" xmlns:vt="http://schemas.openxmlformats.org/officeDocument/2006/docPropsVTypes"/>
</file>