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line="276"/>
              <w:jc w:val="center"/>
            </w:pPr>
            <w:r>
              <w:rPr>
                <w:rFonts w:ascii="Arial" w:cs="Arial" w:eastAsia="Arial" w:hAnsi="Arial"/>
                <w:b/>
                <w:bCs/>
                <w:sz w:val="28"/>
                <w:szCs w:val="28"/>
              </w:rPr>
              <w:t xml:space="preserve">UNIVERSIDADE AGOSTINHO NETO</w:t>
            </w:r>
          </w:p>
          <w:p>
            <w:pPr>
              <w:spacing w:after="120" w:line="276"/>
              <w:jc w:val="center"/>
            </w:pPr>
            <w:r>
              <w:rPr>
                <w:rFonts w:ascii="Arial" w:cs="Arial" w:eastAsia="Arial" w:hAnsi="Arial"/>
                <w:b/>
                <w:bCs/>
                <w:sz w:val="28"/>
                <w:szCs w:val="28"/>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line="360"/>
        <w:jc w:val="center"/>
      </w:pPr>
      <w:r>
        <w:rPr>
          <w:rFonts w:ascii="Arial" w:cs="Arial" w:eastAsia="Arial" w:hAnsi="Arial"/>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line="276"/>
        <w:jc w:val="center"/>
      </w:pPr>
      <w:r>
        <w:rPr>
          <w:rFonts w:ascii="Arial" w:cs="Arial" w:eastAsia="Arial" w:hAnsi="Arial"/>
          <w:sz w:val="28"/>
          <w:szCs w:val="28"/>
        </w:rPr>
        <w:t xml:space="preserve">Manuel Gonga Muinga</w:t>
      </w:r>
    </w:p>
    <w:p>
      <w:pPr>
        <w:spacing w:after="480" w:line="276"/>
        <w:jc w:val="center"/>
      </w:pPr>
      <w:r>
        <w:rPr>
          <w:rFonts w:ascii="Arial" w:cs="Arial" w:eastAsia="Arial" w:hAnsi="Arial"/>
          <w:sz w:val="28"/>
          <w:szCs w:val="28"/>
        </w:rPr>
        <w:t xml:space="preserve">Engenheiro Electrotécnico</w:t>
      </w:r>
    </w:p>
    <w:p>
      <w:pPr>
        <w:spacing w:after="60" w:line="276"/>
        <w:jc w:val="center"/>
      </w:pPr>
      <w:r>
        <w:rPr>
          <w:rFonts w:ascii="Arial" w:cs="Arial" w:eastAsia="Arial" w:hAnsi="Arial"/>
          <w:sz w:val="28"/>
          <w:szCs w:val="28"/>
        </w:rPr>
        <w:t xml:space="preserve">Orientador científico: Professor Doutor Joaquim Fortes</w:t>
      </w:r>
    </w:p>
    <w:p>
      <w:pPr>
        <w:spacing w:after="120" w:line="276"/>
        <w:jc w:val="center"/>
      </w:pPr>
      <w:r>
        <w:rPr>
          <w:rFonts w:ascii="Arial" w:cs="Arial" w:eastAsia="Arial" w:hAnsi="Arial"/>
          <w:sz w:val="28"/>
          <w:szCs w:val="28"/>
        </w:rPr>
        <w:t xml:space="preserve">Co-orientador: Professor Doutor Judice Cumbunga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line="276"/>
        <w:jc w:val="center"/>
      </w:pPr>
      <w:r>
        <w:rPr>
          <w:rFonts w:ascii="Arial" w:cs="Arial" w:eastAsia="Arial" w:hAnsi="Arial"/>
          <w:sz w:val="28"/>
          <w:szCs w:val="28"/>
        </w:rPr>
        <w:t xml:space="preserve">Luanda</w:t>
      </w:r>
    </w:p>
    <w:p>
      <w:pPr>
        <w:spacing w:after="120" w:line="276"/>
        <w:jc w:val="center"/>
      </w:pPr>
      <w:r>
        <w:rPr>
          <w:rFonts w:ascii="Arial" w:cs="Arial" w:eastAsia="Arial" w:hAnsi="Arial"/>
          <w:sz w:val="28"/>
          <w:szCs w:val="28"/>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xiii, 64 p. + 11 p. de glossário e apêndices;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Discurso de ódio. 3. Desinformação. 4. BERTimbau. 5. Adaptação de domínio.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Permitida a reprodução total ou parcial deste documento, desde que citada a fonte e sem carácter comercial – O autor</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“Todos têm o direito de exprimir, divulgar e compartilhar livremente os seus pensamentos (…)”</w:t>
      </w:r>
    </w:p>
    <w:p>
      <w:pPr>
        <w:ind w:left="4110"/>
        <w:jc w:val="right"/>
      </w:pPr>
      <w:r>
        <w:rPr>
          <w:rFonts w:ascii="Times New Roman" w:cs="Times New Roman" w:eastAsia="Times New Roman" w:hAnsi="Times New Roman"/>
          <w:sz w:val="22"/>
          <w:szCs w:val="22"/>
        </w:rPr>
        <w:t xml:space="preserve">Constituição da República de Angola, artigo 40.º, n.º 1</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o Tenente-General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Nas redes sociais angolanas, a desinformação, o discurso de ódio e os apelos à mobilização hostil circulam ao lado da conversa quotidiana, num volume que nenhuma equipa de analistas consegue ler. Esta dissertação desenvolve e avalia um sistema que ordena essas publicações para o analista, sem o substituir. Construiu-se um corpus de 2.637 publicações públicas angolanas, sobretudo comentários do YouTube, anotadas por três anotadores em quatro categorias, com κ de Fleiss de 0,718 (n = 2.443). Juntando-lhe três corpora brasileiros (HateBR, ToLD-BR e Fake.br; 26.859 registos no total), compararam-se SVM, Floresta Aleatória, Bi-LSTM e BERTimbau. No teste (n = 3.987), o BERTimbau obteve F1-macro de 0,807 (0,797 na média de três sementes), 14,6 a 17,4 pontos percentuais acima dos restantes (McNemar com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superou a Floresta Aleatória. Em conteúdo angolano, porém, o F1-macro desceu para 0,533, contra 0,919 no corpus público, com a maior queda na Desinformação. Desenvolveu-se depois uma aplicação web com pseudonimização dos autores à entrada, segundo a Lei n.º 22/11, auditoria, fila de revisão por prioridade e alertas, sem decisões automáticas. Sem placa gráfica dedicada, processou cada publicação em 0,6 a 0,7 segundos; as primeiras chegaram à fila em 36 segundos e, em recolhas até 64 publicações, todas em menos de 60. A utilidade da fila com analistas e a antecedência de detecção não foram testadas. Os contributos são o corpus anotado, a medida da lacuna de domínio e uma arquitectura de triagem de baixo custo.</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On Angolan social media, disinformation, hate speech and calls for hostile mobilisation circulate alongside everyday conversation, in a volume no team of analysts can read. This dissertation develops and evaluates a system that ranks these posts for analysts without replacing them. A corpus of 2,637 public Angolan posts, mostly YouTube comments, was annotated by three annotators into four categories (Fleiss' kappa 0.718, n = 2,443). Combined with three Brazilian corpora (HateBR, ToLD-BR and Fake.br; 26,859 records in total), it was used to compare SVM, Random Forest, Bi-LSTM and BERTimbau. On the test set (n = 3,987), BERTimbau reached a macro-F1 of 0.807 (0.797 averaged over three seeds), 14.6 to 17.4 percentage points above the others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outperform the Random Forest. On Angolan content, however, macro-F1 fell to 0.533, compared with 0.919 on the public corpora, with the largest drop in disinformation. A web application was then developed with author pseudonymisation at ingestion, in line with Angolan Law No. 22/11, audit logging, a priority-ranked review queue and alerts, and no automated decisions. Without a GPU, it processed each post in 0.6–0.7 seconds; the first posts reached the queue within 36 seconds and, for batches of up to 64 posts, all posts within 60 seconds. Neither the usefulness of the queue for analysts nor the detection lead time was tested. The main contributions are the annotated corpus, the measurement of the domain gap and a low-cost triage architecture.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Política de segurança de conteúdo (</w:t>
            </w:r>
            <w:r>
              <w:rPr>
                <w:rFonts w:ascii="Times New Roman" w:cs="Times New Roman" w:eastAsia="Times New Roman" w:hAnsi="Times New Roman"/>
                <w:b w:val="false"/>
                <w:bCs w:val="false"/>
                <w:i/>
                <w:iCs/>
                <w:sz w:val="20"/>
                <w:szCs w:val="20"/>
              </w:rPr>
              <w:t xml:space="preserve">Content Security Policy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CSRF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Falsificação de pedidos entre sítios (</w:t>
            </w:r>
            <w:r>
              <w:rPr>
                <w:rFonts w:ascii="Times New Roman" w:cs="Times New Roman" w:eastAsia="Times New Roman" w:hAnsi="Times New Roman"/>
                <w:b w:val="false"/>
                <w:bCs w:val="false"/>
                <w:i/>
                <w:iCs/>
                <w:sz w:val="20"/>
                <w:szCs w:val="20"/>
              </w:rPr>
              <w:t xml:space="preserve">Cross-Site Request Forgery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central de processamento (</w:t>
            </w:r>
            <w:r>
              <w:rPr>
                <w:rFonts w:ascii="Times New Roman" w:cs="Times New Roman" w:eastAsia="Times New Roman" w:hAnsi="Times New Roman"/>
                <w:b w:val="false"/>
                <w:bCs w:val="false"/>
                <w:i/>
                <w:iCs/>
                <w:sz w:val="20"/>
                <w:szCs w:val="20"/>
              </w:rPr>
              <w:t xml:space="preserve">Central Processing Unit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ECE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Erro de calibração esperado (</w:t>
            </w:r>
            <w:r>
              <w:rPr>
                <w:rFonts w:ascii="Times New Roman" w:cs="Times New Roman" w:eastAsia="Times New Roman" w:hAnsi="Times New Roman"/>
                <w:b w:val="false"/>
                <w:bCs w:val="false"/>
                <w:i/>
                <w:iCs/>
                <w:sz w:val="20"/>
                <w:szCs w:val="20"/>
              </w:rPr>
              <w:t xml:space="preserve">Expected Calibration Error</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HTTPS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Protocolo seguro de transferência de hipertexto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JSON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Notação de objectos JavaScript (formato de dados)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NIST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Instituto Nacional de Normas e Tecnologia dos Estados Unidos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OWASP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Projecto aberto de segurança de aplicações web (</w:t>
            </w:r>
            <w:r>
              <w:rPr>
                <w:rFonts w:ascii="Times New Roman" w:cs="Times New Roman" w:eastAsia="Times New Roman" w:hAnsi="Times New Roman"/>
                <w:b w:val="false"/>
                <w:bCs w:val="false"/>
                <w:i/>
                <w:iCs/>
                <w:sz w:val="20"/>
                <w:szCs w:val="20"/>
              </w:rPr>
              <w:t xml:space="preserve">Open Worldwide Application Security Project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PBKDF2</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Função de derivação de chaves a partir de palavras-passe, versão 2</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documento portátil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PNG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de rede portáteis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RSS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distribuição de conteúdos web (</w:t>
            </w:r>
            <w:r>
              <w:rPr>
                <w:rFonts w:ascii="Times New Roman" w:cs="Times New Roman" w:eastAsia="Times New Roman" w:hAnsi="Times New Roman"/>
                <w:b w:val="false"/>
                <w:bCs w:val="false"/>
                <w:i/>
                <w:iCs/>
                <w:sz w:val="20"/>
                <w:szCs w:val="20"/>
              </w:rPr>
              <w:t xml:space="preserve">Really Simple Syndication</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SOCMINT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redes sociais (</w:t>
            </w:r>
            <w:r>
              <w:rPr>
                <w:rFonts w:ascii="Times New Roman" w:cs="Times New Roman" w:eastAsia="Times New Roman" w:hAnsi="Times New Roman"/>
                <w:b w:val="false"/>
                <w:bCs w:val="false"/>
                <w:i/>
                <w:iCs/>
                <w:sz w:val="20"/>
                <w:szCs w:val="20"/>
              </w:rPr>
              <w:t xml:space="preserve">Social Media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vectoriais escaláveis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2.1.3 Inteligência de fontes abertas e de redes sociais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Revisão humana e segurança da informação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2.10 Síntese e lacuna de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3.8.6 Recolha automática e gestão da quota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3.8.7 Gestão de contas e segurança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Qualidade das probabilidades e utilidade da ordenação</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Calibração das probabilidades</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Ordenação da fila de revisão</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4.8.1 Tempo de processamento (H2)</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4.8.2 Antecedência de detecção (H3)</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4.8.3 Implicações para o desenho operacional</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4.8.4 Verificação funcional do sistema</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4.9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 e às perguntas de investigação</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Implicações para a defesa e segurança nacional</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Quadro de uso responsável</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5.7 Considerações finais</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6 – RECOMENDAÇÕES</w:t>
          </w:r>
          <w:r>
            <w:rPr>
              <w:rFonts w:ascii="Times New Roman" w:hAnsi="Times New Roman" w:cs="Times New Roman"/>
              <w:sz w:val="24"/>
              <w:szCs w:val="24"/>
            </w:rPr>
            <w:tab/>
          </w:r>
          <w:r>
            <w:rPr>
              <w:rFonts w:ascii="Times New Roman" w:hAnsi="Times New Roman" w:cs="Times New Roman"/>
              <w:sz w:val="24"/>
              <w:szCs w:val="24"/>
            </w:rPr>
            <w:t>59</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60</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G1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 (sistema/anonimizacao.py)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 (sistema/classificador.py)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 e preenchimento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 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Arranque e utilização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Linha de comandos</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F.4 Verificação dos requisitos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Características do corpus angolano anotado, por categoria final</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Configuração dos modelos</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Requisitos do sistema</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Comparação das arquitecturas consideradas</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3.6 – Tipos de fonte e quota do YouTube por volta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3.7 –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(ΔF1-macro e McNemar)</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Calibração e ordenação no conjunto de teste</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4.10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5.2 – Quadro de uso responsável: salvaguardas do sistema e obrigações institucionais</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(base do piloto e lote de léxico,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Comandos do sistema</w:t>
          </w:r>
          <w:r>
            <w:rPr>
              <w:rFonts w:ascii="Times New Roman" w:hAnsi="Times New Roman" w:cs="Times New Roman"/>
              <w:sz w:val="24"/>
              <w:szCs w:val="24"/>
            </w:rPr>
            <w:tab/>
          </w:r>
          <w:r>
            <w:rPr>
              <w:rFonts w:ascii="Times New Roman" w:hAnsi="Times New Roman" w:cs="Times New Roman"/>
              <w:sz w:val="24"/>
              <w:szCs w:val="24"/>
            </w:rPr>
            <w:t>F2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F.2 – Requisitos e testes automáticos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3.8 – Mapa por província na aplicação web</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3.9 – Recolha automática na página das fontes</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3.10 – Recuperação do acesso a uma conta</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4.4 – Curva de esforço de revisão: ameaças encontradas em função da fila revista</w:t>
          </w:r>
          <w:r>
            <w:rPr>
              <w:rFonts w:ascii="Times New Roman" w:hAnsi="Times New Roman" w:cs="Times New Roman"/>
              <w:sz w:val="24"/>
              <w:szCs w:val="24"/>
            </w:rPr>
            <w:tab/>
          </w:r>
          <w:r>
            <w:rPr>
              <w:rFonts w:ascii="Times New Roman" w:hAnsi="Times New Roman" w:cs="Times New Roman"/>
              <w:sz w:val="24"/>
              <w:szCs w:val="24"/>
            </w:rPr>
            <w:t>48</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matéria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telemóvel é o principal ponto de acesso. A Figura 1.1 resume estes indicadores.</w:t>
      </w:r>
    </w:p>
    <w:p>
      <w:pPr>
        <w:keepNext/>
        <w:spacing w:after="40" w:before="160"/>
        <w:jc w:val="center"/>
      </w:pPr>
      <w:r>
        <w:drawing>
          <wp:inline distT="0" distB="0" distL="0" distR="0">
            <wp:extent cx="4495800" cy="2247900"/>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9580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pp. 37–38). A influência das redes no comportamento eleitoral dos jovens nas eleições de 2022 foi também discutida, num estudo qualitativo de base documental (Sambaca &amp; Pessoa, 2026). Em ambos, o que começou na Internet acabou por ter efeitos fora dela.</w:t>
      </w:r>
    </w:p>
    <w:p>
      <w:pPr>
        <w:spacing w:after="120" w:before="0" w:line="360"/>
        <w:ind w:firstLine="567"/>
        <w:jc w:val="both"/>
      </w:pPr>
      <w:r>
        <w:rPr>
          <w:rFonts w:ascii="Times New Roman" w:cs="Times New Roman" w:eastAsia="Times New Roman" w:hAnsi="Times New Roman"/>
          <w:sz w:val="24"/>
          <w:szCs w:val="24"/>
        </w:rPr>
        <w:t xml:space="preserve">A relação entre o que se publica e o que acontece fora da rede não é, contudo, directa. A grande maioria das publicações sobre política, preços, serviços públicos ou desporto é conversa legítima, por vezes dura, e só uma fracção pequena contém falsidades deliberadas, ataques a grupos ou apelos à violência. Esta desproporção tem duas consequências. A primeira é que a procura manual de conteúdos ameaçadores é lenta e cara, porque obriga a ler muito para encontrar pouco. A segunda é que um filtro automático tende a produzir mais falsos alarmes do que acertos quando aquilo que procura é muito raro, salvo se for muito específico, o que torna indispensável a verificação humana.</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spacing w:after="120" w:before="0" w:line="360"/>
        <w:ind w:firstLine="567"/>
        <w:jc w:val="both"/>
      </w:pPr>
      <w:r>
        <w:rPr>
          <w:rFonts w:ascii="Times New Roman" w:cs="Times New Roman" w:eastAsia="Times New Roman" w:hAnsi="Times New Roman"/>
          <w:sz w:val="24"/>
          <w:szCs w:val="24"/>
        </w:rPr>
        <w:t xml:space="preserve">Desta pergunta derivam quatro perguntas mais específicas, que orientam a investigação. As hipóteses da Secção 1.3 respondem às três primeiras (H1 à P1, H4 à P2 e H2 à P3); a P4 é respondida pelo desenho do sistema e pelo quadro de uso responsável (OE4 e OE5). A H3 decorre do OE4 (avaliação operacional do protótipo) e não de uma pergunta específica.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Que família de algoritmos classifica melhor as quatro categorias de ameaça, e a diferença entre eles é estatisticamente sólida?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Quanto se perde quando um modelo treinado sobretudo com texto brasileiro é aplicado a comentários angolanos, e onde se concentra essa perda?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Um sistema construído com recursos modestos consegue processar as publicações recolhidas num tempo compatível com a triagem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Como deve ser desenhado o sistema para que os erros do modelo não se transformem em decisões sobre pessoas, e para que o seu uso respeite o quadro jurídico angolano?</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Formularam-se as hipóteses de modo a serem refutáveis e 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00" w:before="200"/>
      </w:pPr>
      <w:r>
        <w:rPr>
          <w:rFonts w:ascii="Times New Roman" w:cs="Times New Roman" w:eastAsia="Times New Roman" w:hAnsi="Times New Roman"/>
          <w:b/>
          <w:bCs/>
          <w:sz w:val="26"/>
          <w:szCs w:val="26"/>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00" w:before="200"/>
      </w:pPr>
      <w:r>
        <w:rPr>
          <w:rFonts w:ascii="Times New Roman" w:cs="Times New Roman" w:eastAsia="Times New Roman" w:hAnsi="Times New Roman"/>
          <w:b/>
          <w:bCs/>
          <w:sz w:val="26"/>
          <w:szCs w:val="26"/>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publicações públicas angolanas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o conteúdo angolano e 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serviço de inferência, alertas e mapa por província,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testável; H3 com protocolo esboçado, não aplicado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(PLN).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pode reduzir o tempo que o analista gasta com conteúdo irrelevante, sem lhe retirar a decisão, hipótese que esta dissertação avalia apenas em laboratório.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se recolheram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modelos para o português, avaliação e enquadramento legal. O Capítulo 3 descreve a metodologia: a construção do corpus, a anotação, os modelos, o protocolo de avaliação e a arquitectura do sistema. O Capítulo 4 apresenta e discute os resultados e testa as hipóteses. O Capítulo 5 sintetiza as conclusões e as limitações, e o Capítulo 6 apresenta as recomendações. Os apêndices reúnem excertos de código, o guia de anotação, os dados de acordo entre anotadores, a declaração dos anotadores, uma amostra anotada do corpus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incluindo a qualidade das probabilidades e da ordenação, e do problema da generalização entre domínios. Segue-se o enquadramento ético e legal, a revisão humana e a segurança da informação. Termina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00" w:before="200"/>
      </w:pPr>
      <w:r>
        <w:rPr>
          <w:rFonts w:ascii="Times New Roman" w:cs="Times New Roman" w:eastAsia="Times New Roman" w:hAnsi="Times New Roman"/>
          <w:b/>
          <w:bCs/>
          <w:sz w:val="26"/>
          <w:szCs w:val="26"/>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w:t>
      </w:r>
    </w:p>
    <w:p>
      <w:pPr>
        <w:pStyle w:val="Heading3"/>
        <w:keepNext/>
        <w:spacing w:after="100" w:before="200"/>
      </w:pPr>
      <w:r>
        <w:rPr>
          <w:rFonts w:ascii="Times New Roman" w:cs="Times New Roman" w:eastAsia="Times New Roman" w:hAnsi="Times New Roman"/>
          <w:b/>
          <w:bCs/>
          <w:sz w:val="26"/>
          <w:szCs w:val="26"/>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A concentração urbana dos utilizadores, em especial em Luanda, significa que o que se discute nas redes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A campanha “2022 Vais Gostar”, que começou nas redes sociais e resultou em manifestações simultâneas em várias províncias (Hassane, 2021, pp. 37–38), e a influência das redes na participação política dos jovens em 2022, discutida num estudo qualitativo (Sambaca &amp; Pessoa, 2026), mostram o peso destes espaços na vida política angolana. Acresce que a desinformação ganhou novas ferramentas: conteúdos sintéticos criados com inteligência artificial (</w:t>
      </w:r>
      <w:r>
        <w:rPr>
          <w:rFonts w:ascii="Times New Roman" w:cs="Times New Roman" w:eastAsia="Times New Roman" w:hAnsi="Times New Roman"/>
          <w:i/>
          <w:iCs/>
          <w:sz w:val="24"/>
          <w:szCs w:val="24"/>
        </w:rPr>
        <w:t xml:space="preserve">deepfakes</w:t>
      </w:r>
      <w:r>
        <w:rPr>
          <w:rFonts w:ascii="Times New Roman" w:cs="Times New Roman" w:eastAsia="Times New Roman" w:hAnsi="Times New Roman"/>
          <w:sz w:val="24"/>
          <w:szCs w:val="24"/>
        </w:rPr>
        <w:t xml:space="preserve">), contas automatizadas e campanhas coordenadas são hoje usados para influenciar eleições e dividir sociedades (Cintra, 2025, p. 101). Marcon (2019) descreve, numa perspectiva sociológica, como os jovens angolanos se mobilizam através das redes sociais digitais, com formas de protesto cada vez mais estéticas (imagem, som, escrita e performance), o que reforça a necessidade de distinguir com cuidado o protesto legítimo da mobilização hostil.</w:t>
      </w:r>
    </w:p>
    <w:p>
      <w:pPr>
        <w:pStyle w:val="Heading3"/>
        <w:keepNext/>
        <w:spacing w:after="100" w:before="200"/>
      </w:pPr>
      <w:r>
        <w:rPr>
          <w:rFonts w:ascii="Times New Roman" w:cs="Times New Roman" w:eastAsia="Times New Roman" w:hAnsi="Times New Roman"/>
          <w:b/>
          <w:bCs/>
          <w:sz w:val="26"/>
          <w:szCs w:val="26"/>
        </w:rPr>
        <w:t xml:space="preserve">2.1.3 Inteligência de fontes abertas e de redes sociais</w:t>
      </w:r>
    </w:p>
    <w:p>
      <w:pPr>
        <w:spacing w:after="120" w:before="0" w:line="360"/>
        <w:ind w:firstLine="567"/>
        <w:jc w:val="both"/>
      </w:pPr>
      <w:r>
        <w:rPr>
          <w:rFonts w:ascii="Times New Roman" w:cs="Times New Roman" w:eastAsia="Times New Roman" w:hAnsi="Times New Roman"/>
          <w:sz w:val="24"/>
          <w:szCs w:val="24"/>
        </w:rPr>
        <w:t xml:space="preserve">A recolha e a análise de informação publicada abertamente chamam-se, na literatura de segurança, inteligência de fontes abertas (OSINT). Na sua segunda geração, a fonte principal passou a ser o conteúdo gerado pelos utilizadores, e o problema deixou de ser o acesso e passou a ser a selecção (Williams &amp; Blum, 2018). Omand, Bartlett e Miller (2012) chamam inteligência de redes sociais (SOCMINT) à aplicação destas práticas às plataformas digitais e propõem que obedeça aos princípios de outras formas de recolha de informações: causa suficiente, integridade do motivo, proporcionalidade e necessidade dos métodos, autoridade competente sujeita a supervisão, perspectiva razoável de sucesso e recurso a meios encobertos só quando as fontes abertas não bastam. Estes princípios traduzem-se no desenho do sistema: trabalhar com publicações e agregados e não com pessoas, recolher só o que serve a finalidade declarada e registar quem faz o quê (Secções 3.2 e 3.8).</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Ireton &amp; Posetti, 2018).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Criar tensões entre grupos religiosos, raciais ou étnicos é um objectivo habitual de campanhas violentas em sociedades multiculturais (Elias, 2019, p. 85); num país com dezenas de grupos etnolinguísticos, como Angola, o discurso que opõe grupos entre si tem, por isso, relevância securitária própria.</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ameaçam a ordem pública; a categoria é uma construção desta dissertação, e a mobilização a partir das redes está documentada no caso angolano (Hassane, 2021). O uso das redes sociais para recrutar, incitar e mobilizar para a violência está documentado no caso do terrorismo (Sette Câmara, 2016, pp. 202–209; Elias, 2019).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e legal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sz w:val="24"/>
          <w:szCs w:val="24"/>
        </w:rPr>
        <w:t xml:space="preserve">A noção de </w:t>
      </w:r>
      <w:r>
        <w:rPr>
          <w:rFonts w:ascii="Times New Roman" w:cs="Times New Roman" w:eastAsia="Times New Roman" w:hAnsi="Times New Roman"/>
          <w:b/>
          <w:bCs/>
          <w:sz w:val="24"/>
          <w:szCs w:val="24"/>
        </w:rPr>
        <w:t xml:space="preserve">discurso perigoso</w:t>
      </w:r>
      <w:r>
        <w:rPr>
          <w:rFonts w:ascii="Times New Roman" w:cs="Times New Roman" w:eastAsia="Times New Roman" w:hAnsi="Times New Roman"/>
          <w:sz w:val="24"/>
          <w:szCs w:val="24"/>
        </w:rPr>
        <w:t xml:space="preserve"> (Benesch, 2012) ajuda a situar a Mobilização Hostil: é o discurso que aumenta a probabilidade de o público aceitar ou cometer violência contra outro grupo, avaliado pelo orador, pelo público, pela mensagem, pelo contexto e pelo meio. Um classificador de texto só vê a mensagem; os outros quatro factores cabem ao analista.</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planeamento de missões e de investigação sobre dados heterogéneos, desenvolvida com agências militares, de informações e policiais (Palantir Technologies, 2024). O seu custo e, sobretudo, a dependência de um fornecedor e de uma infra-estrutura externos levantam problemas de soberania sobre dados sensíveis. O EU DisinfoLab publica investigações de redes de desinformação baseadas em fontes abertas, com o método documentado (EU DisinfoLab, 2020); são transferíveis em termos de método, mas foram pensadas para o contexto europeu. A INTERPOL acompanha as ciberameaças no continente africano através de relatórios periódicos (INTERPOL, 2023), sem uma componente automática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O protótipo desta dissertação trabalha ao nível da publicação individual e não implementa esta dimensão relacional, que é uma extensão natural discutida no Capítulo 6.</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00" w:before="200"/>
      </w:pPr>
      <w:r>
        <w:rPr>
          <w:rFonts w:ascii="Times New Roman" w:cs="Times New Roman" w:eastAsia="Times New Roman" w:hAnsi="Times New Roman"/>
          <w:b/>
          <w:bCs/>
          <w:sz w:val="26"/>
          <w:szCs w:val="26"/>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00" w:before="200"/>
      </w:pPr>
      <w:r>
        <w:rPr>
          <w:rFonts w:ascii="Times New Roman" w:cs="Times New Roman" w:eastAsia="Times New Roman" w:hAnsi="Times New Roman"/>
          <w:b/>
          <w:bCs/>
          <w:sz w:val="26"/>
          <w:szCs w:val="26"/>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spacing w:after="120" w:before="0" w:line="360"/>
        <w:ind w:firstLine="567"/>
        <w:jc w:val="both"/>
      </w:pPr>
      <w:r>
        <w:rPr>
          <w:rFonts w:ascii="Times New Roman" w:cs="Times New Roman" w:eastAsia="Times New Roman" w:hAnsi="Times New Roman"/>
          <w:sz w:val="24"/>
          <w:szCs w:val="24"/>
        </w:rPr>
        <w:t xml:space="preserve">Há duas alternativas ao BERTimbau. Os modelos multilingues, como o XLM-R, partilham conhecimento entre cerca de uma centena de línguas, à custa de menor capacidade para cada uma (Conneau et al., 2020). Os modelos pré-treinados com português europeu, como o Albertina PT-PT (Rodrigues et al., 2023), oferecem uma norma escrita mais próxima da usada em Angola; a hipótese de perderem menos em comentários angolanos fica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serve como segunda referência clássica.</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dá, assim, uma indicação sobre o peso do pré-treino, embora não o isole, porque os dois modelos diferem também na tokenização, no comprimento de entrada e na capacidade.</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que a categoria Normal. Reportam-se também o F1 ponderado, a exactidão, a área sob a curva ROC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w:t>
      </w:r>
    </w:p>
    <w:p>
      <w:pPr>
        <w:spacing w:after="120" w:before="0" w:line="360"/>
        <w:ind w:firstLine="567"/>
        <w:jc w:val="both"/>
      </w:pPr>
      <w:r>
        <w:rPr>
          <w:rFonts w:ascii="Times New Roman" w:cs="Times New Roman" w:eastAsia="Times New Roman" w:hAnsi="Times New Roman"/>
          <w:sz w:val="24"/>
          <w:szCs w:val="24"/>
        </w:rPr>
        <w:t xml:space="preserve">Quando as previsões servem para ordenar trabalho humano, interessa também a qualidade das probabilidades. Um classificador está </w:t>
      </w:r>
      <w:r>
        <w:rPr>
          <w:rFonts w:ascii="Times New Roman" w:cs="Times New Roman" w:eastAsia="Times New Roman" w:hAnsi="Times New Roman"/>
          <w:b/>
          <w:bCs/>
          <w:sz w:val="24"/>
          <w:szCs w:val="24"/>
        </w:rPr>
        <w:t xml:space="preserve">calibrado</w:t>
      </w:r>
      <w:r>
        <w:rPr>
          <w:rFonts w:ascii="Times New Roman" w:cs="Times New Roman" w:eastAsia="Times New Roman" w:hAnsi="Times New Roman"/>
          <w:sz w:val="24"/>
          <w:szCs w:val="24"/>
        </w:rPr>
        <w:t xml:space="preserve"> quando, entre as previsões feitas com 80% de confiança, cerca de 80% estão certas; as redes neuronais modernas tendem a ser demasiado confiantes (Guo et al., 2017). A calibração mede-se com o erro de calibração esperado (ECE), a diferença média entre a confiança e a fracção de acertos por intervalo de confiança (Naeini et al., 2015), e com o índice de Brier (Brier, 1950). A ordenação mede-se com a precisão nos primeiros K itens e a precisão média (Manning et al., 2008), ou com a curva de esforço: a fracção das ameaças encontradas em função da fracção da fila revista. Para proporções pequenas, como a de ameaças entre os itens considerados normais, usa-se o intervalo de Wilson (1927).</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e que a generalização depende do modelo, das categorias usadas no treino e no teste e da proporção de vocabulário fora do domínio.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Um caso particular é o enviesamento por variedade linguística: textos escritos numa variedade pouco representada nos dados de treino são marcados como ofensivos com mais frequência (Sap et al., 2019), e a linguagem ofensiva confunde-se facilmente com ódio (Davidson et al., 2017). É de esperar um efeito semelhante entre o português do Brasil e o de Angola.</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destina-se 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Inclui também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A mesma lei trata como sensíveis os dados que revelam, entre outros, convicções políticas, e sujeita o seu tratamento a requisitos acrescidos e ao controlo da autoridade de protecção de dados. Publicações sobre política podem revelar essas convicções mesmo depois de pseudonimizadas, o que torna indispensável um parecer jurídico antes de qualquer uso institucional; a própria investigação tratou estes dados sem esse parecer, apenas com pseudonimização e minimização.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de inteligência artificial respeitem a proporcionalidade, a transparência, a auditabilidade e a supervisão humana, e que se previnam enviesamentos e resultados discriminatórios.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pStyle w:val="Heading2"/>
        <w:keepNext/>
        <w:keepLines/>
        <w:spacing w:after="160" w:before="360" w:line="300"/>
      </w:pPr>
      <w:r>
        <w:rPr>
          <w:rFonts w:ascii="Times New Roman" w:cs="Times New Roman" w:eastAsia="Times New Roman" w:hAnsi="Times New Roman"/>
          <w:b/>
          <w:bCs/>
          <w:sz w:val="26"/>
          <w:szCs w:val="26"/>
        </w:rPr>
        <w:t xml:space="preserve">2.9 Revisão humana e segurança da informação</w:t>
      </w:r>
    </w:p>
    <w:p>
      <w:pPr>
        <w:spacing w:after="120" w:before="0" w:line="360"/>
        <w:ind w:firstLine="567"/>
        <w:jc w:val="both"/>
      </w:pPr>
      <w:r>
        <w:rPr>
          <w:rFonts w:ascii="Times New Roman" w:cs="Times New Roman" w:eastAsia="Times New Roman" w:hAnsi="Times New Roman"/>
          <w:sz w:val="24"/>
          <w:szCs w:val="24"/>
        </w:rPr>
        <w:t xml:space="preserve">Manter uma pessoa no circuito de decisão não basta. Parasuraman e Manzey (2010) descrevem a complacência e o viés de automação: o operador deixa de verificar o que o sistema faz bem na maior parte das vezes, e a sugestão substitui o seu juízo, sobretudo quando está sobrecarregado. Daí três contramedidas adoptadas no sistema: medir o acordo com a sugestão escondida (revisão cega), rever periodicamente uma amostra do que o sistema considerou inofensivo (amostra de controlo) e mostrar ao analista as limitações do modelo (Mitchell et al., 2019). As decisões dos analistas produzem também etiquetas novas, que podem alimentar novos ciclos de treino (Amershi et al., 2014; Settles, 2009).</w:t>
      </w:r>
    </w:p>
    <w:p>
      <w:pPr>
        <w:spacing w:after="120" w:before="0" w:line="360"/>
        <w:ind w:firstLine="567"/>
        <w:jc w:val="both"/>
      </w:pPr>
      <w:r>
        <w:rPr>
          <w:rFonts w:ascii="Times New Roman" w:cs="Times New Roman" w:eastAsia="Times New Roman" w:hAnsi="Times New Roman"/>
          <w:sz w:val="24"/>
          <w:szCs w:val="24"/>
        </w:rPr>
        <w:t xml:space="preserve">Um sistema que guarda conteúdos sensíveis é, ele próprio, um alvo. As falhas de controlo de acesso, as falhas criptográficas, a injecção e as falhas de autenticação estão entre os riscos mais frequentes das aplicações web (OWASP Foundation, 2021). As orientações do NIST para a autenticação digital pedem palavras-passe longas em vez de regras de composição, limite de tentativas, segredos nunca guardados em claro e mecanismos de recuperação tão cuidados como a própria autenticação (Grassi et al., 2017). Estas regras orientaram a gestão de contas do sistema (Secção 3.8.7).</w:t>
      </w:r>
    </w:p>
    <w:p>
      <w:pPr>
        <w:pStyle w:val="Heading2"/>
        <w:keepNext/>
        <w:keepLines/>
        <w:spacing w:after="160" w:before="360" w:line="300"/>
      </w:pPr>
      <w:r>
        <w:rPr>
          <w:rFonts w:ascii="Times New Roman" w:cs="Times New Roman" w:eastAsia="Times New Roman" w:hAnsi="Times New Roman"/>
          <w:b/>
          <w:bCs/>
          <w:sz w:val="26"/>
          <w:szCs w:val="26"/>
        </w:rPr>
        <w:t xml:space="preserve">2.10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do das redes sociais. Por fim, sabe-se que os classificadores de conteúdo nocivo generalizam mal entre domínios e entre variedades linguísticas,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se conduziu a investigação: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(H2) ou se esboça (H3) neste capítulo. A componente de engenharia (o protótipo) é avaliada por testes automáticos (Secção 4.8.4).</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4676775" cy="28003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676775"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que não são reversíveis sem um segredo guardado fora do código,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cinco nomes próprios cuja natureza pública ou privada não foi determinada mantêm-se no corpus v13 e entraram nos dois treinos, incluindo o do modelo do protótipo (Secção 4.5.1); é um desvio à regra, a corrigir antes de um novo treino. Como o lote só entra no treino, as métricas de teste não são afectadas. Em rigor jurídico, a substituição do autor por um pseudónimo é uma pseudonimização: impede a identificação directa, mas permite ligar publicações do mesmo autor. Nesta dissertação, “anonimização à entrada” designa o conjunto destas operações.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6.</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veio do YouTube, plataforma em que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 a descoberta de vídeos por termos da actualidade angolana; a sondagem de uma pequena amostra de comentários de cada vídeo, para estimar a proporção de comentários angolanos; a selecção dos vídeos, privilegiando a diversidade de canais e temas; e a recolha dos comentários e respostas, com limite por vídeo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Mantiveram-se os casos duvidosos, o que, quando muito, torna conservadora a estimativa da lacuna de domínio.</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Times New Roman" w:cs="Times New Roman" w:eastAsia="Times New Roman" w:hAnsi="Times New Roman"/>
          <w:i/>
          <w:iCs/>
          <w:sz w:val="24"/>
          <w:szCs w:val="24"/>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Base do piloto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são os únicos dados angolanos usados na validação e no teste. Os 374 itens manuais (180 títulos de notícias e 194 publicações copiadas) não resultam de sorteio, mas de escolha do investigador, o que deve ser tido em conta na leitura dos resultados do piloto.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angolanos,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entraram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Três anotadores independentes, dois angolanos e um com formação em processamento de linguagem natural, fizeram a anotação segundo o Guia de Anotação Padronizado (Apêndice B). Cada anotador classificou cada publicação numa das quatro categorias, sem acesso às classificações dos outros nem às previsões de qualquer modelo. Nos casos de desacordo, adoptou-se como regra de agregação a etiqueta mais grave escolhida por qualquer anotador (Mobilização Hostil &gt; Discurso de Ódio &gt; Desinformação &gt; Normal), por analogia com a regra de desempate que o guia dá a cada anotador (Apêndice B.5), e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Mediu-se o acordo com o Kappa de Fleiss para os três anotadores e com o Kappa de Cohen para cada par. Nos 2.443 itens da base do piloto e do lote orientado por léxico, obteve-se κ de Fleiss de 0,718 (IC 95%: 0,695–0,741), κ de Cohen médio de 0,719 e concordância observada de 81,3%, o que corresponde a acordo substancial na escala de Landis e Koch (1977); só na base do piloto (n = 2.352), o κ de Fleiss é de 0,717. No lote temático de vídeos, o κ de Fleiss foi de 0,818 (IC 95%: 0,763–0,869), calculado sobre os 284 comentários anotados, antes da exclusão dos 90 não angolanos;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híbrido 2.573 registos do piloto.</w:t>
      </w:r>
    </w:p>
    <w:p>
      <w:pPr>
        <w:spacing w:after="120" w:before="0" w:line="360"/>
        <w:ind w:firstLine="567"/>
        <w:jc w:val="both"/>
      </w:pPr>
      <w:r>
        <w:rPr>
          <w:rFonts w:ascii="Times New Roman" w:cs="Times New Roman" w:eastAsia="Times New Roman" w:hAnsi="Times New Roman"/>
          <w:sz w:val="24"/>
          <w:szCs w:val="24"/>
        </w:rPr>
        <w:t xml:space="preserve">A Tabela 3.1 descreve o corpus anotado por categoria. Três características têm consequências para a interpretação dos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Características do corpus angolano anotado, por categoria final</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2100"/>
        <w:gridCol w:w="1500"/>
        <w:gridCol w:w="17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Palavras: mediana [Q1; Q3]</w:t>
            </w:r>
          </w:p>
        </w:tc>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 unânime</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Decidida por um só voto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 [4,0; 18,0]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 (0,0%)</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 [12,0; 34,0]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44,2%</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106 (32,5%)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[8,5; 27,5]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56,9%</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75 (26,5%)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[7,0; 24,0]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49,7%</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 (31,9%)</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[5,0; 22,0]</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81,5%</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297 (11,3%)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“Decidida por um só voto”: só um dos três anotadores escolheu a categoria final, que prevaleceu pela regra da gravidade ascendente. Por construção da regra, um item só é Normal quando os três anotadores o consideram Normal.</w:t>
      </w:r>
    </w:p>
    <w:p>
      <w:pPr>
        <w:spacing w:after="120" w:before="0" w:line="360"/>
        <w:ind w:firstLine="567"/>
        <w:jc w:val="both"/>
      </w:pPr>
      <w:r>
        <w:rPr>
          <w:rFonts w:ascii="Times New Roman" w:cs="Times New Roman" w:eastAsia="Times New Roman" w:hAnsi="Times New Roman"/>
          <w:sz w:val="24"/>
          <w:szCs w:val="24"/>
        </w:rPr>
        <w:t xml:space="preserve">A primeira é o efeito da regra da gravidade ascendente: como basta um anotador escolher uma ameaça para que ela prevaleça, todos os itens Normais são unânimes e o desacordo concentra-se nas categorias de ameaça, onde só 44% a 57% das decisões foram unânimes. Ao todo, 297 itens (11,3% do corpus) são ameaças pelo voto de um único anotador. A regra favorece a sensibilidade, como convém à triagem, mas introduz ruído nas etiquetas, que contribui previsivelmente para os erros do modelo no piloto (Secção 4.6). A segunda é o comprimento: as ameaças têm cerca do dobro das palavras das publicações normais, uma regularidade que um classificador pode aprender como atalho (Secção 2.7). A terceira é a raridade das marcas lexicais da variedade angolana: só 0,3% das publicações contêm algum de 28 termos frequentes no calão de Luanda (como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zungueira</w:t>
      </w:r>
      <w:r>
        <w:rPr>
          <w:rFonts w:ascii="Times New Roman" w:cs="Times New Roman" w:eastAsia="Times New Roman" w:hAnsi="Times New Roman"/>
          <w:sz w:val="24"/>
          <w:szCs w:val="24"/>
        </w:rPr>
        <w:t xml:space="preserve">), e só 96 (3,6%) mencionam uma província ou cidade reconhecida pelo sistema, 65 delas Luanda. O carácter angolano dos comentários está mais nos temas e nas referências do que no vocabulário, o que ajuda a interpretar a lacuna de domínio (Secção 4.6) e a cobertura do mapa (Secção 5.4).</w:t>
      </w:r>
    </w:p>
    <w:p>
      <w:pPr>
        <w:spacing w:after="120" w:before="0" w:line="360"/>
        <w:ind w:firstLine="567"/>
        <w:jc w:val="both"/>
      </w:pPr>
      <w:r>
        <w:rPr>
          <w:rFonts w:ascii="Times New Roman" w:cs="Times New Roman" w:eastAsia="Times New Roman" w:hAnsi="Times New Roman"/>
          <w:sz w:val="24"/>
          <w:szCs w:val="24"/>
        </w:rPr>
        <w:t xml:space="preserve">Os casos de desacordo ilustram a natureza da tarefa. O comentário “Podemos paralizar mais não vandalisar prk faz recuar o país” foi considerado Normal por dois anotadores e Mobilização Hostil por um, e ficou como Mobilização pela regra da gravidade, embora o pedido expresso para não vandalizar o aproxime de um protesto pacífico. “MANOS ANGOLANOS VAMOS TIRAR ESSE FEITICEIRO DO PODER” foi visto como ódio por dois anotadores e como mobilização por um. Críticas duras ao Governo, que o guia classifica como Normais, foram lidas por alguns anotadores como ódio ou desinformação. Um modelo treinado com estas etiquetas herda esta incerteza. Rever as regras de desempate e formar os anotadores em conjunto nestes casos são melhorias simples para futuras rondas. A amostra do Apêndice E mostra, além disso, que os anotadores aplicaram por vezes critérios mais amplos do que os do guia, mesmo em itens unânimes: a Mobilização Hostil incluiu apelos genéricos sem linguagem violenta, o Discurso de Ódio incluiu insultos a partidos e a Desinformação incluiu alegações não verificadas. As categorias do piloto não são, por isso, inteiramente equivalentes às dos corpora públicos, e esta diferença de construto é uma explicação concorrente da lacuna medida na Secção 4.6.</w:t>
      </w:r>
    </w:p>
    <w:p>
      <w:pPr>
        <w:spacing w:after="120" w:before="0" w:line="360"/>
        <w:ind w:firstLine="567"/>
        <w:jc w:val="both"/>
      </w:pPr>
      <w:r>
        <w:rPr>
          <w:rFonts w:ascii="Times New Roman" w:cs="Times New Roman" w:eastAsia="Times New Roman" w:hAnsi="Times New Roman"/>
          <w:sz w:val="24"/>
          <w:szCs w:val="24"/>
        </w:rPr>
        <w:t xml:space="preserve">Avaliou-se nos próprios dados anotados o léxico de candidatos usado para priorizar a anotação.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serviu de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Mapearam-se as etiquetas originais de cada corpus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Discurso de Ódio, os tweets sem qualquer marcação a Normal, e os tweets tóxicos apenas por obscenidade ou insulto sem alvo identitário foram excluídos. No HateBR, os comentários marcados como linguagem ofensiva passaram a Discurso de Ódio e os restantes a Normal, porque a versão usada fornece apenas essa etiqueta binária. Dos três corpora usou-se a partição de treino disponibilizada no Hugging Face, o que, com as exclusões do ToLD-BR e a remoção de duplicados, explica que os totais da Tabela 4.1 fiquem abaixo das dimensões originais (cerca de 21 mil no ToLD-BR e 7 mil no HateBR). No Fake.br, as notícias falsas passaram a Desinformação e as verdadeiras a Normal. Depois da junção (27.097 registos),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4495800" cy="241935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95800" cy="2419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ficaram, por construção, no treino. Usou-se o conjunto de teste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Discurso de Ódio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00" w:before="200"/>
      </w:pPr>
      <w:r>
        <w:rPr>
          <w:rFonts w:ascii="Times New Roman" w:cs="Times New Roman" w:eastAsia="Times New Roman" w:hAnsi="Times New Roman"/>
          <w:b/>
          <w:bCs/>
          <w:sz w:val="26"/>
          <w:szCs w:val="26"/>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00" w:before="200"/>
      </w:pPr>
      <w:r>
        <w:rPr>
          <w:rFonts w:ascii="Times New Roman" w:cs="Times New Roman" w:eastAsia="Times New Roman" w:hAnsi="Times New Roman"/>
          <w:b/>
          <w:bCs/>
          <w:sz w:val="26"/>
          <w:szCs w:val="26"/>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Tratou-se o desequilíbrio entre classes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3.2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Treinou-se o BERTimbau três vezes, com as sementes 42, 43 e 44, para medir a variabilidade devida à inicialização. A execução com a semente 42 ficou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 Os modelos de referência foram também treinados com as sementes 43 e 44, num caderno que reconstrói a divisão e confirma, pela impressão digital das etiquetas, que o conjunto de teste é o mesmo.</w:t>
      </w:r>
    </w:p>
    <w:p>
      <w:pPr>
        <w:pStyle w:val="Heading3"/>
        <w:keepNext/>
        <w:spacing w:after="100" w:before="200"/>
      </w:pPr>
      <w:r>
        <w:rPr>
          <w:rFonts w:ascii="Times New Roman" w:cs="Times New Roman" w:eastAsia="Times New Roman" w:hAnsi="Times New Roman"/>
          <w:b/>
          <w:bCs/>
          <w:sz w:val="26"/>
          <w:szCs w:val="26"/>
        </w:rPr>
        <w:t xml:space="preserve">3.6.3 Ambiente de desenvolvimento</w:t>
      </w:r>
    </w:p>
    <w:p>
      <w:pPr>
        <w:spacing w:after="120" w:before="0" w:line="360"/>
        <w:ind w:firstLine="567"/>
        <w:jc w:val="both"/>
      </w:pPr>
      <w:r>
        <w:rPr>
          <w:rFonts w:ascii="Times New Roman" w:cs="Times New Roman" w:eastAsia="Times New Roman" w:hAnsi="Times New Roman"/>
          <w:sz w:val="24"/>
          <w:szCs w:val="24"/>
        </w:rPr>
        <w:t xml:space="preserve">A Tabela 3.3 resume as ferramentas usadas em cada fase do trabalho.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Definiu-se a avaliação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00" w:before="200"/>
      </w:pPr>
      <w:r>
        <w:rPr>
          <w:rFonts w:ascii="Times New Roman" w:cs="Times New Roman" w:eastAsia="Times New Roman" w:hAnsi="Times New Roman"/>
          <w:b/>
          <w:bCs/>
          <w:sz w:val="26"/>
          <w:szCs w:val="26"/>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Desenhou-se a arquitectura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3.4.</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Gerar alertas a partir de ameaças confirmadas por analistas e de tendências de crescimento, na aplicação e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num mapa, por província, a concentração e a evolução das ameaças no período escolhido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Produzir o relatório de alertas de ameaças de um período, para impressão, exportação e envio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a ficha do modelo em uso: desempenho global, por categoria e em conteúdo angolano, limitações e acordo observado com os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Oferecer um modo de demonstração com dados fictícios, numa base de dados separada da real, e permitir passar de um modo para o outro sem fechar 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Percorrer periodicamente as fontes activas, recolhendo apenas publicações novas, com estimativa do consumo da quota do YouTube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recuperar o acesso a uma conta sem serviços externos: código pessoal de uso único, pedido ao supervisor com palavra-passe temporária e reposição local pelo administrador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Interface utilizável sem acesso à Internet, sem bibliotecas nem recursos externos, operável por teclado e legível em ecrãs estreitos e em papel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Proteger contas e sessões segundo práticas reconhecidas: palavras-passe derivadas com sal, bloqueio após tentativas falhadas, sessões no servidor que terminam quando a janela é fechada, protecção contra pedidos forjados e nunca mostrar segredos em mensagens de erro</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RNF8</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cada utilizador ajustar o aspecto da interface (tema, cores, tamanho da letra e densidade) sem afectar os outros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00" w:before="200"/>
      </w:pPr>
      <w:r>
        <w:rPr>
          <w:rFonts w:ascii="Times New Roman" w:cs="Times New Roman" w:eastAsia="Times New Roman" w:hAnsi="Times New Roman"/>
          <w:b/>
          <w:bCs/>
          <w:sz w:val="26"/>
          <w:szCs w:val="26"/>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3.5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processar milhões de publicações por hora produziria alertas que ninguém conseguiria rever. Com a arquitectura leve, o esforço vai para a qualidade da fila, para a protecção dos dados e para a facilidade de trocar o modelo; se o volume crescer, a base de dados pode passar para PostgreSQL e a inferência pode ser replicada, sem alterar o desenho.</w:t>
      </w:r>
    </w:p>
    <w:p>
      <w:pPr>
        <w:pStyle w:val="Heading3"/>
        <w:keepNext/>
        <w:spacing w:after="100" w:before="200"/>
      </w:pPr>
      <w:r>
        <w:rPr>
          <w:rFonts w:ascii="Times New Roman" w:cs="Times New Roman" w:eastAsia="Times New Roman" w:hAnsi="Times New Roman"/>
          <w:b/>
          <w:bCs/>
          <w:sz w:val="26"/>
          <w:szCs w:val="26"/>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4495800" cy="353377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495800" cy="35337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do YouTube, pela interface oficial (comentários de vídeos e dos vídeos recentes de canais, listas e pesquisas). Recolhe também de sítios de acesso livre que não exigem conta, como os portais dos órgãos de comunicação angolanos (feeds RSS, artigos e páginas de secção, a partir das quais segue ligações do mesmo sítio). O conteúdo público de redes que exigem conta, como o Facebook, entra por importação de ficheiros.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várias de cada vez se quiser, e o sistema detecta o tipo de cada endereço (vídeo, canal, lista ou pesquisa do YouTube, feed, página ou sítio). A recolha corre a pedido, por tarefa agendada do sistema operativo ou de forma periódica pelo próprio servidor (Secção 3.8.6). O módulo de recolha respeita o robots.txt, identifica-se como ferramenta de investigação, espera entre pedidos ao mesmo sítio e ignora páginas que pedem palavra-passe;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Cada recolha cria um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(código de autenticação de mensagens baseado em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poderia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Duas tabelas servem os alertas: uma liga cada publicação às províncias que menciona e outra guarda os alertas e quem já os viu. O modo de diário WAL permite que a classificação em segundo plano grave enquanto os analistas consultam a fila. A cópia de segurança é feita em linha, sem parar o serviço.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Como a fila mostra por omissão apenas os itens cuja categoria mais provável não é Normal, esta ordenação só actua sobre esses itens; os restantes só chegam ao analista pela amostra de controlo (Secção 4.7.2).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alertas, o mapa por província, o relatório de alertas, a ficha do modelo e os lotes e, para o supervisor, as métricas, as contas e a auditoria. As métricas podem ser exportadas para relatórios, incluindo ferramentas como o Power BI, sem que estas tenham acesso aos textos.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Alertas e relatório.</w:t>
      </w:r>
      <w:r>
        <w:rPr>
          <w:rFonts w:ascii="Times New Roman" w:cs="Times New Roman" w:eastAsia="Times New Roman" w:hAnsi="Times New Roman"/>
          <w:sz w:val="24"/>
          <w:szCs w:val="24"/>
        </w:rPr>
        <w:t xml:space="preserve"> Os alertas nascem apenas de decisões humanas. Um alerta de ameaça confirmada surge quando o número de analistas definido pelo supervisor (um, por omissão) escolhe uma categoria de ameaça e há mais decisões de ameaça do que de Normal. Um alerta de tendência surge quando as ameaças confirmadas numa província, ou no país, chegam a um mínimo de casos numa janela (cinco em sete dias, por omissão), crescem pelo menos 50% face à janela anterior e ganham peso no total de publicações recolhidas. Esta última condição impede que um simples aumento da recolha pareça um aumento de ameaça. Os alertas aparecem na aplicação e são enviados por e-mail aos destinatários definidos pelo supervisor, sem o texto da publicação nem o pseudónimo do autor, apenas com a categoria, a província, a data e a ligação para o sistema. Nunca são enviados automaticamente a terceiros. O relatório de alertas de ameaças de um período pode ser impresso, guardado em PDF, exportado em CSV ou enviado por e-mail.</w:t>
      </w:r>
    </w:p>
    <w:p>
      <w:pPr>
        <w:spacing w:after="120" w:before="0" w:line="360"/>
        <w:ind w:firstLine="567"/>
        <w:jc w:val="both"/>
      </w:pPr>
      <w:r>
        <w:rPr>
          <w:rFonts w:ascii="Times New Roman" w:cs="Times New Roman" w:eastAsia="Times New Roman" w:hAnsi="Times New Roman"/>
          <w:sz w:val="24"/>
          <w:szCs w:val="24"/>
        </w:rPr>
        <w:t xml:space="preserve">A localização usada nos alertas e no mapa é o lugar mencionado na publicação, não a localização de quem a escreveu, que os dados públicos não revelam. À entrada, o texto e o contexto são comparados com uma lista de topónimos (nomes das províncias, capitais e municípios mais citados), da qual se excluíram nomes com outro significado corrente, como Belas ou Cela, e termos ambíguos, como Kwanza sem Norte ou Sul. A localização fica ao nível da província, para não se aproximar de um perfil de pessoas, e as publicações sem lugar mencionado contam como “sem localização”. O mapa usa as 18 províncias com os limites em vigor de 2011 a 2024, anteriores à divisão político-administrativa que entrou em vigor em Janeiro de 2025, a partir dos limites do geoBoundaries, de domínio público (Runfola et al., 2020). A cor de cada província é a taxa de ameaças confirmadas sobre as publicações que a mencionam, de modo que falar muito de Luanda não a torne, por si só, a província mais ameaçada; abaixo de cinco publicações, a taxa não é calculada. Setas indicam a variação face ao período anterior com a mesma duração (Figura 3.8).</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Times New Roman" w:cs="Times New Roman" w:eastAsia="Times New Roman" w:hAnsi="Times New Roman"/>
          <w:i/>
          <w:iCs/>
          <w:sz w:val="24"/>
          <w:szCs w:val="24"/>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3962400" cy="34290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962400" cy="34290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00" w:before="200"/>
      </w:pPr>
      <w:r>
        <w:rPr>
          <w:rFonts w:ascii="Times New Roman" w:cs="Times New Roman" w:eastAsia="Times New Roman" w:hAnsi="Times New Roman"/>
          <w:b/>
          <w:bCs/>
          <w:sz w:val="26"/>
          <w:szCs w:val="26"/>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cinco actores (Figura 3.5). O analista revê a sua fila e a amostra de controlo, consulta o panorama, os alertas e o mapa e gera o relatório de alertas. O supervisor, que também pode rever, regista as fontes públicas e lança a recolha, importa lotes, define as regras e os destinatários dos alertas, envia o relatório por e-mail,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 O destinatário do e-mail, designado pelo supervisor, recebe os alertas e o resumo do relatório sem ter acesso ao sistema.</w:t>
      </w:r>
    </w:p>
    <w:p>
      <w:pPr>
        <w:keepNext/>
        <w:spacing w:after="40" w:before="160"/>
        <w:jc w:val="center"/>
      </w:pPr>
      <w:r>
        <w:drawing>
          <wp:inline distT="0" distB="0" distL="0" distR="0">
            <wp:extent cx="3600450"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600450"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 e aos alertas que dela resultam.</w:t>
      </w:r>
    </w:p>
    <w:p>
      <w:pPr>
        <w:keepNext/>
        <w:spacing w:after="40" w:before="160"/>
        <w:jc w:val="center"/>
      </w:pPr>
      <w:r>
        <w:drawing>
          <wp:inline distT="0" distB="0" distL="0" distR="0">
            <wp:extent cx="4324350" cy="3086100"/>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24350"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00" w:before="200"/>
      </w:pPr>
      <w:r>
        <w:rPr>
          <w:rFonts w:ascii="Times New Roman" w:cs="Times New Roman" w:eastAsia="Times New Roman" w:hAnsi="Times New Roman"/>
          <w:b/>
          <w:bCs/>
          <w:sz w:val="26"/>
          <w:szCs w:val="26"/>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(Secção 3.8.7).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O desenho da interface obedeceu a quatro princípios. O primeiro é a autonomia: a folha de estilo, o código JavaScript, os ícones e as ilustrações são próprios do sistema, sem bibliotecas, tipos de letra ou serviços externos, e a política de segurança de conteúdo do navegador (CSP) só admite recursos do próprio servidor. A aplicação funciona, por isso, numa rede sem acesso à Internet, e nenhum terceiro fica a saber que páginas são consultadas. O segundo é a melhoria progressiva: todas as páginas são geradas no servidor e funcionam sem JavaScript; o código do navegador apenas acrescenta rapidez e conforto. O terceiro é a acessibilidade: todas as acções têm atalho de teclado, o foco é sempre visível, os números usam algarismos de largura fixa para se alinharem nas tabelas, as animações são desligadas quando o sistema operativo o pede, há um tema escuro, automático ou escolhido pelo utilizador, e as páginas adaptam-se a ecrãs estreitos e à impressão em A4. O quarto é a honestidade sobre o modelo: as probabilidades estão sempre visíveis e a ficha do modelo explica onde ele falha.</w:t>
      </w:r>
    </w:p>
    <w:p>
      <w:pPr>
        <w:spacing w:after="120" w:before="0" w:line="360"/>
        <w:ind w:firstLine="567"/>
        <w:jc w:val="both"/>
      </w:pPr>
      <w:r>
        <w:rPr>
          <w:rFonts w:ascii="Times New Roman" w:cs="Times New Roman" w:eastAsia="Times New Roman" w:hAnsi="Times New Roman"/>
          <w:sz w:val="24"/>
          <w:szCs w:val="24"/>
        </w:rPr>
        <w:t xml:space="preserve">Na fila (Figura 3.7), cada publicação aparece com a categoria prevista, as probabilidades das quatro categorias e quatro botões de decisão, que respondem também às teclas 1 a 4; os lugares reconhecidos e os dados anonimizados aparecem realçados no texto. A decisão grava-se sem recarregar a página, com a posição que o item ocupava, e pode ser desfeita durante cinco segundos, antes de qualquer e-mail de alerta sair do sistema. Cada analista tem a sua própria fila, o que permite medir o acordo entre analistas de forma independente. Duas funções servem a avaliação da Secção 3.9: a revisão cega, que esconde a sugestão do modelo para que a concordância não seja inflacionada por ela, e a amostra de controlo, que sorteia, com semente registada, publicações classificadas como Normal para os analistas reverem sem sugestão e estimarem o que a fila deixa passar.</w:t>
      </w:r>
    </w:p>
    <w:p>
      <w:pPr>
        <w:keepNext/>
        <w:spacing w:after="40" w:before="160"/>
        <w:jc w:val="center"/>
      </w:pPr>
      <w:r>
        <w:drawing>
          <wp:inline distT="0" distB="0" distL="0" distR="0">
            <wp:extent cx="4495800" cy="240030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95800" cy="2400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e classificador simulado.</w:t>
      </w:r>
    </w:p>
    <w:p>
      <w:pPr>
        <w:spacing w:after="120" w:before="0" w:line="360"/>
        <w:ind w:firstLine="567"/>
        <w:jc w:val="both"/>
      </w:pPr>
      <w:r>
        <w:rPr>
          <w:rFonts w:ascii="Times New Roman" w:cs="Times New Roman" w:eastAsia="Times New Roman" w:hAnsi="Times New Roman"/>
          <w:sz w:val="24"/>
          <w:szCs w:val="24"/>
        </w:rPr>
        <w:t xml:space="preserve">Os alertas chegam sem recarregar a página: o navegador consulta o servidor a cada 20 segundos, enquanto a página está visível, e actualiza o contador do menu e o sino. Uma paleta de comandos, aberta com Ctrl+K, permite chegar a qualquer página ou acção escrevendo parte do nome.</w:t>
      </w:r>
    </w:p>
    <w:p>
      <w:pPr>
        <w:spacing w:after="120" w:before="0" w:line="360"/>
        <w:ind w:firstLine="567"/>
        <w:jc w:val="both"/>
      </w:pPr>
      <w:r>
        <w:rPr>
          <w:rFonts w:ascii="Times New Roman" w:cs="Times New Roman" w:eastAsia="Times New Roman" w:hAnsi="Times New Roman"/>
          <w:sz w:val="24"/>
          <w:szCs w:val="24"/>
        </w:rPr>
        <w:t xml:space="preserve">O mapa (Figura 3.8) é interactivo. Ao passar o cursor sobre uma província, um cartão mostra o número de publicações que a mencionam, as ameaças, a taxa, o valor do período anterior e a variação; um clique destaca a linha correspondente na tabela por província e um clique na tabela destaca a província no mapa. O botão de reprodução percorre o período semana a semana (dia a dia em períodos até 14 dias), colorindo cada província pelo número de ameaças nessa semana, o que mostra onde e quando a concentração cresceu. O mapa pode ser descarregado em SVG ou em PNG, já com título, período, legenda e fonte dos limites, para ser usado em relatórios.</w:t>
      </w:r>
    </w:p>
    <w:p>
      <w:pPr>
        <w:keepNext/>
        <w:spacing w:after="40" w:before="160"/>
        <w:jc w:val="center"/>
      </w:pPr>
      <w:r>
        <w:drawing>
          <wp:inline distT="0" distB="0" distL="0" distR="0">
            <wp:extent cx="3600450" cy="2800350"/>
            <wp:effectExtent t="0" r="0" b="0" l="0"/>
            <wp:docPr id="1" name="fig3_8_mapa.png" descr="fig3_8_mapa.png" title="fig3_8_m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600450"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3.8 – Mapa por província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últimos 90 dias; cartão de Benguela ao passar o cursor.</w:t>
      </w:r>
    </w:p>
    <w:p>
      <w:pPr>
        <w:spacing w:after="120" w:before="0" w:line="360"/>
        <w:ind w:firstLine="567"/>
        <w:jc w:val="both"/>
      </w:pPr>
      <w:r>
        <w:rPr>
          <w:rFonts w:ascii="Times New Roman" w:cs="Times New Roman" w:eastAsia="Times New Roman" w:hAnsi="Times New Roman"/>
          <w:sz w:val="24"/>
          <w:szCs w:val="24"/>
        </w:rPr>
        <w:t xml:space="preserve">A página Sobre o modelo é a ficha do modelo em uso, no espírito das fichas de modelo propostas por Mitchell et al. (2019). Mostra a identificação, a data de treino e a configuração, o desempenho no teste por categoria ao lado do desempenho em conteúdo angolano (Secção 4.6) e as limitações conhecidas, escritas em linguagem corrente: a queda de cerca de 39 pontos percentuais em conteúdo angolano, a falha quase sistemática na Desinformação em comentários e a baixa precisão na Mobilização Hostil. Abaixo, a mesma página calcula o acordo observado entre analistas e modelo nessa instalação. A ficha é lida de um ficheiro que acompanha o modelo, de modo que um modelo novo traz a sua própria ficha. O objectivo é que o analista leia cada sugestão com a confiança que ela merece, e não com a que um número global de 0,81 sugeriria.</w:t>
      </w:r>
    </w:p>
    <w:p>
      <w:pPr>
        <w:spacing w:after="120" w:before="0" w:line="360"/>
        <w:ind w:firstLine="567"/>
        <w:jc w:val="both"/>
      </w:pPr>
      <w:r>
        <w:rPr>
          <w:rFonts w:ascii="Times New Roman" w:cs="Times New Roman" w:eastAsia="Times New Roman" w:hAnsi="Times New Roman"/>
          <w:sz w:val="24"/>
          <w:szCs w:val="24"/>
        </w:rPr>
        <w:t xml:space="preserve">Duas funções servem a formação e a apresentação do sistema. Na primeira entrada, uma visita guiada de até dezoito passos percorre as partes do sistema a que o utilizador tem acesso, realçando cada uma. O modo de demonstração usa uma base de dados separada com cerca de 1.300 publicações fictícias de dezasseis semanas, compostas a partir de temas, lugares e registos variados, com casos de fronteira e episódios que dão forma ao mapa e aos alertas, e com sugestões de um classificador simulado que erra como o modelo real. Neste modo, nenhum e-mail é enviado. O supervisor pode passar da demonstração para o sistema real, e vice-versa, sem fechar o programa, e as páginas abertas recarregam-se quando o servidor está pronto. Cada utilizador pode ainda ajustar o aspecto da interface (tema, cores, tamanho da letra, densidade e cores do mapa), sem afectar os outros.</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verificação de tendências, o relatório periódico, a limpeza e as cópias de segurança. O manual de instalação e utilização consta do Apêndice F.</w:t>
      </w:r>
    </w:p>
    <w:p>
      <w:pPr>
        <w:pStyle w:val="Heading3"/>
        <w:keepNext/>
        <w:spacing w:after="100" w:before="200"/>
      </w:pPr>
      <w:r>
        <w:rPr>
          <w:rFonts w:ascii="Times New Roman" w:cs="Times New Roman" w:eastAsia="Times New Roman" w:hAnsi="Times New Roman"/>
          <w:b/>
          <w:bCs/>
          <w:sz w:val="26"/>
          <w:szCs w:val="26"/>
        </w:rPr>
        <w:t xml:space="preserve">3.8.6 Recolha automática e gestão da quota</w:t>
      </w:r>
    </w:p>
    <w:p>
      <w:pPr>
        <w:spacing w:after="120" w:before="0" w:line="360"/>
        <w:ind w:firstLine="567"/>
        <w:jc w:val="both"/>
      </w:pPr>
      <w:r>
        <w:rPr>
          <w:rFonts w:ascii="Times New Roman" w:cs="Times New Roman" w:eastAsia="Times New Roman" w:hAnsi="Times New Roman"/>
          <w:sz w:val="24"/>
          <w:szCs w:val="24"/>
        </w:rPr>
        <w:t xml:space="preserve">Para que o sistema acompanhe as fontes sem intervenção, o servidor verifica de 30 em 30 segundos se chegou a hora da próxima volta, com a frequência escolhida pelo supervisor entre 15 minutos e um dia (Figura 3.9). Em cada volta percorre todas as fontes activas: nos canais, listas e pesquisas do YouTube, vê os vídeos mais recentes e os seus comentários mais recentes; nos feeds e nos sítios, procura artigos novos. Só entra o que ainda não existe na base de dados, as publicações novas são classificadas e entram na fila, e cada volta fica nos lotes e na auditoria. A interface do YouTube tem uma quota diária, habitualmente de 10.000 unidades, e uma pesquisa custa cem vezes mais do que uma página de comentários; a página estima, por isso, o consumo de cada volta e do dia a partir das fontes activas (Tabela 3.6) e avisa quando a estimativa se aproxima do limite.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3.6 – Tipos de fonte e quota do YouTube por volta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120"/>
        <w:gridCol w:w="18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Tipo de fonte</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 que é lido em cada volta</w:t>
            </w:r>
          </w:p>
        </w:tc>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Unidades por volta</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Vídeo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Comentários e respostas mais recentes, até ao máximo definido</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 por cada 100 comentários</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Canal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12</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Lista de reprodução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da lista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Pesquisa no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com os termos indicados (região Angola, língua portuguesa)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Feed RSS ou Atom</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Entradas novas do feed</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web pública</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Título, data e primeiros parágrafos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Sítio web público</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inicial de uma secção e as ligações para artigos do mesmo sítio</w:t>
            </w:r>
          </w:p>
        </w:tc>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Estimativa usada pela aplicação. Os sítios web não gastam quota do YouTube, mas o sistema espera alguns segundos entre pedidos ao mesmo sítio e respeita o robots.txt.</w:t>
      </w:r>
    </w:p>
    <w:p>
      <w:pPr>
        <w:keepNext/>
        <w:spacing w:after="40" w:before="160"/>
        <w:jc w:val="center"/>
      </w:pPr>
      <w:r>
        <w:drawing>
          <wp:inline distT="0" distB="0" distL="0" distR="0">
            <wp:extent cx="4324350" cy="1533525"/>
            <wp:effectExtent t="0" r="0" b="0" l="0"/>
            <wp:docPr id="1" name="fig3_11_recolha_auto.png" descr="fig3_11_recolha_auto.png" title="fig3_11_recolha_a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243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3.9 – Recolha automática na página das fontes</w:t>
      </w:r>
    </w:p>
    <w:p>
      <w:pPr>
        <w:spacing w:after="240" w:before="0" w:line="240"/>
        <w:jc w:val="center"/>
      </w:pPr>
      <w:r>
        <w:rPr>
          <w:rFonts w:ascii="Times New Roman" w:cs="Times New Roman" w:eastAsia="Times New Roman" w:hAnsi="Times New Roman"/>
          <w:i/>
          <w:iCs/>
          <w:sz w:val="18"/>
          <w:szCs w:val="18"/>
        </w:rPr>
        <w:t xml:space="preserve">Nota. Sistema real numa instalação de teste, com seis fontes de exemplo (um canal, um vídeo, uma lista, uma pesquisa, um feed e um sítio).</w:t>
      </w:r>
    </w:p>
    <w:p>
      <w:pPr>
        <w:spacing w:after="120" w:before="0" w:line="360"/>
        <w:ind w:firstLine="567"/>
        <w:jc w:val="both"/>
      </w:pPr>
      <w:r>
        <w:rPr>
          <w:rFonts w:ascii="Times New Roman" w:cs="Times New Roman" w:eastAsia="Times New Roman" w:hAnsi="Times New Roman"/>
          <w:sz w:val="24"/>
          <w:szCs w:val="24"/>
        </w:rPr>
        <w:t xml:space="preserve">A recolha automática só corre com o servidor em execução; com ele parado, a recolha pode ser agendada no sistema operativo. Como a chave do YouTube viaja no endereço de cada pedido, as mensagens de erro são limpas antes de gravadas, para que a chave nunca apareça no ecrã nem nos registos.</w:t>
      </w:r>
    </w:p>
    <w:p>
      <w:pPr>
        <w:pStyle w:val="Heading3"/>
        <w:keepNext/>
        <w:spacing w:after="100" w:before="200"/>
      </w:pPr>
      <w:r>
        <w:rPr>
          <w:rFonts w:ascii="Times New Roman" w:cs="Times New Roman" w:eastAsia="Times New Roman" w:hAnsi="Times New Roman"/>
          <w:b/>
          <w:bCs/>
          <w:sz w:val="26"/>
          <w:szCs w:val="26"/>
        </w:rPr>
        <w:t xml:space="preserve">3.8.7 Gestão de contas e segurança</w:t>
      </w:r>
    </w:p>
    <w:p>
      <w:pPr>
        <w:spacing w:after="120" w:before="0" w:line="360"/>
        <w:ind w:firstLine="567"/>
        <w:jc w:val="both"/>
      </w:pPr>
      <w:r>
        <w:rPr>
          <w:rFonts w:ascii="Times New Roman" w:cs="Times New Roman" w:eastAsia="Times New Roman" w:hAnsi="Times New Roman"/>
          <w:sz w:val="24"/>
          <w:szCs w:val="24"/>
        </w:rPr>
        <w:t xml:space="preserve">As contas seguem as orientações revistas na Secção 2.9. As palavras-passe têm pelo menos dez caracteres e são guardadas como derivação PBKDF2-SHA-256 com sal e 240.000 iterações; cinco tentativas falhadas bloqueiam a conta durante cinco minutos. A sessão fica no servidor, num cookie sem validade própria, e cada formulário leva um código anti-falsificação. Ao fechar o separador ou a janela, o navegador pergunta se a pessoa quer sair; se a janela fechar e nenhuma página do sistema reabrir em 20 segundos, a sessão termina e fica na auditoria.</w:t>
      </w:r>
    </w:p>
    <w:p>
      <w:pPr>
        <w:spacing w:after="120" w:before="0" w:line="360"/>
        <w:ind w:firstLine="567"/>
        <w:jc w:val="both"/>
      </w:pPr>
      <w:r>
        <w:rPr>
          <w:rFonts w:ascii="Times New Roman" w:cs="Times New Roman" w:eastAsia="Times New Roman" w:hAnsi="Times New Roman"/>
          <w:sz w:val="24"/>
          <w:szCs w:val="24"/>
        </w:rPr>
        <w:t xml:space="preserve">A recuperação do acesso dispensa correio electrónico e serviços externos (Figura 3.10). Cada utilizador pode gerar um código de recuperação pessoal de dezasseis caracteres (cerca de 80 bits), mostrado uma só vez, guardado como derivação e válido uma vez. Sem código, a pessoa pede ajuda ao supervisor na página de entrada, com uma resposta igual exista ou não a conta; o supervisor confirma a identidade e gera uma palavra-passe temporária, que tem de ser mudada no primeiro acesso. Se o único supervisor perder o acesso, um comando local no servidor repõe a palavra-passe. Outro comando mostra a configuração que o sistema está a ler, sem revelar os valores. Todos os passos ficam na auditoria.</w:t>
      </w:r>
    </w:p>
    <w:p>
      <w:pPr>
        <w:keepNext/>
        <w:spacing w:after="40" w:before="160"/>
        <w:jc w:val="center"/>
      </w:pPr>
      <w:r>
        <w:drawing>
          <wp:inline distT="0" distB="0" distL="0" distR="0">
            <wp:extent cx="3962400" cy="2943225"/>
            <wp:effectExtent t="0" r="0" b="0" l="0"/>
            <wp:docPr id="1" name="fig3_12_recuperacao.png" descr="fig3_12_recuperacao.png" title="fig3_12_recupe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962400" cy="29432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3.10 – Recuperação do acesso a uma conta</w:t>
      </w:r>
    </w:p>
    <w:p>
      <w:pPr>
        <w:spacing w:after="240" w:before="0" w:line="240"/>
        <w:jc w:val="center"/>
      </w:pPr>
      <w:r>
        <w:rPr>
          <w:rFonts w:ascii="Times New Roman" w:cs="Times New Roman" w:eastAsia="Times New Roman" w:hAnsi="Times New Roman"/>
          <w:i/>
          <w:iCs/>
          <w:sz w:val="18"/>
          <w:szCs w:val="18"/>
        </w:rPr>
        <w:t xml:space="preserve">Nota. (a) modo de demonstração; (b) a (d) sistema real numa instalação de teste, com contas de exemplo.</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121 testes automáticos (Secção 4.8.4). Cobrem a anonimização, a importação, a recolha (com um sítio de notícias e um cliente do YouTube simulados localmente, verificando o respeito pelo robots.txt e a exclusão de páginas com início de sessão), a recolha automática, os alertas e os e-mails sem texto nem autor. Cobrem também a detecção de províncias, o mapa e o relatório, o fluxo completo de importação, classificação, revisão, métricas e exportação, a conservação, as cópias de segurança e o carregamento do BERTimbau. Na aplicação web, testam o controlo de acesso, o bloqueio, a protecção CSRF, o escape de texto, a revisão independente e cega, a amostra de controlo, a interface do analista, o modo de demonstração e a gestão de contas, incluindo a recuperação do acesso e o fim da sessão ao fechar a janela. Correm com </w:t>
      </w:r>
      <w:r>
        <w:rPr>
          <w:rFonts w:ascii="Times New Roman" w:cs="Times New Roman" w:eastAsia="Times New Roman" w:hAnsi="Times New Roman"/>
          <w:i/>
          <w:iCs/>
          <w:sz w:val="24"/>
          <w:szCs w:val="24"/>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Times New Roman" w:cs="Times New Roman" w:eastAsia="Times New Roman" w:hAnsi="Times New Roman"/>
          <w:i/>
          <w:iCs/>
          <w:sz w:val="24"/>
          <w:szCs w:val="24"/>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intervalo entre a publicação original e a recolha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datado em torno de eventos documentados, dividido cronologicamente, e uma lista de eventos de referência independente do corpus. Um padrão conta como detectado quando o sistema emite um alerta de tendência (Secção 3.8.3) para a província ou para o país, calculado sobre decisões de analistas sem conhecimento dos eventos ou, em alternativa declarada, sobre as previsões do modelo; a antecedência é o intervalo entre esse alerta e a data do evento, e a H3 confirma-se se a mediana for de pelo menos 48 horas. Este protocolo fica esboçado, mas não foi aplicado.</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3.7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3.7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Todos os valores foram recalculados a partir das previsões guardadas de cada modelo no conjunto de teste e coincidem com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analisa a qualidade das probabilidades e a utilidade da ordenação que o sistema faz com elas. A Secção 4.8 trata da avaliação operacional (H2 e H3) e da verificação funcional do sistema, e a Secção 4.9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Nas tabelas, por economia de espaço, as categorias Discurso de Ódio e Mobilização Hostil aparecem abreviadas como Ódio e Mobilização.</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Desinformação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Ódio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Mobilização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Mobilização Hostil existe apenas no piloto angolano. O piloto inclui 2.288 itens da base do piloto (comentários do YouTube amostrados aleatoriamente e itens de recolha manual)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Recorde-se que os lotes enriquecidos do piloto entraram apenas no treino, que as configurações e variantes foram escolhidas na validação e que os resultados são reportados tal como saíram de cada execução, sem selecção pelo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Desinformação 580; Discurso de Ódio 517; Mobilização Hostil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Obtiveram-se os intervalos de confiança a 95%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O BERTimbau é também o primeiro no Kappa e na AUC-ROC; entre os restantes, a ordem varia com a métrica, e as diferenças são pequenas.</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Mobilização Hostil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4143375" cy="3867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43375" cy="3867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Discurso de Ódio, onde as AUC dos restantes modelos descem para 0,837–0,882. Na Desinformação, todos os modelos ultrapassam 0,96, um resultado cuja interpretação é revista na Secção 4.6. Na Mobilização Hostil,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(ΔF1-macro 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Ódio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Desinformação, 0,778 no Discurso de Ódio e 0,549 na Mobilização Hostil. A vantagem sobre os modelos de referência é maior no Discurso de Ódio (0,778 contra 0,455–0,585), categoria em que a Floresta Aleatória classifica como Normal a maioria dos itens de ódio, e na Mobilização Hostil (0,549 contra 0,326–0,368). Na Desinformação,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Mobilização Hostil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4143375" cy="396240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43375" cy="39624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Dois padrões de erro são comuns aos quatro modelos. O primeiro, e mais frequente, é a confusão entre Normal e Discurso de Ódio: no BERTimbau, 100 itens Normais foram classificados como Discurso de Ódio e 104 itens de Discurso de Ódio como Normais, o que corresponde a 20% dos itens de ódio. Trata-se de uma fronteira conceptualmente difícil, que envolve ódio implícito, ironia e insulto sem alvo identitário. O segundo padrão é a classificação de Mobilização Hostil como Normal (12 dos 47 itens no BERTimbau; 16 no Bi-LSTM, 24 na Floresta Aleatória e 7 no SVM), que reproduz a fronteira, assumida no Guia de Anotação, entre convocatória legítima e mobilização hostil. Um terceiro é próprio do BERTimbau: a raridade das confusões que envolvem a Desinformação,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Mobilização Hostil significa que o modelo deixa escapar aproximadamente quatro em cada dez itens desta categoria e que cerca de metade das suas previsões desta categoria são falsos positivos. Estes valores são incompatíveis com qualquer uso automático das classificações e sustentam o desenho do sistema como ferramenta de triagem com revisão humana obrigatória (Secção 4.8).</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00" w:before="200"/>
      </w:pPr>
      <w:r>
        <w:rPr>
          <w:rFonts w:ascii="Times New Roman" w:cs="Times New Roman" w:eastAsia="Times New Roman" w:hAnsi="Times New Roman"/>
          <w:b/>
          <w:bCs/>
          <w:sz w:val="26"/>
          <w:szCs w:val="26"/>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repetiu-se o ajuste fino com três sementes aleatórias (42, 43 e 44) e testaram-se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050"/>
        <w:gridCol w:w="1150"/>
        <w:gridCol w:w="1850"/>
        <w:gridCol w:w="950"/>
        <w:gridCol w:w="1020"/>
      </w:tblGrid>
      <w:tr>
        <w:trPr>
          <w:cantSplit/>
          <w:tblHeader/>
        </w:trPr>
        <w:tc>
          <w:tcPr>
            <w:tcW w:type="dxa" w:w="2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(validação)</w:t>
            </w:r>
          </w:p>
        </w:tc>
        <w:tc>
          <w:tcPr>
            <w:tcW w:type="dxa" w:w="1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(teste)</w:t>
            </w:r>
          </w:p>
        </w:tc>
      </w:tr>
      <w:tr>
        <w:trPr>
          <w:cantSplit/>
          <w:tblHeader w:val="false"/>
        </w:trPr>
        <w:tc>
          <w:tcPr>
            <w:tcW w:type="dxa" w:w="22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0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18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9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0,721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0,181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0,824</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0,506</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0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0,219</w:t>
            </w:r>
          </w:p>
        </w:tc>
        <w:tc>
          <w:tcPr>
            <w:tcW w:type="dxa" w:w="1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do teste de McNemar, sem correcção para comparações múltiplas; a decisão usa apenas os da validação.</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Mobilização Hostil, cujo F1 oscila entre 0,472 e 0,549. As sementes 42 e 44 diferem significativamente nos itens que acertam (p = 0,002), apesar de F1-macro e F1 de Mobilização Hostil semelhantes: modelos com desempenho agregado equivalente tomam decisões individuais diferentes, o que reforça a necessidade de revisão humana item a item.</w:t>
      </w:r>
    </w:p>
    <w:p>
      <w:pPr>
        <w:spacing w:after="120" w:before="0" w:line="360"/>
        <w:ind w:firstLine="567"/>
        <w:jc w:val="both"/>
      </w:pPr>
      <w:r>
        <w:rPr>
          <w:rFonts w:ascii="Times New Roman" w:cs="Times New Roman" w:eastAsia="Times New Roman" w:hAnsi="Times New Roman"/>
          <w:sz w:val="24"/>
          <w:szCs w:val="24"/>
        </w:rPr>
        <w:t xml:space="preserve">Os modelos de referência foram também treinados com as sementes 43 e 44; a semente 42 reproduz os valores da Tabela 4.2. Na média das três sementes, o F1-macro é de 0,652 ± 0,009 na Floresta Aleatória, 0,645 ± 0,016 no Bi-LSTM e 0,631 ± 0,001 no SVM. O BERTimbau supera cada um deles em todas as sementes, por 14,6 a 17,8 p.p. (McNemar, p &lt; 10</w:t>
      </w:r>
      <w:r>
        <w:rPr>
          <w:rFonts w:ascii="Times New Roman" w:cs="Times New Roman" w:eastAsia="Times New Roman" w:hAnsi="Times New Roman"/>
          <w:sz w:val="24"/>
          <w:szCs w:val="24"/>
          <w:vertAlign w:val="superscript"/>
        </w:rPr>
        <w:t xml:space="preserve">-48</w:t>
      </w:r>
      <w:r>
        <w:rPr>
          <w:rFonts w:ascii="Times New Roman" w:cs="Times New Roman" w:eastAsia="Times New Roman" w:hAnsi="Times New Roman"/>
          <w:sz w:val="24"/>
          <w:szCs w:val="24"/>
        </w:rPr>
        <w:t xml:space="preserve">). O Bi-LSTM, o mais instável, nunca supera a Floresta Aleatória: a diferença é de +0,2 p.p. na semente 42 e de −0,9 e −1,3 p.p. nas sementes 43 e 44, nestas duas a favor da Floresta (p &lt;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Na validação, onde o critério da Secção 3.7 manda decidir, nenhuma variante nem nenhuma semente se distingue da referência (McNemar, p ≥ 0,18), pelo que se manteve a configuração de referência. A variante com pesos suavizados obteve o melhor F1-macro de validação (0,826), sem diferença significativa nos acertos, e no teste ficou em 0,799, com F1 de Mobilização Hostil inferior (0,518). Os valores de teste apresentam-se apenas para informação: também aí nenhuma das três variantes se distingue da referência (p &gt; 0,40). A ablação do lote de vídeos temáticos reduziu o F1-macro de 0,807 para 0,799 e o F1 de Mobilização Hostil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 Este novo treino usou o mesmo corpus v13, incluindo os nomes próprios do lote temático referidos na Secção 3.2; a sua substituição fica pendente.</w:t>
      </w:r>
    </w:p>
    <w:p>
      <w:pPr>
        <w:pStyle w:val="Heading3"/>
        <w:keepNext/>
        <w:spacing w:after="100" w:before="200"/>
      </w:pPr>
      <w:r>
        <w:rPr>
          <w:rFonts w:ascii="Times New Roman" w:cs="Times New Roman" w:eastAsia="Times New Roman" w:hAnsi="Times New Roman"/>
          <w:b/>
          <w:bCs/>
          <w:sz w:val="26"/>
          <w:szCs w:val="26"/>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pontuações de cada modelo (log-probabilidades nos modelos probabilísticos; pontuações de decisão no SVM), escolhidos no conjunto de validação. Como os vieses são escolhidos nos mesmos dados em que se medem, o ganho na validação é optimista; por isso, estimou-se o ganho esperado por validação cruzada dentro do conjunto de validação e confirmou-se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Leitura</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não confirmado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marginal</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 Por protocolo (Secção 3.7), os resultados principais são reportados sem ajuste; o teste serve apenas para verificar a estimativa da validação.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e de forma marginal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Ódio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Mobilização Hostil, pelo que o seu F1-macro é calculado sobre três classes.</w:t>
      </w:r>
    </w:p>
    <w:p>
      <w:pPr>
        <w:keepNext/>
        <w:spacing w:after="40" w:before="160"/>
        <w:jc w:val="center"/>
      </w:pPr>
      <w:r>
        <w:drawing>
          <wp:inline distT="0" distB="0" distL="0" distR="0">
            <wp:extent cx="3781425" cy="201930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781425" cy="2019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Mobilização Hostil, a categoria mais difícil, existe apenas no piloto, e o F1-macro do corpus público é calculado sobre três classes. Para reduzir este efeito, excluíram-se do piloto os itens de Mobilização Hostil (n = 308) e calculou-se o F1-macro nas três categorias comuns, contando como erro qualquer previsão de Mobilização: 0,545 (IC 95% 0,474–0,613), contra 0,919 no corpus público. A diferença, de 37,3 p.p.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de 30,6 a 44,7), mantém-se na mesma ordem de grandeza, pelo que a degradação não se explica pela composição das classes. Note-se ainda que o κ do modelo no piloto (0,436) fica bem abaixo do acordo entre anotadores (0,718), que dá uma ordem de grandeza da dificuldade da tarefa.</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Desinformação: F1 de 0,992 no corpus público e de 0,235 no piloto. Nos corpora públicos, toda a Desinformação provém do Fake.br, constituído por notícias completas, enquanto o piloto contém sobretudo comentários curtos. A combinação de um desempenho quase perfeito no domínio de origem com um desempenho muito baixo no domínio angolano é compatível com a hipótese de que o modelo aprendeu sobretudo marcas de estilo e de formato do Fake.br (registo jornalístico, extensão, estrutura) e não propriedades da desinformação enquanto tal. O Discurso de Ódio também desce (0,802 contra 0,518). Por isso, o F1 global de 0,807 e, em particular, o F1 de 0,947 na Desinformação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Há, contudo, explicações concorrentes que este desenho não separa: (i) as etiquetas do piloto aplicam por vezes critérios mais amplos do que os do guia, alargados pela regra da categoria mais grave (Secção 3.4); (ii) no Discurso de Ódio, os exemplos públicos do HateBR são linguagem ofensiva, noção mais ampla do que a do guia; e (iii) 297 etiquetas do piloto resultam de um só voto. Uma parte da lacuna pode, por isso, ser de medida e não de modelo. Os itens escolhidos pelo investigador, com acordo baixo entre anotadores (κ de 0,42 e 0,28), não a explicam: nos 289 comentários do YouTube sorteados, o F1-macro é de 0,535 (IC 95% 0,457–0,603; κ de 0,443), praticamente o do subconjunto completo.</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caracterização do piloto (Secção 3.4) sugere, aliás, que o calão é um factor menor: apenas uma fracção muito pequena dos comentários contém termos de calão de uma lista ilustrativa, pelo que a diferença poderá vir sobretudo dos temas, das referências e da forma de argumentar, hipótese que não foi testada. A H4 confirma, por isso, uma lacuna de domínio substancial, sem a atribuir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Qualidade das probabilidades e utilidade da ordenação</w:t>
      </w:r>
    </w:p>
    <w:p>
      <w:pPr>
        <w:spacing w:after="120" w:before="0" w:line="360"/>
        <w:ind w:firstLine="567"/>
        <w:jc w:val="both"/>
      </w:pPr>
      <w:r>
        <w:rPr>
          <w:rFonts w:ascii="Times New Roman" w:cs="Times New Roman" w:eastAsia="Times New Roman" w:hAnsi="Times New Roman"/>
          <w:sz w:val="24"/>
          <w:szCs w:val="24"/>
        </w:rPr>
        <w:t xml:space="preserve">O sistema mostra as probabilidades do modelo ao analista e ordena a fila pela prioridade 1 − P(Normal) (Secção 3.8.3). Esta secção analisa, no conjunto de teste, se as probabilidades merecem a confiança que exprimem e quanto trabalho a ordenação poupa, para o BERTimbau, o Bi-LSTM e a Floresta Aleatória (o SVM linear não produz probabilidades). Como 91% do teste é brasileiro e 28,7% dos itens são ameaças, proporção muito superior à de um fluxo real, a precisão nos primeiros K e a precisão média são um limite superior do que o sistema fará em conteúdo angolano; a fracção da fila a rever depende da prevalência e não é comparável. No fim da secção, a análise repete-se no subconjunto angolano (n = 355).</w:t>
      </w:r>
    </w:p>
    <w:p>
      <w:pPr>
        <w:pStyle w:val="Heading3"/>
        <w:keepNext/>
        <w:spacing w:after="100" w:before="200"/>
      </w:pPr>
      <w:r>
        <w:rPr>
          <w:rFonts w:ascii="Times New Roman" w:cs="Times New Roman" w:eastAsia="Times New Roman" w:hAnsi="Times New Roman"/>
          <w:b/>
          <w:bCs/>
          <w:sz w:val="26"/>
          <w:szCs w:val="26"/>
        </w:rPr>
        <w:t xml:space="preserve">4.7.1 Calibração das probabilidades</w:t>
      </w:r>
    </w:p>
    <w:p>
      <w:pPr>
        <w:spacing w:after="120" w:before="0" w:line="360"/>
        <w:ind w:firstLine="567"/>
        <w:jc w:val="both"/>
      </w:pPr>
      <w:r>
        <w:rPr>
          <w:rFonts w:ascii="Times New Roman" w:cs="Times New Roman" w:eastAsia="Times New Roman" w:hAnsi="Times New Roman"/>
          <w:sz w:val="24"/>
          <w:szCs w:val="24"/>
        </w:rPr>
        <w:t xml:space="preserve">A Tabela 4.8 apresenta, para cada modelo, a confiança média da categoria prevista, a exactidão, o erro de calibração esperado (ECE, calculado com 15 intervalos) e o índice de Brier, juntamente com as medidas de ordenação usadas na secção seguinte.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Calibração e ordenação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540"/>
        <w:gridCol w:w="1540"/>
        <w:gridCol w:w="154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Confiança média da categoria prevista</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0,757</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Exactidão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ECE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0,039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0,106</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0,083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Índice de Brier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0,125</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0,297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0,262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AUC-ROC ameaça contra Normal</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0,977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0,876</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média (AP) da ordenação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0,788</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nos primeiros 50 / 100 / 500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 / 1,00 / 1,00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 / 0,94 / 0,89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0,86 / 0,92 / 0,94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80% das ameaças</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24,7%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36,2%</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95% das ameaças</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73,8%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dos quais 1.144 ameaças (28,7%). Ordenação de todos os itens do teste pela prioridade 1 − P(Normal). A fila do sistema mostra por omissão apenas os 1.147 itens não classificados como Normais (28,8%), que contêm 88,2% das ameaças; acima desse valor, as restantes só se encontram pela amostra de controlo. ECE com 15 intervalos de igual amplitude sobre a confiança da categoria prevista.</w:t>
      </w:r>
    </w:p>
    <w:p>
      <w:pPr>
        <w:spacing w:after="120" w:before="0" w:line="360"/>
        <w:ind w:firstLine="567"/>
        <w:jc w:val="both"/>
      </w:pPr>
      <w:r>
        <w:rPr>
          <w:rFonts w:ascii="Times New Roman" w:cs="Times New Roman" w:eastAsia="Times New Roman" w:hAnsi="Times New Roman"/>
          <w:sz w:val="24"/>
          <w:szCs w:val="24"/>
        </w:rPr>
        <w:t xml:space="preserve">O BERTimbau é o modelo mais bem calibrado (ECE de 0,039), mas é ligeiramente confiante em excesso: a confiança média, de 0,962, excede a exactidão, de 0,924, em cerca de 4 pontos percentuais. A diferença concentra-se nas previsões de confiança intermédia. Dois terços das previsões (67%) têm confiança de pelo menos 0,99, e destas 99% estão certas; já nas cerca de 10% de previsões com confiança entre 0,5 e 0,9, a confiança média é de 0,75 e só 64% estão certas. O Bi-LSTM é bastante mais confiante do que justificam os seus acertos (confiança de 0,922 para uma exactidão de 0,819), e a Floresta Aleatória, ao contrário, é pouco confiante (0,757 para 0,834), o que é habitual em métodos que fazem a média de muitas árvores (Niculescu-Mizil &amp; Caruana, 2005).</w:t>
      </w:r>
    </w:p>
    <w:p>
      <w:pPr>
        <w:spacing w:after="120" w:before="0" w:line="360"/>
        <w:ind w:firstLine="567"/>
        <w:jc w:val="both"/>
      </w:pPr>
      <w:r>
        <w:rPr>
          <w:rFonts w:ascii="Times New Roman" w:cs="Times New Roman" w:eastAsia="Times New Roman" w:hAnsi="Times New Roman"/>
          <w:sz w:val="24"/>
          <w:szCs w:val="24"/>
        </w:rPr>
        <w:t xml:space="preserve">Para o analista, uma percentagem muito alta do BERTimbau é, no conteúdo do teste, uma estimativa razoável, e uma intermédia sobrestima a probabilidade de acerto. Em conteúdo angolano, onde o modelo acerta menos (Secção 4.6), a sobrestimação é maior, como se mostra no fim desta secção. O escalamento por temperatura corrige-a com um único parâmetro ajustado num conjunto de validação (Guo et al., 2017), que, para ser útil, teria de ser angolano.</w:t>
      </w:r>
    </w:p>
    <w:p>
      <w:pPr>
        <w:pStyle w:val="Heading3"/>
        <w:keepNext/>
        <w:spacing w:after="100" w:before="200"/>
      </w:pPr>
      <w:r>
        <w:rPr>
          <w:rFonts w:ascii="Times New Roman" w:cs="Times New Roman" w:eastAsia="Times New Roman" w:hAnsi="Times New Roman"/>
          <w:b/>
          <w:bCs/>
          <w:sz w:val="26"/>
          <w:szCs w:val="26"/>
        </w:rPr>
        <w:t xml:space="preserve">4.7.2 Ordenação da fila de revisão</w:t>
      </w:r>
    </w:p>
    <w:p>
      <w:pPr>
        <w:spacing w:after="120" w:before="0" w:line="360"/>
        <w:ind w:firstLine="567"/>
        <w:jc w:val="both"/>
      </w:pPr>
      <w:r>
        <w:rPr>
          <w:rFonts w:ascii="Times New Roman" w:cs="Times New Roman" w:eastAsia="Times New Roman" w:hAnsi="Times New Roman"/>
          <w:sz w:val="24"/>
          <w:szCs w:val="24"/>
        </w:rPr>
        <w:t xml:space="preserve">A Figura 4.4 mostra a curva de esforço de cada modelo: a fracção das 1.144 ameaças do teste que um analista encontraria ao rever, por ordem de prioridade, uma ordenação de todo o conjunto de teste, e não apenas a fila por omissão. Com o BERTimbau, revendo 25% da fila encontram-se 80% das ameaças, muito perto do ideal (23%, que corresponderia a ter todas as ameaças no topo); para chegar a 95%, basta rever 37%. Com o Bi-LSTM e a Floresta Aleatória, os mesmos 95% exigem rever 67% e 74% da fila. Os primeiros 500 itens da fila do BERTimbau são todos ameaças, contra 89% no Bi-LSTM e 94% na Floresta Aleatória.</w:t>
      </w:r>
    </w:p>
    <w:p>
      <w:pPr>
        <w:keepNext/>
        <w:spacing w:after="40" w:before="160"/>
        <w:jc w:val="center"/>
      </w:pPr>
      <w:r>
        <w:drawing>
          <wp:inline distT="0" distB="0" distL="0" distR="0">
            <wp:extent cx="3962400" cy="2305050"/>
            <wp:effectExtent t="0" r="0" b="0" l="0"/>
            <wp:docPr id="1" name="fig4_5_esforco.png" descr="fig4_5_esforco.png" title="fig4_5_esfor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962400" cy="23050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4.4 – Curva de esforço de revisão: ameaças encontradas em função da fila revista</w:t>
      </w:r>
    </w:p>
    <w:p>
      <w:pPr>
        <w:spacing w:after="120" w:before="0" w:line="360"/>
        <w:ind w:firstLine="567"/>
        <w:jc w:val="both"/>
      </w:pPr>
      <w:r>
        <w:rPr>
          <w:rFonts w:ascii="Times New Roman" w:cs="Times New Roman" w:eastAsia="Times New Roman" w:hAnsi="Times New Roman"/>
          <w:sz w:val="24"/>
          <w:szCs w:val="24"/>
        </w:rPr>
        <w:t xml:space="preserve">Este resultado global esconde, no entanto, um desequilíbrio entre categorias. Os primeiros 500 itens da fila do BERTimbau são todos de Desinformação, e a mediana da posição dos 47 itens de Mobilização Hostil é a 927.ª; nenhum deles aparece nos primeiros 10% da fila. A explicação está na Secção 4.6: as notícias do Fake.br são classificadas com probabilidade quase nula de serem Normais e ocupam o topo, enquanto os comentários de mobilização, mais ambíguos, recebem prioridades mais moderadas. Num fluxo angolano real não haverá notícias do Fake.br, mas o mecanismo mantém-se: a categoria em que o modelo é mais confiante ocupa o topo da fila, e essa não é necessariamente a mais grave nem aquela em que o modelo é mais fiável.</w:t>
      </w:r>
    </w:p>
    <w:p>
      <w:pPr>
        <w:spacing w:after="120" w:before="0" w:line="360"/>
        <w:ind w:firstLine="567"/>
        <w:jc w:val="both"/>
      </w:pPr>
      <w:r>
        <w:rPr>
          <w:rFonts w:ascii="Times New Roman" w:cs="Times New Roman" w:eastAsia="Times New Roman" w:hAnsi="Times New Roman"/>
          <w:sz w:val="24"/>
          <w:szCs w:val="24"/>
        </w:rPr>
        <w:t xml:space="preserve">O filtro por categoria da fila já permite contornar este efeito. Ordenar cada categoria pela sua própria probabilidade seria mais directo: os 47 itens com maior probabilidade de Mobilização Hostil contêm 25 dos 47 casos reais, e os primeiros 100 contêm 32. Filas por categoria, ou uma prioridade ponderada pela gravidade, são uma melhoria natural do sistema (Capítulo 6).</w:t>
      </w:r>
    </w:p>
    <w:p>
      <w:pPr>
        <w:spacing w:after="120" w:before="0" w:line="360"/>
        <w:ind w:firstLine="567"/>
        <w:jc w:val="both"/>
      </w:pPr>
      <w:r>
        <w:rPr>
          <w:rFonts w:ascii="Times New Roman" w:cs="Times New Roman" w:eastAsia="Times New Roman" w:hAnsi="Times New Roman"/>
          <w:sz w:val="24"/>
          <w:szCs w:val="24"/>
        </w:rPr>
        <w:t xml:space="preserve">Por fim, a fila mostra por omissão apenas os itens não classificados como Normais. Entre os 2.840 itens que o BERTimbau classificou como Normais estão 135 ameaças (11,8% do total: 104 de Discurso de Ódio, 19 de Desinformação e 12 de Mobilização Hostil); mesmo entre os 1.885 com P(Normal) de pelo menos 0,99 há 10 ameaças (0,5%; IC 95% de Wilson de 0,3% a 1,0%). É isto que justifica a amostra de controlo (Secção 3.8.5), cujos itens são também os mais úteis para novos ciclos de treino.</w:t>
      </w:r>
    </w:p>
    <w:p>
      <w:pPr>
        <w:spacing w:after="120" w:before="0" w:line="360"/>
        <w:ind w:firstLine="567"/>
        <w:jc w:val="both"/>
      </w:pPr>
      <w:r>
        <w:rPr>
          <w:rFonts w:ascii="Times New Roman" w:cs="Times New Roman" w:eastAsia="Times New Roman" w:hAnsi="Times New Roman"/>
          <w:sz w:val="24"/>
          <w:szCs w:val="24"/>
        </w:rPr>
        <w:t xml:space="preserve">No subconjunto angolano (n = 355, com 34,4% de ameaças), o quadro é pior. A confiança média (0,85) excede a exactidão (0,69) em 15 pontos percentuais e o ECE sobe para 0,160. Para encontrar 80% das ameaças é preciso rever 49% da ordenação (o ideal seria 27,5%), e 95% exigem 77%. Das 122 ameaças, 35 (28,7%) foram classificadas como Normais e não chegariam à fila por omissão, contra 11,8% no teste completo. Em conteúdo angolano, a amostra de controlo é ainda mais necessária.</w:t>
      </w:r>
    </w:p>
    <w:p>
      <w:pPr>
        <w:pStyle w:val="Heading2"/>
        <w:keepNext/>
        <w:keepLines/>
        <w:spacing w:after="160" w:before="360" w:line="300"/>
      </w:pPr>
      <w:r>
        <w:rPr>
          <w:rFonts w:ascii="Times New Roman" w:cs="Times New Roman" w:eastAsia="Times New Roman" w:hAnsi="Times New Roman"/>
          <w:b/>
          <w:bCs/>
          <w:sz w:val="26"/>
          <w:szCs w:val="26"/>
        </w:rPr>
        <w:t xml:space="preserve">4.8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00" w:before="200"/>
      </w:pPr>
      <w:r>
        <w:rPr>
          <w:rFonts w:ascii="Times New Roman" w:cs="Times New Roman" w:eastAsia="Times New Roman" w:hAnsi="Times New Roman"/>
          <w:b/>
          <w:bCs/>
          <w:sz w:val="26"/>
          <w:szCs w:val="26"/>
        </w:rPr>
        <w:t xml:space="preserve">4.8.1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 base do piloto, numa base de dados temporária nova em cada repetição; 2 comentários foram descartados na importação por terem menos de três caracteres, restando 198. Repetiu-se o ensaio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2260"/>
        <w:gridCol w:w="2260"/>
      </w:tblGrid>
      <w:tr>
        <w:trPr>
          <w:cantSplit/>
          <w:tblHeader/>
        </w:trPr>
        <w:tc>
          <w:tcPr>
            <w:tcW w:type="dxa" w:w="3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no fim do lote</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por sublotes de 32</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139,7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Primeiras publicações na fila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 (todas no fim)</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Intervalo entre sublotes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20 s</w:t>
            </w:r>
          </w:p>
        </w:tc>
      </w:tr>
      <w:tr>
        <w:trPr>
          <w:cantSplit/>
          <w:tblHeader w:val="false"/>
        </w:trPr>
        <w:tc>
          <w:tcPr>
            <w:tcW w:type="dxa" w:w="3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 todas as publicações em menos de 60 s</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64</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Com a gravação das classificações no fim do lote, porém, todas as publicações entravam na fila ao mesmo tempo, e a primeira só ficava disponível ao fim de cerca de 125 segundos; o critério só era cumprido para lotes até cerca de 94 publicações. O sistema passou por isso a gravar por sublotes de 32 publicações (Secção 3.8.3), e repetiu-se a medição no mesmo computador e com o mesmo lote (três repetições). As primeiras 32 publicações ficaram disponíveis em 36,1 segundos (mediana), e cada sublote seguinte chegou cerca de 20 segundos depois; o lote completo demorou 139,7 segundos (0,71 s por publicação, um pouco mais porque a aplicação web corria em simultâneo, pelo que as duas medições não decorreram nas mesmas condições; Tabela 4.9, coluna da direita). Com recolhas de até cerca de 64 publicações, todas ficam disponíveis em menos de 60 segundos. A medição cobre o processamento interno, não o intervalo entre a publicação na plataforma e a recolha, que, com recolhas periódicas de 15 minutos ou mais, é a parcela dominante do atraso. A H2 confirma-se, por isso, apenas para recolhas até cerca de 64 publicações.</w:t>
      </w:r>
    </w:p>
    <w:p>
      <w:pPr>
        <w:pStyle w:val="Heading3"/>
        <w:keepNext/>
        <w:spacing w:after="100" w:before="200"/>
      </w:pPr>
      <w:r>
        <w:rPr>
          <w:rFonts w:ascii="Times New Roman" w:cs="Times New Roman" w:eastAsia="Times New Roman" w:hAnsi="Times New Roman"/>
          <w:b/>
          <w:bCs/>
          <w:sz w:val="26"/>
          <w:szCs w:val="26"/>
        </w:rPr>
        <w:t xml:space="preserve">4.8.2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00" w:before="200"/>
      </w:pPr>
      <w:r>
        <w:rPr>
          <w:rFonts w:ascii="Times New Roman" w:cs="Times New Roman" w:eastAsia="Times New Roman" w:hAnsi="Times New Roman"/>
          <w:b/>
          <w:bCs/>
          <w:sz w:val="26"/>
          <w:szCs w:val="26"/>
        </w:rPr>
        <w:t xml:space="preserve">4.8.3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Mobilização Hostil,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 A análise da Secção 4.7 antecipa, no conjunto de teste, duas destas medidas: a ordenação concentra as ameaças no início da fila, mas de forma desigual entre categorias, e uma fracção pequena mas não nula das ameaças fica entre os itens que o modelo considera normais.</w:t>
      </w:r>
    </w:p>
    <w:p>
      <w:pPr>
        <w:pStyle w:val="Heading3"/>
        <w:keepNext/>
        <w:spacing w:after="100" w:before="200"/>
      </w:pPr>
      <w:r>
        <w:rPr>
          <w:rFonts w:ascii="Times New Roman" w:cs="Times New Roman" w:eastAsia="Times New Roman" w:hAnsi="Times New Roman"/>
          <w:b/>
          <w:bCs/>
          <w:sz w:val="26"/>
          <w:szCs w:val="26"/>
        </w:rPr>
        <w:t xml:space="preserve">4.8.4 Verificação funcional do sistema</w:t>
      </w:r>
    </w:p>
    <w:p>
      <w:pPr>
        <w:spacing w:after="120" w:before="0" w:line="360"/>
        <w:ind w:firstLine="567"/>
        <w:jc w:val="both"/>
      </w:pPr>
      <w:r>
        <w:rPr>
          <w:rFonts w:ascii="Times New Roman" w:cs="Times New Roman" w:eastAsia="Times New Roman" w:hAnsi="Times New Roman"/>
          <w:sz w:val="24"/>
          <w:szCs w:val="24"/>
        </w:rPr>
        <w:t xml:space="preserve">Os 121 testes automáticos descritos na Secção 3.9 verificaram o funcionamento do sistema e passaram todos na versão final do protótipo, numa execução de cerca de 40 segundos: 14 do núcleo de dados e do modelo, 17 da recolha, 21 dos alertas, do mapa e do relatório, 17 do controlo de acesso, 36 da interface do analista e 16 da gestão de contas. Os testes que envolvem rede usam clientes e sítios simulados localmente. Verificam que o sistema faz o que foi especificado (a Tabela F.2 liga cada requisito aos seus testes), mas não substituem a avaliação com analistas, que dirá se o que foi especificado é útil.</w:t>
      </w:r>
    </w:p>
    <w:p>
      <w:pPr>
        <w:pStyle w:val="Heading2"/>
        <w:keepNext/>
        <w:keepLines/>
        <w:spacing w:after="160" w:before="360" w:line="300"/>
      </w:pPr>
      <w:r>
        <w:rPr>
          <w:rFonts w:ascii="Times New Roman" w:cs="Times New Roman" w:eastAsia="Times New Roman" w:hAnsi="Times New Roman"/>
          <w:b/>
          <w:bCs/>
          <w:sz w:val="26"/>
          <w:szCs w:val="26"/>
        </w:rPr>
        <w:t xml:space="preserve">4.9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4.10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4.10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 não cumprido para lotes maiores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na semente de referência, fica abaixo dela nas sementes 43 e 44 (Secção 4.5.1), e a sua vantagem sobre o SVM (2,8 p.p.) fica abaixo do limiar de 5 p.p., com intervalo que inclui o zero. Uma explicação plausível, que o desenho não isola, é o pré-treino: o BERTimbau parte de representações aprendidas num grande corpus de português, ao passo que o Bi-LSTM as aprende apenas com o corpus de treino.</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sem GPU; com a gravação por sublotes, as primeiras publicações chegam à fila em 36 segundos e todas em menos de 60 segundos para recolhas até cerca de 64 publicações; para lotes maiores, o critério não é cumprido. A medição cobre o processamento interno, não o intervalo até à recolha.</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Exige um corpus datado em torno de eventos documentados, que não existe nesta fase.</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mantém-se quando se exclui a Mobilização Hostil da média (37,3 p.p., IC 95% de 30,6 a 44,7) e é consistente no Kappa. As reservas, discutidas na Secção 4.6, são a dimensão do piloto e as explicações concorrentes que o desenho não separa (língua, plataforma, registo, construto das etiquetas e atalhos de estilo). Se o efeito de estilo se confirmar, corpora de notícias completas não servirão para treinar detectores de desinformação em comentários, e o desempenho nesta categoria terá de ser medido no domínio de aplicação.</w:t>
      </w:r>
    </w:p>
    <w:p>
      <w:pPr>
        <w:spacing w:after="120" w:before="0" w:line="360"/>
        <w:ind w:firstLine="567"/>
        <w:jc w:val="both"/>
      </w:pPr>
      <w:r>
        <w:rPr>
          <w:rFonts w:ascii="Times New Roman" w:cs="Times New Roman" w:eastAsia="Times New Roman" w:hAnsi="Times New Roman"/>
          <w:sz w:val="24"/>
          <w:szCs w:val="24"/>
        </w:rPr>
        <w:t xml:space="preserve">Os resultados concordam com a literatura. A vantagem do modelo pré-treinado é o padrão habitual (Souza et al., 2020), e a queda fora do domínio de treino é coerente com a fraca generalização entre conjuntos de dados descrita por Fortuna, Soler-Company e Wanner (2021): em nove corpora em inglês, a transferência variava com o modelo, era pior no discurso de ódio do que em categorias mais amplas, como linguagem tóxica ou ofensiva, e dependia da proporção de vocabulário fora do domínio. A falha na Desinformação é compatível com a aprendizagem de atalhos (Geirhos et al., 2020) e a dificuldade em separar mobilização de protesto confirma que o discurso perigoso depende de contexto que o texto não contém (Benesch, 2012).</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Só o BERTimbau serve como classificador principal, com vantagem estatisticamente sólida. O F1-macro global, de cerca de 0,80, foi obtido sobretudo em conteúdo brasileiro; em Angola, a estimativa disponível ronda 0,53. Por último, a Mobilização Hostil, a categoria com mais interesse para a segurança, é aquela em que a evidência é mais frágil.</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juridicamente responsável, a triagem de publicações ameaçadoras nas redes sociais angolanas. Os resultados sugerem que pode ajudar a ordenar o trabalho do analista, mas não o substitui nem deve substituí-lo; essa utilidade foi medida num teste dominado por conteúdo brasileiro e, em conteúdo angolano e com analistas, está por demonstrar.</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publicações públicas angolanas anotadas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duas explicações concorrentes para a queda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 (causas por separar)</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alertas na aplicação (actualizados a cada 20 s) e por e-mail, mapa interactivo por província com evolução semanal e relatório de alertas; ficha do modelo com o desempenho em conteúdo angolano; modo de demonstração com dados fictícios e troca de modo com o sistema aberto; recolha automática periódica com estimativa da quota; recuperação do acesso sem serviços externos e fim da sessão ao fechar a janela; aspecto ajustável por utilizador; interface própria, sem recursos externos, utilizável sem Internet; 121 testes; tempo de processamento medido (0,6 a 0,7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e obrigações institucionais propostas (Secção 5.6);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 como proposta; conformidade dependente de parecer jurídico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 e às perguntas de investigação</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e, repetido o treino com três sementes, nunca a superou, o que é compatível com a ideia de que, neste volume de dados, o factor decisivo é o pré-treino linguístico, embora o desenho não o isole.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no lote medido (198 itens, Intel N100), as primeiras publicações chegaram à fila em 36 segundos, e todas chegam em menos de 60 segundos quando cada recolha traz até cerca de 64 publicações; para lotes maiores, o critério não é cumprido, e o intervalo entre a publicação e a recolha não foi medido.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com reservas. Em conteúdo angolano, o F1-macro do BERTimbau desce 38,6 pontos percentuais, e a diferença mantém-se quando se exclui a Mobilização Hostil da média. A queda na Desinformação, de 0,99 para 0,24, é compatível com a aprendizagem do estilo das notícias do Fake.br, mas também com a diferença de construto entre as etiquetas do piloto e as do Fake.br; os dados não permitem separar as duas explicações.</w:t>
      </w:r>
    </w:p>
    <w:p>
      <w:pPr>
        <w:spacing w:after="120" w:before="0" w:line="360"/>
        <w:ind w:firstLine="567"/>
        <w:jc w:val="both"/>
      </w:pPr>
      <w:r>
        <w:rPr>
          <w:rFonts w:ascii="Times New Roman" w:cs="Times New Roman" w:eastAsia="Times New Roman" w:hAnsi="Times New Roman"/>
          <w:sz w:val="24"/>
          <w:szCs w:val="24"/>
        </w:rPr>
        <w:t xml:space="preserve">As perguntas de investigação têm, assim, as seguintes respostas. À </w:t>
      </w: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o BERTimbau é o melhor dos quatro algoritmos, com vantagem estatisticamente sólida no teste global; a comparação não foi repetida apenas em conteúdo angolano. À </w:t>
      </w: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perdem-se cerca de 39 pontos percentuais de F1-macro, sobretudo na Desinformação e no Discurso de Ódio. À </w:t>
      </w: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sim, para o processamento interno de recolhas pequenas; o intervalo até à recolha não foi medido. À </w:t>
      </w: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 revisão humana obrigatória, sem perfis de pessoas, com alertas apenas por decisão humana e com as obrigações institucionais da Secção 5.6; a conformidade jurídica depende de um parecer ainda por obter.</w:t>
      </w:r>
    </w:p>
    <w:p>
      <w:pPr>
        <w:spacing w:after="120" w:before="0" w:line="360"/>
        <w:ind w:firstLine="567"/>
        <w:jc w:val="both"/>
      </w:pPr>
      <w:r>
        <w:rPr>
          <w:rFonts w:ascii="Times New Roman" w:cs="Times New Roman" w:eastAsia="Times New Roman" w:hAnsi="Times New Roman"/>
          <w:sz w:val="24"/>
          <w:szCs w:val="24"/>
        </w:rPr>
        <w:t xml:space="preserve">Quanto à pergunta de partida, em conteúdo angolano o classificador não é fiável como decisor (F1-macro de cerca de 0,53) e só pode apoiar a triagem como ordenador sujeito a revisão humana. A utilidade dessa ordenação para analistas reais e a responsabilidade jurídica do uso estão ainda por demonstrar.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publicações angolanas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duas explicações concorrentes, que os dados não permitem separar: a aprendizagem do estilo jornalístico do Fake.br e a diferença de construto entre as etiquetas.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com controlo estatístico.</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 A avaliação vai além da exactidão e mede também a calibração das probabilidades e o esforço de revisão que a ordenação poupa, que são as propriedades de que depende o uso do modelo numa fila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 A interface mostra ao analista, na página Sobre o modelo, onde o modelo falha, em vez de lhe apresentar apenas o desempenho global.</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Validade das etiquetas do piloto.</w:t>
      </w:r>
      <w:r>
        <w:rPr>
          <w:rFonts w:ascii="Times New Roman" w:cs="Times New Roman" w:eastAsia="Times New Roman" w:hAnsi="Times New Roman"/>
          <w:sz w:val="24"/>
          <w:szCs w:val="24"/>
        </w:rPr>
        <w:t xml:space="preserve"> Os anotadores aplicaram, por vezes, critérios mais amplos do que os do guia, e a regra de agregação pela categoria mais grave alarga ainda mais as categorias de ameaça. As etiquetas do piloto não são, por isso, inteiramente equivalentes às dos corpora públicos, o que pode explicar parte da lacuna medida na H4. Parte dos itens do teste angolano foi escolhida pelo investigador, e esses itens têm acordo baixo (κ de 0,42 nos 104 itens do piloto original e de 0,28 nos 180 títulos de notícias); sem eles, nos 289 comentários sorteados, o F1-macro é praticamente o mesmo (0,535).</w:t>
      </w:r>
    </w:p>
    <w:p>
      <w:pPr>
        <w:spacing w:after="120" w:before="0" w:line="360"/>
        <w:ind w:firstLine="567"/>
        <w:jc w:val="both"/>
      </w:pPr>
      <w:r>
        <w:rPr>
          <w:rFonts w:ascii="Times New Roman" w:cs="Times New Roman" w:eastAsia="Times New Roman" w:hAnsi="Times New Roman"/>
          <w:b/>
          <w:bCs/>
          <w:sz w:val="24"/>
          <w:szCs w:val="24"/>
        </w:rPr>
        <w:t xml:space="preserve">Variabilidade do treino.</w:t>
      </w:r>
      <w:r>
        <w:rPr>
          <w:rFonts w:ascii="Times New Roman" w:cs="Times New Roman" w:eastAsia="Times New Roman" w:hAnsi="Times New Roman"/>
          <w:sz w:val="24"/>
          <w:szCs w:val="24"/>
        </w:rPr>
        <w:t xml:space="preserve"> Cada modelo foi treinado com apenas três sementes, e o Bi-LSTM varia 3,2 p.p. entre elas (0,629 a 0,660).</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 Como a única fonte pública de desinformação são notícias completas, o valor elevado desta categoria não indica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Mediu-se o tempo de processamento num único computador, com um único lote; a medição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Probabilidades e ordenação.</w:t>
      </w:r>
      <w:r>
        <w:rPr>
          <w:rFonts w:ascii="Times New Roman" w:cs="Times New Roman" w:eastAsia="Times New Roman" w:hAnsi="Times New Roman"/>
          <w:sz w:val="24"/>
          <w:szCs w:val="24"/>
        </w:rPr>
        <w:t xml:space="preserve"> No subconjunto angolano, a calibração é pior (ECE de 0,160), encontrar 80% das ameaças exige rever 49% da ordenação, e 28,7% das ameaças ficam entre os itens classificados como Normais. A ordenação pela probabilidade de não ser Normal favorece a categoria em que o modelo é mais confiante, o que, no teste, afastou a Mobilização Hostil do topo da fila.</w:t>
      </w:r>
    </w:p>
    <w:p>
      <w:pPr>
        <w:spacing w:after="120" w:before="0" w:line="360"/>
        <w:ind w:firstLine="567"/>
        <w:jc w:val="both"/>
      </w:pPr>
      <w:r>
        <w:rPr>
          <w:rFonts w:ascii="Times New Roman" w:cs="Times New Roman" w:eastAsia="Times New Roman" w:hAnsi="Times New Roman"/>
          <w:b/>
          <w:bCs/>
          <w:sz w:val="24"/>
          <w:szCs w:val="24"/>
        </w:rPr>
        <w:t xml:space="preserve">Localização.</w:t>
      </w:r>
      <w:r>
        <w:rPr>
          <w:rFonts w:ascii="Times New Roman" w:cs="Times New Roman" w:eastAsia="Times New Roman" w:hAnsi="Times New Roman"/>
          <w:sz w:val="24"/>
          <w:szCs w:val="24"/>
        </w:rPr>
        <w:t xml:space="preserve"> O mapa e os alertas por província usam o lugar mencionado nas publicações, não a localização de quem as escreveu. Uma província muito citada em notícias nacionais pode aparecer com mais ameaças do que aquelas que nela ocorrem, e as publicações sem lugar mencionado ficam fora do mapa. A lista de topónimos deixa de fora nomes ambíguos, o que reduz os falsos positivos à custa de alguma cobertura. No corpus anotado, só 3,6% das publicações mencionam uma província (65 delas Luanda); o mapa e os alertas provinciais cobrem, por isso, uma fracção pequena do fluxo e exigirão volumes de recolha elevados.</w:t>
      </w:r>
    </w:p>
    <w:p>
      <w:pPr>
        <w:spacing w:after="120" w:before="0" w:line="360"/>
        <w:ind w:firstLine="567"/>
        <w:jc w:val="both"/>
      </w:pPr>
      <w:r>
        <w:rPr>
          <w:rFonts w:ascii="Times New Roman" w:cs="Times New Roman" w:eastAsia="Times New Roman" w:hAnsi="Times New Roman"/>
          <w:b/>
          <w:bCs/>
          <w:sz w:val="24"/>
          <w:szCs w:val="24"/>
        </w:rPr>
        <w:t xml:space="preserve">Segurança do protótipo.</w:t>
      </w:r>
      <w:r>
        <w:rPr>
          <w:rFonts w:ascii="Times New Roman" w:cs="Times New Roman" w:eastAsia="Times New Roman" w:hAnsi="Times New Roman"/>
          <w:sz w:val="24"/>
          <w:szCs w:val="24"/>
        </w:rPr>
        <w:t xml:space="preserve"> O sistema segue práticas reconhecidas de autenticação e de protecção das aplicações web, mas não foi objecto de uma auditoria de segurança independente nem de testes de intrusão. Em instalação institucional, deve ser servido por HTTPS e o acesso ao servidor deve ser restringido à rede interna.</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Implicações para a defesa e segurança nacional</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os resultados têm três implicações práticas. A automação reduz o volume de leitura, mas não a dispensa: numa ordenação de todo o conjunto de teste, rever um quarto bastou para encontrar quatro em cada cinco ameaças, mas este valor depende da proporção de ameaças (28,7% no teste) e não se transpõe para um fluxo real, onde essa proporção é muito menor. Só a avaliação com analistas permitirá dimensionar as equipas. O sistema dirige a atenção para temas e lugares e não tem vistas por autor, embora o pseudónimo permita, a quem aceda à base de dados, agrupar publicações do mesmo autor; as obrigações institucionais da Secção 5.6 existem para impedir esse uso. E a capacidade técnica pode ser desenvolvida internamente, com software livre e recursos modestos, desde que se invista em dados angolanos anotados e em pessoas que os produzam e mantenham o sistema.</w:t>
      </w:r>
    </w:p>
    <w:p>
      <w:pPr>
        <w:pStyle w:val="Heading2"/>
        <w:keepNext/>
        <w:keepLines/>
        <w:spacing w:after="160" w:before="360" w:line="300"/>
      </w:pPr>
      <w:r>
        <w:rPr>
          <w:rFonts w:ascii="Times New Roman" w:cs="Times New Roman" w:eastAsia="Times New Roman" w:hAnsi="Times New Roman"/>
          <w:b/>
          <w:bCs/>
          <w:sz w:val="26"/>
          <w:szCs w:val="26"/>
        </w:rPr>
        <w:t xml:space="preserve">5.6 Quadro de uso responsável</w:t>
      </w:r>
    </w:p>
    <w:p>
      <w:pPr>
        <w:spacing w:after="120" w:before="0" w:line="360"/>
        <w:ind w:firstLine="567"/>
        <w:jc w:val="both"/>
      </w:pPr>
      <w:r>
        <w:rPr>
          <w:rFonts w:ascii="Times New Roman" w:cs="Times New Roman" w:eastAsia="Times New Roman" w:hAnsi="Times New Roman"/>
          <w:sz w:val="24"/>
          <w:szCs w:val="24"/>
        </w:rPr>
        <w:t xml:space="preserve">O quinto objectivo específico pedia um quadro de uso responsável do sistema. As salvaguardas técnicas estão implementadas no protótipo, mas um sistema deste tipo só é responsável se a instituição que o usa assumir também obrigações que o software não pode impor. A Tabela 5.2 junta as duas partes, organizadas pelos princípios revistos no Capítulo 2.</w:t>
      </w:r>
    </w:p>
    <w:p>
      <w:pPr>
        <w:pStyle w:val="LegendaTabela"/>
        <w:keepNext/>
        <w:spacing w:after="80" w:before="240" w:line="240"/>
        <w:jc w:val="center"/>
      </w:pPr>
      <w:r>
        <w:rPr>
          <w:rFonts w:ascii="Times New Roman" w:cs="Times New Roman" w:eastAsia="Times New Roman" w:hAnsi="Times New Roman"/>
          <w:b/>
          <w:bCs/>
          <w:sz w:val="20"/>
          <w:szCs w:val="20"/>
        </w:rPr>
        <w:t xml:space="preserve">Tabela 5.2 – Quadro de uso responsável: salvaguardas do sistema e obrigações institucionais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160"/>
        <w:gridCol w:w="316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Princípio</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Salvaguarda no sistema</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Obrigação da instituição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Finalidade e necessidade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Recolha apenas de fontes registadas e públicas; registo da proveniência de cada lote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Definir por escrito a finalidade, os temas e as fontes autorizadas; rever a lista periodicamente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Proporcionalidade e minimização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Anonimização à entrada; sem vistas por autor; localização apenas ao nível da província; prazo de conservação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Não cruzar os dados com outras bases para identificar autores sem autorização judicial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Decisão humana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Classificação apenas para ordenar; decisões e alertas só por analistas; revisão cega e amostra de controlo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Proibir qualquer acção sobre pessoas fundamentada apenas no sistema; formar os analistas nas limitações do modelo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Transparência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Ficha do modelo com o desempenho em Angola e as limitações; probabilidades visíveis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Publicar a existência do sistema, a sua finalidade e as regras de uso, nos termos que a lei permitir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Responsabilização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Contas individuais; auditoria de todas as acções; fim da sessão ao fechar a janela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Designar um responsável pelo tratamento; auditoria independente anual dos registos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Segurança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Palavras-passe derivadas, bloqueio, recuperação sem serviços externos, funcionamento sem Internet</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próprio em rede interna, HTTPS, cópias de segurança cifradas, testes de intrusão</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Melhoria e correcção</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Exportação das decisões para novo treino; métricas operacionais</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Medir o desempenho em conteúdo angolano em cada versão; retirar o modelo se o desempenho cair</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coluna da direita não é opcional. Sem ela, as salvaguardas do sistema podem ser contornadas por quem tem acesso ao servidor, e a revisão humana pode tornar-se uma formalidade. O parecer jurídico recomendado em seguida deve, por isso, incidir tanto sobre o sistema como sobre estas obrigações.</w:t>
      </w:r>
    </w:p>
    <w:p>
      <w:pPr>
        <w:pStyle w:val="Heading2"/>
        <w:keepNext/>
        <w:keepLines/>
        <w:spacing w:after="160" w:before="360" w:line="300"/>
      </w:pPr>
      <w:r>
        <w:rPr>
          <w:rFonts w:ascii="Times New Roman" w:cs="Times New Roman" w:eastAsia="Times New Roman" w:hAnsi="Times New Roman"/>
          <w:b/>
          <w:bCs/>
          <w:sz w:val="26"/>
          <w:szCs w:val="26"/>
        </w:rPr>
        <w:t xml:space="preserve">5.7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supera com folga os métodos clássicos, mas também que esse desempenho não se transfere intacto para o conteúdo angolano. A segunda conclusão é a mais útil, porque indica onde investir: em dados angolanos anotados, em avaliação no domínio real e em sistemas que tratem a classificação como uma sugestão e não como um veredicto. O protótipo segue esse princípio e fica disponível como base para as fases seguintes. Várias das suas funções nasceram, aliás, de dificuldades encontradas ao instalá-lo e usá-lo: um sistema institucional só fica completo quando é usado por quem o vai operar.</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6 – RECOMENDAÇÕES</w:t>
      </w:r>
    </w:p>
    <w:p>
      <w:pPr>
        <w:spacing w:after="120" w:before="0" w:line="360"/>
        <w:ind w:firstLine="567"/>
        <w:jc w:val="both"/>
      </w:pPr>
      <w:r>
        <w:rPr>
          <w:rFonts w:ascii="Times New Roman" w:cs="Times New Roman" w:eastAsia="Times New Roman" w:hAnsi="Times New Roman"/>
          <w:sz w:val="24"/>
          <w:szCs w:val="24"/>
        </w:rPr>
        <w:t xml:space="preserve">Seguem por ordem de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na amostra de controlo, funções que o sistema já tem. Repetir a medição da H2 em equipamento de produção, com recolhas agendadas e pequenas.</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dos termos das plataformas e dos limites constitucionais à monitorização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os exemplos anotados, sobretudo de Mobilização Hostil e de Desinformação em comentários, diversificar as plataformas por vias oficiais, marcar no guia de anotação o calão e as línguas nacionais, para medir o seu efeito, e tornar o desempenho em conteúdo angolano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Usar exemplos de desinformação em publicações curtas, de preferência angolanas, para que o modelo não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dezenas de milhares de textos (Gururangan et al., 2020), e compará-lo com o Albertina PT-PT (Rodrigues et al., 2023), mais próximo da norma usada em Angola.</w:t>
      </w:r>
    </w:p>
    <w:p>
      <w:pPr>
        <w:spacing w:after="120" w:before="0" w:line="360"/>
        <w:ind w:firstLine="567"/>
        <w:jc w:val="both"/>
      </w:pPr>
      <w:r>
        <w:rPr>
          <w:rFonts w:ascii="Times New Roman" w:cs="Times New Roman" w:eastAsia="Times New Roman" w:hAnsi="Times New Roman"/>
          <w:b/>
          <w:bCs/>
          <w:sz w:val="24"/>
          <w:szCs w:val="24"/>
        </w:rPr>
        <w:t xml:space="preserve">6. Melhorar a fila de revisão.</w:t>
      </w:r>
      <w:r>
        <w:rPr>
          <w:rFonts w:ascii="Times New Roman" w:cs="Times New Roman" w:eastAsia="Times New Roman" w:hAnsi="Times New Roman"/>
          <w:sz w:val="24"/>
          <w:szCs w:val="24"/>
        </w:rPr>
        <w:t xml:space="preserve"> Ordenar cada categoria pela sua probabilidade, ou ponderar a prioridade pela gravidade, para que a Mobilização Hostil não fique atrás das categorias em que o modelo é mais confiante; calibrar as probabilidades por escalamento de temperatura num conjunto de validação angolano; e usar as decisões da amostra de controlo como exemplos prioritários de novo treino (Settles, 2009).</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verificar se os alertas de tendência os antecedem e acrescentar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com instituições da CPLP e contribuir para um enquadramento nacional do uso de inteligência artificial em segurança, com transparência, auditoria e supervisão humana.</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160" w:line="240"/>
        <w:ind w:left="567" w:hanging="567"/>
        <w:jc w:val="left"/>
      </w:pPr>
      <w:r>
        <w:rPr>
          <w:rFonts w:ascii="Times New Roman" w:cs="Times New Roman" w:eastAsia="Times New Roman" w:hAnsi="Times New Roman"/>
          <w:sz w:val="24"/>
          <w:szCs w:val="24"/>
        </w:rPr>
        <w:t xml:space="preserve">Amershi, S., Cakmak, M., Knox, W. B., &amp; Kulesza, T. (2014). Power to the people: The role of humans in interactive machine learning. </w:t>
      </w:r>
      <w:r>
        <w:rPr>
          <w:rFonts w:ascii="Times New Roman" w:cs="Times New Roman" w:eastAsia="Times New Roman" w:hAnsi="Times New Roman"/>
          <w:i/>
          <w:iCs/>
          <w:sz w:val="24"/>
          <w:szCs w:val="24"/>
        </w:rPr>
        <w:t xml:space="preserve">AI Magazine, 35</w:t>
      </w:r>
      <w:r>
        <w:rPr>
          <w:rFonts w:ascii="Times New Roman" w:cs="Times New Roman" w:eastAsia="Times New Roman" w:hAnsi="Times New Roman"/>
          <w:sz w:val="24"/>
          <w:szCs w:val="24"/>
        </w:rPr>
        <w:t xml:space="preserve">(4), 105–120. https://doi.org/10.1609/aimag.v35i4.2513</w:t>
      </w:r>
    </w:p>
    <w:p>
      <w:pPr>
        <w:spacing w:after="160" w:line="240"/>
        <w:ind w:left="567" w:hanging="567"/>
        <w:jc w:val="left"/>
      </w:pPr>
      <w:r>
        <w:rPr>
          <w:rFonts w:ascii="Times New Roman" w:cs="Times New Roman" w:eastAsia="Times New Roman" w:hAnsi="Times New Roman"/>
          <w:sz w:val="24"/>
          <w:szCs w:val="24"/>
        </w:rPr>
        <w:t xml:space="preserve">Benesch, S. (2012). </w:t>
      </w:r>
      <w:r>
        <w:rPr>
          <w:rFonts w:ascii="Times New Roman" w:cs="Times New Roman" w:eastAsia="Times New Roman" w:hAnsi="Times New Roman"/>
          <w:i/>
          <w:iCs/>
          <w:sz w:val="24"/>
          <w:szCs w:val="24"/>
        </w:rPr>
        <w:t xml:space="preserve">Dangerous speech: A proposal to prevent group violence</w:t>
      </w:r>
      <w:r>
        <w:rPr>
          <w:rFonts w:ascii="Times New Roman" w:cs="Times New Roman" w:eastAsia="Times New Roman" w:hAnsi="Times New Roman"/>
          <w:sz w:val="24"/>
          <w:szCs w:val="24"/>
        </w:rPr>
        <w:t xml:space="preserve">. World Policy Institute.</w:t>
      </w:r>
    </w:p>
    <w:p>
      <w:pPr>
        <w:spacing w:after="16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16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160" w:line="240"/>
        <w:ind w:left="567" w:hanging="567"/>
        <w:jc w:val="left"/>
      </w:pPr>
      <w:r>
        <w:rPr>
          <w:rFonts w:ascii="Times New Roman" w:cs="Times New Roman" w:eastAsia="Times New Roman" w:hAnsi="Times New Roman"/>
          <w:sz w:val="24"/>
          <w:szCs w:val="24"/>
        </w:rPr>
        <w:t xml:space="preserve">Brier, G. W. (1950). Verification of forecasts expressed in terms of probability. </w:t>
      </w:r>
      <w:r>
        <w:rPr>
          <w:rFonts w:ascii="Times New Roman" w:cs="Times New Roman" w:eastAsia="Times New Roman" w:hAnsi="Times New Roman"/>
          <w:i/>
          <w:iCs/>
          <w:sz w:val="24"/>
          <w:szCs w:val="24"/>
        </w:rPr>
        <w:t xml:space="preserve">Monthly Weather Review, 78</w:t>
      </w:r>
      <w:r>
        <w:rPr>
          <w:rFonts w:ascii="Times New Roman" w:cs="Times New Roman" w:eastAsia="Times New Roman" w:hAnsi="Times New Roman"/>
          <w:sz w:val="24"/>
          <w:szCs w:val="24"/>
        </w:rPr>
        <w:t xml:space="preserve">(1), 1–3. https://doi.org/10.1175/1520-0493(1950)078&lt;0001:VOFEIT&gt;2.0.CO;2</w:t>
      </w:r>
    </w:p>
    <w:p>
      <w:pPr>
        <w:spacing w:after="16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16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16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16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160" w:line="240"/>
        <w:ind w:left="567" w:hanging="567"/>
        <w:jc w:val="left"/>
      </w:pPr>
      <w:r>
        <w:rPr>
          <w:rFonts w:ascii="Times New Roman" w:cs="Times New Roman" w:eastAsia="Times New Roman" w:hAnsi="Times New Roman"/>
          <w:sz w:val="24"/>
          <w:szCs w:val="24"/>
        </w:rPr>
        <w:t xml:space="preserve">Conneau, A., Khandelwal, K., Goyal, N., Chaudhary, V., Wenzek, G., Guzmán, F., Grave, E., Ott, M., Zettlemoyer, L., &amp; Stoyanov, V. (2020). Unsupervised cross-lingual representation learning at scale.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8440–8451). Association for Computational Linguistics. https://doi.org/10.18653/v1/2020.acl-main.747</w:t>
      </w:r>
    </w:p>
    <w:p>
      <w:pPr>
        <w:spacing w:after="16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16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160" w:line="240"/>
        <w:ind w:left="567" w:hanging="567"/>
        <w:jc w:val="left"/>
      </w:pPr>
      <w:r>
        <w:rPr>
          <w:rFonts w:ascii="Times New Roman" w:cs="Times New Roman" w:eastAsia="Times New Roman" w:hAnsi="Times New Roman"/>
          <w:sz w:val="24"/>
          <w:szCs w:val="24"/>
        </w:rPr>
        <w:t xml:space="preserve">Davidson, T., Warmsley, D., Macy, M., &amp; Weber, I. (2017). Automated hate speech detection and the problem of offensive language. In </w:t>
      </w:r>
      <w:r>
        <w:rPr>
          <w:rFonts w:ascii="Times New Roman" w:cs="Times New Roman" w:eastAsia="Times New Roman" w:hAnsi="Times New Roman"/>
          <w:i/>
          <w:iCs/>
          <w:sz w:val="24"/>
          <w:szCs w:val="24"/>
        </w:rPr>
        <w:t xml:space="preserve">Proceedings of the Eleventh International AAAI Conference on Web and Social Media</w:t>
      </w:r>
      <w:r>
        <w:rPr>
          <w:rFonts w:ascii="Times New Roman" w:cs="Times New Roman" w:eastAsia="Times New Roman" w:hAnsi="Times New Roman"/>
          <w:sz w:val="24"/>
          <w:szCs w:val="24"/>
        </w:rPr>
        <w:t xml:space="preserve"> (pp. 512–515). AAAI Press.</w:t>
      </w:r>
    </w:p>
    <w:p>
      <w:pPr>
        <w:spacing w:after="16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16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16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16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16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16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Indian chronicles: Deep dive into a 15-year operation targeting the EU and UN to serve Indian interests</w:t>
      </w:r>
      <w:r>
        <w:rPr>
          <w:rFonts w:ascii="Times New Roman" w:cs="Times New Roman" w:eastAsia="Times New Roman" w:hAnsi="Times New Roman"/>
          <w:sz w:val="24"/>
          <w:szCs w:val="24"/>
        </w:rPr>
        <w:t xml:space="preserve">. https://www.disinfo.eu/publications/indian-chronicles-deep-dive-into-a-15-year-operation-targeting-the-eu-and-un-to-serve-indian-interests/</w:t>
      </w:r>
    </w:p>
    <w:p>
      <w:pPr>
        <w:spacing w:after="16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16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16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16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16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160" w:line="240"/>
        <w:ind w:left="567" w:hanging="567"/>
        <w:jc w:val="left"/>
      </w:pPr>
      <w:r>
        <w:rPr>
          <w:rFonts w:ascii="Times New Roman" w:cs="Times New Roman" w:eastAsia="Times New Roman" w:hAnsi="Times New Roman"/>
          <w:sz w:val="24"/>
          <w:szCs w:val="24"/>
        </w:rPr>
        <w:t xml:space="preserve">Grassi, P. A., Fenton, J. L., Newton, E. M., Perlner, R. A., Regenscheid, A. R., Burr, W. E., Richer, J. P., Lefkovitz, N. B., Danker, J. M., Choong, Y.-Y., Greene, K. K., &amp; Theofanos, M. F. (2017). </w:t>
      </w:r>
      <w:r>
        <w:rPr>
          <w:rFonts w:ascii="Times New Roman" w:cs="Times New Roman" w:eastAsia="Times New Roman" w:hAnsi="Times New Roman"/>
          <w:i/>
          <w:iCs/>
          <w:sz w:val="24"/>
          <w:szCs w:val="24"/>
        </w:rPr>
        <w:t xml:space="preserve">Digital identity guidelines: Authentication and lifecycle management</w:t>
      </w:r>
      <w:r>
        <w:rPr>
          <w:rFonts w:ascii="Times New Roman" w:cs="Times New Roman" w:eastAsia="Times New Roman" w:hAnsi="Times New Roman"/>
          <w:sz w:val="24"/>
          <w:szCs w:val="24"/>
        </w:rPr>
        <w:t xml:space="preserve"> (NIST Special Publication 800-63B). National Institute of Standards and Technology. https://doi.org/10.6028/NIST.SP.800-63b</w:t>
      </w:r>
    </w:p>
    <w:p>
      <w:pPr>
        <w:spacing w:after="160" w:line="240"/>
        <w:ind w:left="567" w:hanging="567"/>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(pp. 1321–1330). PMLR.</w:t>
      </w:r>
    </w:p>
    <w:p>
      <w:pPr>
        <w:spacing w:after="16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16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 Que lição para juventude moçambicana (2020-2021)?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16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160" w:line="240"/>
        <w:ind w:left="567" w:hanging="567"/>
        <w:jc w:val="left"/>
      </w:pPr>
      <w:r>
        <w:rPr>
          <w:rFonts w:ascii="Times New Roman" w:cs="Times New Roman" w:eastAsia="Times New Roman" w:hAnsi="Times New Roman"/>
          <w:sz w:val="24"/>
          <w:szCs w:val="24"/>
        </w:rPr>
        <w:t xml:space="preserve">INTERPOL. (2023). </w:t>
      </w:r>
      <w:r>
        <w:rPr>
          <w:rFonts w:ascii="Times New Roman" w:cs="Times New Roman" w:eastAsia="Times New Roman" w:hAnsi="Times New Roman"/>
          <w:i/>
          <w:iCs/>
          <w:sz w:val="24"/>
          <w:szCs w:val="24"/>
        </w:rPr>
        <w:t xml:space="preserve">African cyberthreat assessment report 2023: Cyberthreat trends</w:t>
      </w:r>
      <w:r>
        <w:rPr>
          <w:rFonts w:ascii="Times New Roman" w:cs="Times New Roman" w:eastAsia="Times New Roman" w:hAnsi="Times New Roman"/>
          <w:sz w:val="24"/>
          <w:szCs w:val="24"/>
        </w:rPr>
        <w:t xml:space="preserve">. INTERPOL Africa Cybercrime Operations Desk.</w:t>
      </w:r>
    </w:p>
    <w:p>
      <w:pPr>
        <w:spacing w:after="160" w:line="240"/>
        <w:ind w:left="567" w:hanging="567"/>
        <w:jc w:val="left"/>
      </w:pPr>
      <w:r>
        <w:rPr>
          <w:rFonts w:ascii="Times New Roman" w:cs="Times New Roman" w:eastAsia="Times New Roman" w:hAnsi="Times New Roman"/>
          <w:sz w:val="24"/>
          <w:szCs w:val="24"/>
        </w:rPr>
        <w:t xml:space="preserve">Ireton, C., &amp; Posetti, J. (Eds.). (2018).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16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16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16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160" w:line="240"/>
        <w:ind w:left="567" w:hanging="567"/>
        <w:jc w:val="left"/>
      </w:pPr>
      <w:r>
        <w:rPr>
          <w:rFonts w:ascii="Times New Roman" w:cs="Times New Roman" w:eastAsia="Times New Roman" w:hAnsi="Times New Roman"/>
          <w:sz w:val="24"/>
          <w:szCs w:val="24"/>
        </w:rPr>
        <w:t xml:space="preserve">Manning, C. D., Raghavan, P., &amp; Schütze, H. (2008). </w:t>
      </w:r>
      <w:r>
        <w:rPr>
          <w:rFonts w:ascii="Times New Roman" w:cs="Times New Roman" w:eastAsia="Times New Roman" w:hAnsi="Times New Roman"/>
          <w:i/>
          <w:iCs/>
          <w:sz w:val="24"/>
          <w:szCs w:val="24"/>
        </w:rPr>
        <w:t xml:space="preserve">Introduction to information retrieval</w:t>
      </w:r>
      <w:r>
        <w:rPr>
          <w:rFonts w:ascii="Times New Roman" w:cs="Times New Roman" w:eastAsia="Times New Roman" w:hAnsi="Times New Roman"/>
          <w:sz w:val="24"/>
          <w:szCs w:val="24"/>
        </w:rPr>
        <w:t xml:space="preserve">. Cambridge University Press.</w:t>
      </w:r>
    </w:p>
    <w:p>
      <w:pPr>
        <w:spacing w:after="16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191–208. https://doi.org/10.14393/RCS-v9n2-2019-56679</w:t>
      </w:r>
    </w:p>
    <w:p>
      <w:pPr>
        <w:spacing w:after="16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160" w:line="240"/>
        <w:ind w:left="567" w:hanging="567"/>
        <w:jc w:val="left"/>
      </w:pPr>
      <w:r>
        <w:rPr>
          <w:rFonts w:ascii="Times New Roman" w:cs="Times New Roman" w:eastAsia="Times New Roman" w:hAnsi="Times New Roman"/>
          <w:sz w:val="24"/>
          <w:szCs w:val="24"/>
        </w:rPr>
        <w:t xml:space="preserve">Mitchell, M., Wu, S., Zaldivar, A., Barnes, P., Vasserman, L., Hutchinson, B., Spitzer, E., Raji, I. D., &amp; Gebru, T. (2019). Model cards for model reporting. In </w:t>
      </w:r>
      <w:r>
        <w:rPr>
          <w:rFonts w:ascii="Times New Roman" w:cs="Times New Roman" w:eastAsia="Times New Roman" w:hAnsi="Times New Roman"/>
          <w:i/>
          <w:iCs/>
          <w:sz w:val="24"/>
          <w:szCs w:val="24"/>
        </w:rPr>
        <w:t xml:space="preserve">Proceedings of the Conference on Fairness, Accountability, and Transparency</w:t>
      </w:r>
      <w:r>
        <w:rPr>
          <w:rFonts w:ascii="Times New Roman" w:cs="Times New Roman" w:eastAsia="Times New Roman" w:hAnsi="Times New Roman"/>
          <w:sz w:val="24"/>
          <w:szCs w:val="24"/>
        </w:rPr>
        <w:t xml:space="preserve"> (pp. 220–229). ACM. https://doi.org/10.1145/3287560.3287596</w:t>
      </w:r>
    </w:p>
    <w:p>
      <w:pPr>
        <w:spacing w:after="16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16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160" w:line="240"/>
        <w:ind w:left="567" w:hanging="567"/>
        <w:jc w:val="left"/>
      </w:pPr>
      <w:r>
        <w:rPr>
          <w:rFonts w:ascii="Times New Roman" w:cs="Times New Roman" w:eastAsia="Times New Roman" w:hAnsi="Times New Roman"/>
          <w:sz w:val="24"/>
          <w:szCs w:val="24"/>
        </w:rPr>
        <w:t xml:space="preserve">Naeini, M. P., Cooper, G. F., &amp; Hauskrecht, M. (2015). Obtaining well calibrated probabilities using Bayesian binning. In </w:t>
      </w:r>
      <w:r>
        <w:rPr>
          <w:rFonts w:ascii="Times New Roman" w:cs="Times New Roman" w:eastAsia="Times New Roman" w:hAnsi="Times New Roman"/>
          <w:i/>
          <w:iCs/>
          <w:sz w:val="24"/>
          <w:szCs w:val="24"/>
        </w:rPr>
        <w:t xml:space="preserve">Proceedings of the Twenty-Ninth AAAI Conference on Artificial Intelligence</w:t>
      </w:r>
      <w:r>
        <w:rPr>
          <w:rFonts w:ascii="Times New Roman" w:cs="Times New Roman" w:eastAsia="Times New Roman" w:hAnsi="Times New Roman"/>
          <w:sz w:val="24"/>
          <w:szCs w:val="24"/>
        </w:rPr>
        <w:t xml:space="preserve"> (pp. 2901–2907). AAAI Press.</w:t>
      </w:r>
    </w:p>
    <w:p>
      <w:pPr>
        <w:spacing w:after="160" w:line="240"/>
        <w:ind w:left="567" w:hanging="567"/>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160" w:line="240"/>
        <w:ind w:left="567" w:hanging="567"/>
        <w:jc w:val="left"/>
      </w:pPr>
      <w:r>
        <w:rPr>
          <w:rFonts w:ascii="Times New Roman" w:cs="Times New Roman" w:eastAsia="Times New Roman" w:hAnsi="Times New Roman"/>
          <w:sz w:val="24"/>
          <w:szCs w:val="24"/>
        </w:rPr>
        <w:t xml:space="preserve">Omand, D., Bartlett, J., &amp; Miller, C. (2012). Introducing social media intelligence (SOCMINT). </w:t>
      </w:r>
      <w:r>
        <w:rPr>
          <w:rFonts w:ascii="Times New Roman" w:cs="Times New Roman" w:eastAsia="Times New Roman" w:hAnsi="Times New Roman"/>
          <w:i/>
          <w:iCs/>
          <w:sz w:val="24"/>
          <w:szCs w:val="24"/>
        </w:rPr>
        <w:t xml:space="preserve">Intelligence and National Security, 27</w:t>
      </w:r>
      <w:r>
        <w:rPr>
          <w:rFonts w:ascii="Times New Roman" w:cs="Times New Roman" w:eastAsia="Times New Roman" w:hAnsi="Times New Roman"/>
          <w:sz w:val="24"/>
          <w:szCs w:val="24"/>
        </w:rPr>
        <w:t xml:space="preserve">(6), 801–823. https://doi.org/10.1080/02684527.2012.716965</w:t>
      </w:r>
    </w:p>
    <w:p>
      <w:pPr>
        <w:spacing w:after="160" w:line="240"/>
        <w:ind w:left="567" w:hanging="567"/>
        <w:jc w:val="left"/>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10: 2021</w:t>
      </w:r>
      <w:r>
        <w:rPr>
          <w:rFonts w:ascii="Times New Roman" w:cs="Times New Roman" w:eastAsia="Times New Roman" w:hAnsi="Times New Roman"/>
          <w:sz w:val="24"/>
          <w:szCs w:val="24"/>
        </w:rPr>
        <w:t xml:space="preserve">. https://owasp.org/Top10/</w:t>
      </w:r>
    </w:p>
    <w:p>
      <w:pPr>
        <w:spacing w:after="160" w:line="240"/>
        <w:ind w:left="567" w:hanging="567"/>
        <w:jc w:val="left"/>
      </w:pPr>
      <w:r>
        <w:rPr>
          <w:rFonts w:ascii="Times New Roman" w:cs="Times New Roman" w:eastAsia="Times New Roman" w:hAnsi="Times New Roman"/>
          <w:sz w:val="24"/>
          <w:szCs w:val="24"/>
        </w:rPr>
        <w:t xml:space="preserve">Palantir Technologies. (2024). </w:t>
      </w:r>
      <w:r>
        <w:rPr>
          <w:rFonts w:ascii="Times New Roman" w:cs="Times New Roman" w:eastAsia="Times New Roman" w:hAnsi="Times New Roman"/>
          <w:i/>
          <w:iCs/>
          <w:sz w:val="24"/>
          <w:szCs w:val="24"/>
        </w:rPr>
        <w:t xml:space="preserve">Palantir Platform: Gotham – Service definition document</w:t>
      </w:r>
      <w:r>
        <w:rPr>
          <w:rFonts w:ascii="Times New Roman" w:cs="Times New Roman" w:eastAsia="Times New Roman" w:hAnsi="Times New Roman"/>
          <w:sz w:val="24"/>
          <w:szCs w:val="24"/>
        </w:rPr>
        <w:t xml:space="preserve"> (G-Cloud 14). Digital Marketplace, UK Government. https://www.applytosupply.digitalmarketplace.service.gov.uk/g-cloud-14/services/801146272055049</w:t>
      </w:r>
    </w:p>
    <w:p>
      <w:pPr>
        <w:spacing w:after="160" w:line="240"/>
        <w:ind w:left="567" w:hanging="567"/>
        <w:jc w:val="left"/>
      </w:pPr>
      <w:r>
        <w:rPr>
          <w:rFonts w:ascii="Times New Roman" w:cs="Times New Roman" w:eastAsia="Times New Roman" w:hAnsi="Times New Roman"/>
          <w:sz w:val="24"/>
          <w:szCs w:val="24"/>
        </w:rPr>
        <w:t xml:space="preserve">Parasuraman, R., &amp; Manzey, D. H. (2010). Complacency and bias in human use of automation: An attentional integration. </w:t>
      </w:r>
      <w:r>
        <w:rPr>
          <w:rFonts w:ascii="Times New Roman" w:cs="Times New Roman" w:eastAsia="Times New Roman" w:hAnsi="Times New Roman"/>
          <w:i/>
          <w:iCs/>
          <w:sz w:val="24"/>
          <w:szCs w:val="24"/>
        </w:rPr>
        <w:t xml:space="preserve">Human Factors, 52</w:t>
      </w:r>
      <w:r>
        <w:rPr>
          <w:rFonts w:ascii="Times New Roman" w:cs="Times New Roman" w:eastAsia="Times New Roman" w:hAnsi="Times New Roman"/>
          <w:sz w:val="24"/>
          <w:szCs w:val="24"/>
        </w:rPr>
        <w:t xml:space="preserve">(3), 381–410. https://doi.org/10.1177/0018720810376055</w:t>
      </w:r>
    </w:p>
    <w:p>
      <w:pPr>
        <w:spacing w:after="16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16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16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16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160" w:line="240"/>
        <w:ind w:left="567" w:hanging="567"/>
        <w:jc w:val="left"/>
      </w:pPr>
      <w:r>
        <w:rPr>
          <w:rFonts w:ascii="Times New Roman" w:cs="Times New Roman" w:eastAsia="Times New Roman" w:hAnsi="Times New Roman"/>
          <w:sz w:val="24"/>
          <w:szCs w:val="24"/>
        </w:rPr>
        <w:t xml:space="preserve">Rodrigues, J., Gomes, L., Silva, J., Branco, A., Santos, R., Lopes Cardoso, H., &amp; Osório, T. (2023). Advancing neural encoding of Portuguese with Transformer Albertina PT-*. In </w:t>
      </w:r>
      <w:r>
        <w:rPr>
          <w:rFonts w:ascii="Times New Roman" w:cs="Times New Roman" w:eastAsia="Times New Roman" w:hAnsi="Times New Roman"/>
          <w:i/>
          <w:iCs/>
          <w:sz w:val="24"/>
          <w:szCs w:val="24"/>
        </w:rPr>
        <w:t xml:space="preserve">Progress in Artificial Intelligence: EPIA 2023</w:t>
      </w:r>
      <w:r>
        <w:rPr>
          <w:rFonts w:ascii="Times New Roman" w:cs="Times New Roman" w:eastAsia="Times New Roman" w:hAnsi="Times New Roman"/>
          <w:sz w:val="24"/>
          <w:szCs w:val="24"/>
        </w:rPr>
        <w:t xml:space="preserve"> (pp. 441–453). Springer. https://doi.org/10.1007/978-3-031-49008-8_35</w:t>
      </w:r>
    </w:p>
    <w:p>
      <w:pPr>
        <w:spacing w:after="160" w:line="240"/>
        <w:ind w:left="567" w:hanging="567"/>
        <w:jc w:val="left"/>
      </w:pPr>
      <w:r>
        <w:rPr>
          <w:rFonts w:ascii="Times New Roman" w:cs="Times New Roman" w:eastAsia="Times New Roman" w:hAnsi="Times New Roman"/>
          <w:sz w:val="24"/>
          <w:szCs w:val="24"/>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ascii="Times New Roman" w:cs="Times New Roman" w:eastAsia="Times New Roman" w:hAnsi="Times New Roman"/>
          <w:i/>
          <w:iCs/>
          <w:sz w:val="24"/>
          <w:szCs w:val="24"/>
        </w:rPr>
        <w:t xml:space="preserve">PLoS ONE, 15</w:t>
      </w:r>
      <w:r>
        <w:rPr>
          <w:rFonts w:ascii="Times New Roman" w:cs="Times New Roman" w:eastAsia="Times New Roman" w:hAnsi="Times New Roman"/>
          <w:sz w:val="24"/>
          <w:szCs w:val="24"/>
        </w:rPr>
        <w:t xml:space="preserve">(4), e0231866. https://doi.org/10.1371/journal.pone.0231866</w:t>
      </w:r>
    </w:p>
    <w:p>
      <w:pPr>
        <w:spacing w:after="160" w:line="240"/>
        <w:ind w:left="567" w:hanging="567"/>
        <w:jc w:val="left"/>
      </w:pPr>
      <w:r>
        <w:rPr>
          <w:rFonts w:ascii="Times New Roman" w:cs="Times New Roman" w:eastAsia="Times New Roman" w:hAnsi="Times New Roman"/>
          <w:sz w:val="24"/>
          <w:szCs w:val="24"/>
        </w:rPr>
        <w:t xml:space="preserve">Sambaca, S. C., &amp; Pessoa, S. N. (2026). Eleições em Angola: A influência das redes sociais no comportamento eleitoral dos jovens angolanos em 2022. </w:t>
      </w:r>
      <w:r>
        <w:rPr>
          <w:rFonts w:ascii="Times New Roman" w:cs="Times New Roman" w:eastAsia="Times New Roman" w:hAnsi="Times New Roman"/>
          <w:i/>
          <w:iCs/>
          <w:sz w:val="24"/>
          <w:szCs w:val="24"/>
        </w:rPr>
        <w:t xml:space="preserve">Revista Tópicos, 4</w:t>
      </w:r>
      <w:r>
        <w:rPr>
          <w:rFonts w:ascii="Times New Roman" w:cs="Times New Roman" w:eastAsia="Times New Roman" w:hAnsi="Times New Roman"/>
          <w:sz w:val="24"/>
          <w:szCs w:val="24"/>
        </w:rPr>
        <w:t xml:space="preserve">(29). https://doi.org/10.5281/zenodo.18363947</w:t>
      </w:r>
    </w:p>
    <w:p>
      <w:pPr>
        <w:spacing w:after="160" w:line="240"/>
        <w:ind w:left="567" w:hanging="567"/>
        <w:jc w:val="left"/>
      </w:pPr>
      <w:r>
        <w:rPr>
          <w:rFonts w:ascii="Times New Roman" w:cs="Times New Roman" w:eastAsia="Times New Roman" w:hAnsi="Times New Roman"/>
          <w:sz w:val="24"/>
          <w:szCs w:val="24"/>
        </w:rPr>
        <w:t xml:space="preserve">Sap, M., Card, D., Gabriel, S., Choi, Y., &amp; Smith, N. A. (2019). The risk of racial bias in hate speech detection. In </w:t>
      </w:r>
      <w:r>
        <w:rPr>
          <w:rFonts w:ascii="Times New Roman" w:cs="Times New Roman" w:eastAsia="Times New Roman" w:hAnsi="Times New Roman"/>
          <w:i/>
          <w:iCs/>
          <w:sz w:val="24"/>
          <w:szCs w:val="24"/>
        </w:rPr>
        <w:t xml:space="preserve">Proceedings of the 57th Annual Meeting of the Association for Computational Linguistics</w:t>
      </w:r>
      <w:r>
        <w:rPr>
          <w:rFonts w:ascii="Times New Roman" w:cs="Times New Roman" w:eastAsia="Times New Roman" w:hAnsi="Times New Roman"/>
          <w:sz w:val="24"/>
          <w:szCs w:val="24"/>
        </w:rPr>
        <w:t xml:space="preserve"> (pp. 1668–1678). Association for Computational Linguistics. https://doi.org/10.18653/v1/P19-1163</w:t>
      </w:r>
    </w:p>
    <w:p>
      <w:pPr>
        <w:spacing w:after="16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16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1</w:t>
      </w:r>
      <w:r>
        <w:rPr>
          <w:rFonts w:ascii="Times New Roman" w:cs="Times New Roman" w:eastAsia="Times New Roman" w:hAnsi="Times New Roman"/>
          <w:sz w:val="24"/>
          <w:szCs w:val="24"/>
        </w:rPr>
        <w:t xml:space="preserve">(21), 196–221.</w:t>
      </w:r>
    </w:p>
    <w:p>
      <w:pPr>
        <w:spacing w:after="160" w:line="240"/>
        <w:ind w:left="567" w:hanging="567"/>
        <w:jc w:val="left"/>
      </w:pPr>
      <w:r>
        <w:rPr>
          <w:rFonts w:ascii="Times New Roman" w:cs="Times New Roman" w:eastAsia="Times New Roman" w:hAnsi="Times New Roman"/>
          <w:sz w:val="24"/>
          <w:szCs w:val="24"/>
        </w:rPr>
        <w:t xml:space="preserve">Settles, B. (2009). </w:t>
      </w:r>
      <w:r>
        <w:rPr>
          <w:rFonts w:ascii="Times New Roman" w:cs="Times New Roman" w:eastAsia="Times New Roman" w:hAnsi="Times New Roman"/>
          <w:i/>
          <w:iCs/>
          <w:sz w:val="24"/>
          <w:szCs w:val="24"/>
        </w:rPr>
        <w:t xml:space="preserve">Active learning literature survey</w:t>
      </w:r>
      <w:r>
        <w:rPr>
          <w:rFonts w:ascii="Times New Roman" w:cs="Times New Roman" w:eastAsia="Times New Roman" w:hAnsi="Times New Roman"/>
          <w:sz w:val="24"/>
          <w:szCs w:val="24"/>
        </w:rPr>
        <w:t xml:space="preserve"> (Computer Sciences Technical Report 1648). University of Wisconsin–Madison.</w:t>
      </w:r>
    </w:p>
    <w:p>
      <w:pPr>
        <w:spacing w:after="16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16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16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16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16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16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16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160" w:line="240"/>
        <w:ind w:left="567" w:hanging="567"/>
        <w:jc w:val="left"/>
      </w:pPr>
      <w:r>
        <w:rPr>
          <w:rFonts w:ascii="Times New Roman" w:cs="Times New Roman" w:eastAsia="Times New Roman" w:hAnsi="Times New Roman"/>
          <w:sz w:val="24"/>
          <w:szCs w:val="24"/>
        </w:rPr>
        <w:t xml:space="preserve">Williams, H. J., &amp; Blum, I. (2018). </w:t>
      </w:r>
      <w:r>
        <w:rPr>
          <w:rFonts w:ascii="Times New Roman" w:cs="Times New Roman" w:eastAsia="Times New Roman" w:hAnsi="Times New Roman"/>
          <w:i/>
          <w:iCs/>
          <w:sz w:val="24"/>
          <w:szCs w:val="24"/>
        </w:rPr>
        <w:t xml:space="preserve">Defining second generation open source intelligence (OSINT) for the defense enterprise</w:t>
      </w:r>
      <w:r>
        <w:rPr>
          <w:rFonts w:ascii="Times New Roman" w:cs="Times New Roman" w:eastAsia="Times New Roman" w:hAnsi="Times New Roman"/>
          <w:sz w:val="24"/>
          <w:szCs w:val="24"/>
        </w:rPr>
        <w:t xml:space="preserve"> (RR-1964-OSD). RAND Corporation. https://doi.org/10.7249/RR1964</w:t>
      </w:r>
    </w:p>
    <w:p>
      <w:pPr>
        <w:spacing w:after="160" w:line="240"/>
        <w:ind w:left="567" w:hanging="567"/>
        <w:jc w:val="left"/>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16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Calibração.</w:t>
      </w:r>
      <w:r>
        <w:rPr>
          <w:rFonts w:ascii="Times New Roman" w:cs="Times New Roman" w:eastAsia="Times New Roman" w:hAnsi="Times New Roman"/>
          <w:sz w:val="24"/>
          <w:szCs w:val="24"/>
        </w:rPr>
        <w:t xml:space="preserve"> Propriedade de um classificador cujas probabilidades correspondem às frequências observadas: entre as previsões feitas com 80% de confiança, cerca de 80% estão certas.</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segundo a referência disponível (etiquetas de teste ou decisão do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Excertos reproduzidos sem alterações do código do protótipo; o código completo está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 (sistema/anonimizacao.py)</w:t>
      </w:r>
    </w:p>
    <w:p>
      <w:pPr>
        <w:spacing w:after="120" w:before="0" w:line="360"/>
        <w:ind w:firstLine="567"/>
        <w:jc w:val="both"/>
      </w:pPr>
      <w:r>
        <w:rPr>
          <w:rFonts w:ascii="Times New Roman" w:cs="Times New Roman" w:eastAsia="Times New Roman" w:hAnsi="Times New Roman"/>
          <w:sz w:val="24"/>
          <w:szCs w:val="24"/>
        </w:rPr>
        <w:t xml:space="preserve">No comentário do código, “irreversível” significa irreversível sem o segredo; em termos jurídicos, trata-se de pseudonimização (Secção 3.2).</w:t>
      </w:r>
    </w:p>
    <w:p>
      <w:pPr>
        <w:shd w:fill="F4F3EF" w:color="auto" w:val="clear"/>
        <w:spacing w:after="0" w:before="120" w:line="220"/>
        <w:ind w:left="113" w:right="113"/>
      </w:pPr>
      <w:r>
        <w:rPr>
          <w:rFonts w:ascii="Courier New" w:cs="Courier New" w:eastAsia="Courier New" w:hAnsi="Courier New"/>
          <w:sz w:val="15"/>
          <w:szCs w:val="15"/>
        </w:rPr>
        <w:t xml:space="preserve">_PADROES: list[tuple[re.Pattern[str], str]] = [</w:t>
      </w:r>
    </w:p>
    <w:p>
      <w:pPr>
        <w:shd w:fill="F4F3EF" w:color="auto" w:val="clear"/>
        <w:spacing w:after="0" w:before="0" w:line="220"/>
        <w:ind w:left="113" w:right="113"/>
      </w:pPr>
      <w:r>
        <w:rPr>
          <w:rFonts w:ascii="Courier New" w:cs="Courier New" w:eastAsia="Courier New" w:hAnsi="Courier New"/>
          <w:sz w:val="15"/>
          <w:szCs w:val="15"/>
        </w:rPr>
        <w:t xml:space="preserve">    (re.compile(r"https?://\S+|www\.\S+", re.IGNORECASE), "[URL]"),</w:t>
      </w:r>
    </w:p>
    <w:p>
      <w:pPr>
        <w:shd w:fill="F4F3EF" w:color="auto" w:val="clear"/>
        <w:spacing w:after="0" w:before="0" w:line="220"/>
        <w:ind w:left="113" w:right="113"/>
      </w:pPr>
      <w:r>
        <w:rPr>
          <w:rFonts w:ascii="Courier New" w:cs="Courier New" w:eastAsia="Courier New" w:hAnsi="Courier New"/>
          <w:sz w:val="15"/>
          <w:szCs w:val="15"/>
        </w:rPr>
        <w:t xml:space="preserve">    (re.compile(r"\b[\w.+-]+@[\w-]+\.[\w.-]+\b"), "[EMAIL]"),</w:t>
      </w:r>
    </w:p>
    <w:p>
      <w:pPr>
        <w:shd w:fill="F4F3EF" w:color="auto" w:val="clear"/>
        <w:spacing w:after="0" w:before="0" w:line="220"/>
        <w:ind w:left="113" w:right="113"/>
      </w:pPr>
      <w:r>
        <w:rPr>
          <w:rFonts w:ascii="Courier New" w:cs="Courier New" w:eastAsia="Courier New" w:hAnsi="Courier New"/>
          <w:sz w:val="15"/>
          <w:szCs w:val="15"/>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5"/>
          <w:szCs w:val="15"/>
        </w:rPr>
        <w:t xml:space="preserve">    (re.compile(r"(?&lt;!\w)(?:\+?244[\s-]?)?9\d{2}[\s-]?\d{3}[\s-]?\d{3}(?!\w)"), "[TELEFONE]"),</w:t>
      </w:r>
    </w:p>
    <w:p>
      <w:pPr>
        <w:shd w:fill="F4F3EF" w:color="auto" w:val="clear"/>
        <w:spacing w:after="0" w:before="0" w:line="220"/>
        <w:ind w:left="113" w:right="113"/>
      </w:pPr>
      <w:r>
        <w:rPr>
          <w:rFonts w:ascii="Courier New" w:cs="Courier New" w:eastAsia="Courier New" w:hAnsi="Courier New"/>
          <w:sz w:val="15"/>
          <w:szCs w:val="15"/>
        </w:rPr>
        <w:t xml:space="preserve">    (re.compile(r"(?&lt;!\w)@[\w.]{2,}"), "@[UTILIZADOR]"),</w:t>
      </w:r>
    </w:p>
    <w:p>
      <w:pPr>
        <w:shd w:fill="F4F3EF" w:color="auto" w:val="clear"/>
        <w:spacing w:after="0" w:before="0" w:line="220"/>
        <w:ind w:left="113" w:right="113"/>
      </w:pPr>
      <w:r>
        <w:rPr>
          <w:rFonts w:ascii="Courier New" w:cs="Courier New" w:eastAsia="Courier New" w:hAnsi="Courier New"/>
          <w:sz w:val="15"/>
          <w:szCs w:val="15"/>
        </w:rPr>
        <w:t xml:space="preserve">]</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mascarar_texto(texto: str) -&gt; str:</w:t>
      </w:r>
    </w:p>
    <w:p>
      <w:pPr>
        <w:shd w:fill="F4F3EF" w:color="auto" w:val="clear"/>
        <w:spacing w:after="0" w:before="0" w:line="220"/>
        <w:ind w:left="113" w:right="113"/>
      </w:pPr>
      <w:r>
        <w:rPr>
          <w:rFonts w:ascii="Courier New" w:cs="Courier New" w:eastAsia="Courier New" w:hAnsi="Courier New"/>
          <w:sz w:val="15"/>
          <w:szCs w:val="15"/>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5"/>
          <w:szCs w:val="15"/>
        </w:rPr>
        <w:t xml:space="preserve">    if not texto:</w:t>
      </w:r>
    </w:p>
    <w:p>
      <w:pPr>
        <w:shd w:fill="F4F3EF" w:color="auto" w:val="clear"/>
        <w:spacing w:after="0" w:before="0" w:line="220"/>
        <w:ind w:left="113" w:right="113"/>
      </w:pPr>
      <w:r>
        <w:rPr>
          <w:rFonts w:ascii="Courier New" w:cs="Courier New" w:eastAsia="Courier New" w:hAnsi="Courier New"/>
          <w:sz w:val="15"/>
          <w:szCs w:val="15"/>
        </w:rPr>
        <w:t xml:space="preserve">        return ""</w:t>
      </w:r>
    </w:p>
    <w:p>
      <w:pPr>
        <w:shd w:fill="F4F3EF" w:color="auto" w:val="clear"/>
        <w:spacing w:after="0" w:before="0" w:line="220"/>
        <w:ind w:left="113" w:right="113"/>
      </w:pPr>
      <w:r>
        <w:rPr>
          <w:rFonts w:ascii="Courier New" w:cs="Courier New" w:eastAsia="Courier New" w:hAnsi="Courier New"/>
          <w:sz w:val="15"/>
          <w:szCs w:val="15"/>
        </w:rPr>
        <w:t xml:space="preserve">    for padrao, marcador in _PADROES:</w:t>
      </w:r>
    </w:p>
    <w:p>
      <w:pPr>
        <w:shd w:fill="F4F3EF" w:color="auto" w:val="clear"/>
        <w:spacing w:after="0" w:before="0" w:line="220"/>
        <w:ind w:left="113" w:right="113"/>
      </w:pPr>
      <w:r>
        <w:rPr>
          <w:rFonts w:ascii="Courier New" w:cs="Courier New" w:eastAsia="Courier New" w:hAnsi="Courier New"/>
          <w:sz w:val="15"/>
          <w:szCs w:val="15"/>
        </w:rPr>
        <w:t xml:space="preserve">        texto = padrao.sub(marcador, texto)</w:t>
      </w:r>
    </w:p>
    <w:p>
      <w:pPr>
        <w:shd w:fill="F4F3EF" w:color="auto" w:val="clear"/>
        <w:spacing w:after="0" w:before="0" w:line="220"/>
        <w:ind w:left="113" w:right="113"/>
      </w:pPr>
      <w:r>
        <w:rPr>
          <w:rFonts w:ascii="Courier New" w:cs="Courier New" w:eastAsia="Courier New" w:hAnsi="Courier New"/>
          <w:sz w:val="15"/>
          <w:szCs w:val="15"/>
        </w:rPr>
        <w:t xml:space="preserve">    return re.sub(r"\s+", " ", texto).strip()</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5"/>
          <w:szCs w:val="15"/>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5"/>
          <w:szCs w:val="15"/>
        </w:rPr>
        <w:t xml:space="preserve">    if not autor:</w:t>
      </w:r>
    </w:p>
    <w:p>
      <w:pPr>
        <w:shd w:fill="F4F3EF" w:color="auto" w:val="clear"/>
        <w:spacing w:after="0" w:before="0" w:line="220"/>
        <w:ind w:left="113" w:right="113"/>
      </w:pPr>
      <w:r>
        <w:rPr>
          <w:rFonts w:ascii="Courier New" w:cs="Courier New" w:eastAsia="Courier New" w:hAnsi="Courier New"/>
          <w:sz w:val="15"/>
          <w:szCs w:val="15"/>
        </w:rPr>
        <w:t xml:space="preserve">        return None</w:t>
      </w:r>
    </w:p>
    <w:p>
      <w:pPr>
        <w:shd w:fill="F4F3EF" w:color="auto" w:val="clear"/>
        <w:spacing w:after="0" w:before="0" w:line="220"/>
        <w:ind w:left="113" w:right="113"/>
      </w:pPr>
      <w:r>
        <w:rPr>
          <w:rFonts w:ascii="Courier New" w:cs="Courier New" w:eastAsia="Courier New" w:hAnsi="Courier New"/>
          <w:sz w:val="15"/>
          <w:szCs w:val="15"/>
        </w:rPr>
        <w:t xml:space="preserve">    if not segredo:</w:t>
      </w:r>
    </w:p>
    <w:p>
      <w:pPr>
        <w:shd w:fill="F4F3EF" w:color="auto" w:val="clear"/>
        <w:spacing w:after="0" w:before="0" w:line="220"/>
        <w:ind w:left="113" w:right="113"/>
      </w:pPr>
      <w:r>
        <w:rPr>
          <w:rFonts w:ascii="Courier New" w:cs="Courier New" w:eastAsia="Courier New" w:hAnsi="Courier New"/>
          <w:sz w:val="15"/>
          <w:szCs w:val="15"/>
        </w:rPr>
        <w:t xml:space="preserve">        raise ValueError(</w:t>
      </w:r>
    </w:p>
    <w:p>
      <w:pPr>
        <w:shd w:fill="F4F3EF" w:color="auto" w:val="clear"/>
        <w:spacing w:after="0" w:before="0" w:line="220"/>
        <w:ind w:left="113" w:right="113"/>
      </w:pPr>
      <w:r>
        <w:rPr>
          <w:rFonts w:ascii="Courier New" w:cs="Courier New" w:eastAsia="Courier New" w:hAnsi="Courier New"/>
          <w:sz w:val="15"/>
          <w:szCs w:val="15"/>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5"/>
          <w:szCs w:val="15"/>
        </w:rPr>
        <w:t xml:space="preserve">            "pode ser revertido por dicionário."</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5"/>
          <w:szCs w:val="15"/>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 (sistema/classificador.py)</w:t>
      </w:r>
    </w:p>
    <w:p>
      <w:pPr>
        <w:shd w:fill="F4F3EF" w:color="auto" w:val="clear"/>
        <w:spacing w:after="0" w:before="120" w:line="220"/>
        <w:ind w:left="113" w:right="113"/>
      </w:pPr>
      <w:r>
        <w:rPr>
          <w:rFonts w:ascii="Courier New" w:cs="Courier New" w:eastAsia="Courier New" w:hAnsi="Courier New"/>
          <w:sz w:val="15"/>
          <w:szCs w:val="15"/>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5"/>
          <w:szCs w:val="15"/>
        </w:rPr>
        <w:t xml:space="preserve">        torch = self._torch</w:t>
      </w:r>
    </w:p>
    <w:p>
      <w:pPr>
        <w:shd w:fill="F4F3EF" w:color="auto" w:val="clear"/>
        <w:spacing w:after="0" w:before="0" w:line="220"/>
        <w:ind w:left="113" w:right="113"/>
      </w:pPr>
      <w:r>
        <w:rPr>
          <w:rFonts w:ascii="Courier New" w:cs="Courier New" w:eastAsia="Courier New" w:hAnsi="Courier New"/>
          <w:sz w:val="15"/>
          <w:szCs w:val="15"/>
        </w:rPr>
        <w:t xml:space="preserve">        resultados: list[Resultado] = []</w:t>
      </w:r>
    </w:p>
    <w:p>
      <w:pPr>
        <w:shd w:fill="F4F3EF" w:color="auto" w:val="clear"/>
        <w:spacing w:after="0" w:before="0" w:line="220"/>
        <w:ind w:left="113" w:right="113"/>
      </w:pPr>
      <w:r>
        <w:rPr>
          <w:rFonts w:ascii="Courier New" w:cs="Courier New" w:eastAsia="Courier New" w:hAnsi="Courier New"/>
          <w:sz w:val="15"/>
          <w:szCs w:val="15"/>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5"/>
          <w:szCs w:val="15"/>
        </w:rPr>
        <w:t xml:space="preserve">            lote = textos[i : i + self.tamanho_lote]</w:t>
      </w:r>
    </w:p>
    <w:p>
      <w:pPr>
        <w:shd w:fill="F4F3EF" w:color="auto" w:val="clear"/>
        <w:spacing w:after="0" w:before="0" w:line="220"/>
        <w:ind w:left="113" w:right="113"/>
      </w:pPr>
      <w:r>
        <w:rPr>
          <w:rFonts w:ascii="Courier New" w:cs="Courier New" w:eastAsia="Courier New" w:hAnsi="Courier New"/>
          <w:sz w:val="15"/>
          <w:szCs w:val="15"/>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5"/>
          <w:szCs w:val="15"/>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5"/>
          <w:szCs w:val="15"/>
        </w:rPr>
        <w:t xml:space="preserve">            with torch.no_grad():</w:t>
      </w:r>
    </w:p>
    <w:p>
      <w:pPr>
        <w:shd w:fill="F4F3EF" w:color="auto" w:val="clear"/>
        <w:spacing w:after="0" w:before="0" w:line="220"/>
        <w:ind w:left="113" w:right="113"/>
      </w:pPr>
      <w:r>
        <w:rPr>
          <w:rFonts w:ascii="Courier New" w:cs="Courier New" w:eastAsia="Courier New" w:hAnsi="Courier New"/>
          <w:sz w:val="15"/>
          <w:szCs w:val="15"/>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5"/>
          <w:szCs w:val="15"/>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5"/>
          <w:szCs w:val="15"/>
        </w:rPr>
        <w:t xml:space="preserve">        return resultados</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00" w:before="200"/>
      </w:pPr>
      <w:r>
        <w:rPr>
          <w:rFonts w:ascii="Times New Roman" w:cs="Times New Roman" w:eastAsia="Times New Roman" w:hAnsi="Times New Roman"/>
          <w:b/>
          <w:bCs/>
          <w:sz w:val="26"/>
          <w:szCs w:val="26"/>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00" w:before="200"/>
      </w:pPr>
      <w:r>
        <w:rPr>
          <w:rFonts w:ascii="Times New Roman" w:cs="Times New Roman" w:eastAsia="Times New Roman" w:hAnsi="Times New Roman"/>
          <w:b/>
          <w:bCs/>
          <w:sz w:val="26"/>
          <w:szCs w:val="26"/>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00" w:before="200"/>
      </w:pPr>
      <w:r>
        <w:rPr>
          <w:rFonts w:ascii="Times New Roman" w:cs="Times New Roman" w:eastAsia="Times New Roman" w:hAnsi="Times New Roman"/>
          <w:b/>
          <w:bCs/>
          <w:sz w:val="26"/>
          <w:szCs w:val="26"/>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00" w:before="200"/>
      </w:pPr>
      <w:r>
        <w:rPr>
          <w:rFonts w:ascii="Times New Roman" w:cs="Times New Roman" w:eastAsia="Times New Roman" w:hAnsi="Times New Roman"/>
          <w:b/>
          <w:bCs/>
          <w:sz w:val="26"/>
          <w:szCs w:val="26"/>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pacífico e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 e preenchimento</w:t>
      </w:r>
    </w:p>
    <w:p>
      <w:pPr>
        <w:spacing w:after="120" w:before="0" w:line="360"/>
        <w:ind w:firstLine="567"/>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 Em comentários com calão ou expressões de línguas nacionais, aplique os mesmos critérios; em caso de dúvida sobre o significado, registe-a na coluna de observações. Ironia e sátira sem intenção de dano são Normal; ironia que mascara conteúdo nocivo segue a categoria correspondente. Ler cada comentário na íntegra antes de classificar e não consultar os outros anotadores durante a fase individual.</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spacing w:after="120" w:before="0" w:line="360"/>
        <w:ind w:firstLine="567"/>
        <w:jc w:val="both"/>
      </w:pPr>
      <w:r>
        <w:rPr>
          <w:rFonts w:ascii="Times New Roman" w:cs="Times New Roman" w:eastAsia="Times New Roman" w:hAnsi="Times New Roman"/>
          <w:sz w:val="24"/>
          <w:szCs w:val="24"/>
        </w:rPr>
        <w:t xml:space="preserve">A Tabela C.1 apresenta a escala de Landis e Koch (1977) usada para interpretar os valores de κ.</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spacing w:after="120" w:before="0" w:line="360"/>
        <w:ind w:firstLine="567"/>
        <w:jc w:val="both"/>
      </w:pPr>
      <w:r>
        <w:rPr>
          <w:rFonts w:ascii="Times New Roman" w:cs="Times New Roman" w:eastAsia="Times New Roman" w:hAnsi="Times New Roman"/>
          <w:sz w:val="24"/>
          <w:szCs w:val="24"/>
        </w:rPr>
        <w:t xml:space="preserve">A Tabela C.2 resume o acordo entre os três anotadores na base do piloto e no lote temático.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calculado antes da exclusão dos 90 comentários não angolanos, não é comparável com o da base do piloto,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 base do piloto e no lote orientado por léxico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(base do piloto e lote de léxico,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w:t>
      </w:r>
      <w:r>
        <w:rPr>
          <w:rFonts w:ascii="Times New Roman" w:cs="Times New Roman" w:eastAsia="Times New Roman" w:hAnsi="Times New Roman"/>
          <w:i/>
          <w:iCs/>
          <w:sz w:val="18"/>
          <w:szCs w:val="18"/>
        </w:rPr>
        <w:t xml:space="preserve">script</w:t>
      </w:r>
      <w:r>
        <w:rPr>
          <w:rFonts w:ascii="Times New Roman" w:cs="Times New Roman" w:eastAsia="Times New Roman" w:hAnsi="Times New Roman"/>
          <w:sz w:val="18"/>
          <w:szCs w:val="18"/>
        </w:rPr>
        <w:t xml:space="preserve">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spacing w:after="120" w:before="0" w:line="360"/>
        <w:ind w:firstLine="567"/>
        <w:jc w:val="both"/>
      </w:pPr>
      <w:r>
        <w:rPr>
          <w:rFonts w:ascii="Times New Roman" w:cs="Times New Roman" w:eastAsia="Times New Roman" w:hAnsi="Times New Roman"/>
          <w:sz w:val="24"/>
          <w:szCs w:val="24"/>
        </w:rPr>
        <w:t xml:space="preserve">A Tabela C.4 apresenta a distribuição das etiquetas finais do corpus angolano.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Publicações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 base do piloto e os dois lotes enriquecidos, antes da deduplicação feita na harmonização do corpus.</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sorteados da base do piloto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 Os emojis aparecem descritos entre parênteses rectos.</w:t>
      </w:r>
    </w:p>
    <w:p>
      <w:pPr>
        <w:spacing w:after="120" w:before="0" w:line="360"/>
        <w:ind w:firstLine="567"/>
        <w:jc w:val="both"/>
      </w:pPr>
      <w:r>
        <w:rPr>
          <w:rFonts w:ascii="Times New Roman" w:cs="Times New Roman" w:eastAsia="Times New Roman" w:hAnsi="Times New Roman"/>
          <w:sz w:val="24"/>
          <w:szCs w:val="24"/>
        </w:rPr>
        <w:t xml:space="preserve">A Tabela E.1 apresenta a amostra.</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[emoji: bandeira do Brasil]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[emoji: rosto pensativo ×2]</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COREANO!!!!![emoji: a rolar de rir ×12]</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[emoji: rosto a chorar ×5]</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[emoji: coração partido]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[emoji: lágrimas de riso ×3]</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[emoji: sinal de OK]</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[emoji: sinal de OK] eles moram lá [emoji: dedo para cima, rosto pensativo, sorriso de lado, olhos a revirar]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[emoji: rosto a chorar]</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e o uso, por vezes, de critérios mais amplos do que os do guia (Secção 3.4):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destinam-se à linha de comandos do Windows (cmd), na pasta do sistema. O README do sistema descreve todas as opções.</w:t>
      </w:r>
    </w:p>
    <w:p>
      <w:pPr>
        <w:pStyle w:val="Heading2"/>
        <w:keepNext/>
        <w:keepLines/>
        <w:spacing w:after="160" w:before="360" w:line="300"/>
      </w:pPr>
      <w:r>
        <w:rPr>
          <w:rFonts w:ascii="Times New Roman" w:cs="Times New Roman" w:eastAsia="Times New Roman" w:hAnsi="Times New Roman"/>
          <w:b/>
          <w:bCs/>
          <w:sz w:val="26"/>
          <w:szCs w:val="26"/>
        </w:rPr>
        <w:t xml:space="preserve">F.1 Instalação e configuração</w:t>
      </w:r>
    </w:p>
    <w:p>
      <w:pPr>
        <w:shd w:fill="F4F3EF" w:color="auto" w:val="clear"/>
        <w:spacing w:after="0" w:before="120" w:line="220"/>
        <w:ind w:left="113" w:right="113"/>
      </w:pPr>
      <w:r>
        <w:rPr>
          <w:rFonts w:ascii="Courier New" w:cs="Courier New" w:eastAsia="Courier New" w:hAnsi="Courier New"/>
          <w:sz w:val="15"/>
          <w:szCs w:val="15"/>
        </w:rPr>
        <w:t xml:space="preserve">python -m pip install -r requirements.txt</w:t>
      </w:r>
    </w:p>
    <w:p>
      <w:pPr>
        <w:shd w:fill="F4F3EF" w:color="auto" w:val="clear"/>
        <w:spacing w:after="0" w:before="0" w:line="220"/>
        <w:ind w:left="113" w:right="113"/>
      </w:pPr>
      <w:r>
        <w:rPr>
          <w:rFonts w:ascii="Courier New" w:cs="Courier New" w:eastAsia="Courier New" w:hAnsi="Courier New"/>
          <w:sz w:val="15"/>
          <w:szCs w:val="15"/>
        </w:rPr>
        <w:t xml:space="preserve">python -m pytest -q</w:t>
      </w:r>
    </w:p>
    <w:p>
      <w:pPr>
        <w:shd w:fill="F4F3EF" w:color="auto" w:val="clear"/>
        <w:spacing w:after="0" w:before="0" w:line="220"/>
        <w:ind w:left="113" w:right="113"/>
      </w:pPr>
      <w:r>
        <w:rPr>
          <w:rFonts w:ascii="Courier New" w:cs="Courier New" w:eastAsia="Courier New" w:hAnsi="Courier New"/>
          <w:sz w:val="15"/>
          <w:szCs w:val="15"/>
        </w:rPr>
        <w:t xml:space="preserve">python -c "import secrets; print(secrets.token_urlsafe(32))"</w:t>
      </w:r>
    </w:p>
    <w:p>
      <w:pPr>
        <w:shd w:fill="F4F3EF" w:color="auto" w:val="clear"/>
        <w:spacing w:after="200" w:before="0" w:line="220"/>
        <w:ind w:left="113" w:right="113"/>
      </w:pPr>
      <w:r>
        <w:rPr>
          <w:rFonts w:ascii="Courier New" w:cs="Courier New" w:eastAsia="Courier New" w:hAnsi="Courier New"/>
          <w:sz w:val="15"/>
          <w:szCs w:val="15"/>
        </w:rPr>
        <w:t xml:space="preserve">python uan.py verificar-config</w:t>
      </w:r>
    </w:p>
    <w:p>
      <w:pPr>
        <w:spacing w:after="120" w:before="0" w:line="360"/>
        <w:ind w:firstLine="567"/>
        <w:jc w:val="both"/>
      </w:pPr>
      <w:r>
        <w:rPr>
          <w:rFonts w:ascii="Times New Roman" w:cs="Times New Roman" w:eastAsia="Times New Roman" w:hAnsi="Times New Roman"/>
          <w:sz w:val="24"/>
          <w:szCs w:val="24"/>
        </w:rPr>
        <w:t xml:space="preserve">A configuração fica no ficheiro uan.env, criado a partir de uan.env.exemplo e nunca guardado no repositório. As variáveis essenciais são UAN_MODELO (pasta do modelo; vazio activa um classificador de demonstração), UAN_SEGREDO_HASH (segredo dos pseudónimos, gerado ao acaso com o terceiro comando e nunca mudado depois da primeira recolha), UAN_YOUTUBE_CHAVE (chave da YouTube Data API v3) e, para os alertas por e-mail, UAN_SMTP_SERVIDOR e UAN_SMTP_REMETENTE. O comando verificar-config mostra que ficheiro é lido e que variáveis estão definidas, sem os valores.</w:t>
      </w:r>
    </w:p>
    <w:p>
      <w:pPr>
        <w:pStyle w:val="Heading2"/>
        <w:keepNext/>
        <w:keepLines/>
        <w:spacing w:after="160" w:before="360" w:line="300"/>
      </w:pPr>
      <w:r>
        <w:rPr>
          <w:rFonts w:ascii="Times New Roman" w:cs="Times New Roman" w:eastAsia="Times New Roman" w:hAnsi="Times New Roman"/>
          <w:b/>
          <w:bCs/>
          <w:sz w:val="26"/>
          <w:szCs w:val="26"/>
        </w:rPr>
        <w:t xml:space="preserve">F.2 Arranque e utilização</w:t>
      </w:r>
    </w:p>
    <w:p>
      <w:pPr>
        <w:shd w:fill="F4F3EF" w:color="auto" w:val="clear"/>
        <w:spacing w:after="0" w:before="120" w:line="220"/>
        <w:ind w:left="113" w:right="113"/>
      </w:pPr>
      <w:r>
        <w:rPr>
          <w:rFonts w:ascii="Courier New" w:cs="Courier New" w:eastAsia="Courier New" w:hAnsi="Courier New"/>
          <w:sz w:val="15"/>
          <w:szCs w:val="15"/>
        </w:rPr>
        <w:t xml:space="preserve">python uan.py servir</w:t>
      </w:r>
    </w:p>
    <w:p>
      <w:pPr>
        <w:shd w:fill="F4F3EF" w:color="auto" w:val="clear"/>
        <w:spacing w:after="200" w:before="0" w:line="220"/>
        <w:ind w:left="113" w:right="113"/>
      </w:pPr>
      <w:r>
        <w:rPr>
          <w:rFonts w:ascii="Courier New" w:cs="Courier New" w:eastAsia="Courier New" w:hAnsi="Courier New"/>
          <w:sz w:val="15"/>
          <w:szCs w:val="15"/>
        </w:rPr>
        <w:t xml:space="preserve">python uan.py servir --demonstracao</w:t>
      </w:r>
    </w:p>
    <w:p>
      <w:pPr>
        <w:spacing w:after="120" w:before="0" w:line="360"/>
        <w:ind w:firstLine="567"/>
        <w:jc w:val="both"/>
      </w:pPr>
      <w:r>
        <w:rPr>
          <w:rFonts w:ascii="Times New Roman" w:cs="Times New Roman" w:eastAsia="Times New Roman" w:hAnsi="Times New Roman"/>
          <w:sz w:val="24"/>
          <w:szCs w:val="24"/>
        </w:rPr>
        <w:t xml:space="preserve">O sistema abre em http://127.0.0.1:8000. Na primeira utilização pede a conta do supervisor, que cria as dos analistas em Utilizadores. O modo de demonstração usa a base dados\demonstracao.db, com dados fictícios e as contas demo.supervisor, demo.analista e demo.revisor (palavra-passe demonstracao); o supervisor pode trocar de modo com o sistema aberto. Na fila, as teclas 1 a 4 decidem, J e K mudam de item, U desfaz, D abre o detalhe e ? mostra todos os atalhos; Ctrl+K abre a procura de páginas e acções. Em Fontes e recolha, o supervisor cola um ou vários endereços (vídeo, canal, lista ou pesquisa do YouTube, feed, página ou sítio), recolhe a pedido e escolhe a frequência da recolha automática. Cada utilizador gera em A minha conta o seu código de recuperação; quem se esquece da palavra-passe usa a ligação “Esqueceu-se da palavra-passe?” na entrada.</w:t>
      </w:r>
    </w:p>
    <w:p>
      <w:pPr>
        <w:pStyle w:val="Heading2"/>
        <w:keepNext/>
        <w:keepLines/>
        <w:spacing w:after="160" w:before="360" w:line="300"/>
      </w:pPr>
      <w:r>
        <w:rPr>
          <w:rFonts w:ascii="Times New Roman" w:cs="Times New Roman" w:eastAsia="Times New Roman" w:hAnsi="Times New Roman"/>
          <w:b/>
          <w:bCs/>
          <w:sz w:val="26"/>
          <w:szCs w:val="26"/>
        </w:rPr>
        <w:t xml:space="preserve">F.3 Linha de comandos</w:t>
      </w:r>
    </w:p>
    <w:p>
      <w:pPr>
        <w:spacing w:after="120" w:before="0" w:line="360"/>
        <w:ind w:firstLine="567"/>
        <w:jc w:val="both"/>
      </w:pPr>
      <w:r>
        <w:rPr>
          <w:rFonts w:ascii="Times New Roman" w:cs="Times New Roman" w:eastAsia="Times New Roman" w:hAnsi="Times New Roman"/>
          <w:sz w:val="24"/>
          <w:szCs w:val="24"/>
        </w:rPr>
        <w:t xml:space="preserve">A Tabela F.1 resume os comandos do sistema.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 [--demonstracao]</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repor-senha utilizador [--temporaria]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Repõe a palavra-passe e desbloqueia 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--endereco URL "termos"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fontes; o tipo é detectado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alertas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Verifica tendências e envia os alertas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relatorio --dias 30 --email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de alertas do período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 /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Métricas operacionais;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 /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Prazo de conservação; cópia de segurança</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modelo treinado no Google Colab deve ser guardado no formato da biblioteca Transformers, com o ficheiro colab_guardar_modelo.py, e acompanhado do ficheiro ficha_modelo.json, que a página Sobre o modelo apresenta.</w:t>
      </w:r>
    </w:p>
    <w:p>
      <w:pPr>
        <w:pStyle w:val="Heading2"/>
        <w:keepNext/>
        <w:keepLines/>
        <w:spacing w:after="160" w:before="360" w:line="300"/>
      </w:pPr>
      <w:r>
        <w:rPr>
          <w:rFonts w:ascii="Times New Roman" w:cs="Times New Roman" w:eastAsia="Times New Roman" w:hAnsi="Times New Roman"/>
          <w:b/>
          <w:bCs/>
          <w:sz w:val="26"/>
          <w:szCs w:val="26"/>
        </w:rPr>
        <w:t xml:space="preserve">F.4 Verificação dos requisitos</w:t>
      </w:r>
    </w:p>
    <w:p>
      <w:pPr>
        <w:spacing w:after="120" w:before="0" w:line="360"/>
        <w:ind w:firstLine="567"/>
        <w:jc w:val="both"/>
      </w:pPr>
      <w:r>
        <w:rPr>
          <w:rFonts w:ascii="Times New Roman" w:cs="Times New Roman" w:eastAsia="Times New Roman" w:hAnsi="Times New Roman"/>
          <w:sz w:val="24"/>
          <w:szCs w:val="24"/>
        </w:rPr>
        <w:t xml:space="preserve">A Tabela F.2 liga cada requisito da Tabela 3.4 aos testes automáticos que o verificam; cada teste conta no requisito principal, e o do fluxo completo cobre também RF2 a RF6. Os 121 testes passam na versão final.</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Requisitos e testes automáticos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800"/>
        <w:gridCol w:w="63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Req.</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7"/>
                <w:szCs w:val="17"/>
              </w:rPr>
              <w:t xml:space="preserve">Testes</w:t>
            </w:r>
          </w:p>
        </w:tc>
        <w:tc>
          <w:tcPr>
            <w:tcW w:type="dxa" w:w="6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O que verificam (exemplos)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30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Detecção do tipo de fonte; robots.txt; páginas com conta excluídas; YouTube e RSS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RF2–RF3</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4</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Importação com proveniência; máscaras; pseudónimo dependente do segredo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5</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Migração de bases antigas; prazo de conservação; cópia de segurança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7</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Carregamento do modelo; gravação por sublotes; API protegida por chave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RF6</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5</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Prioridade 1 − P(Normal); decisão e anulação na fila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RF7–RF8</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2</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Fluxo completo (importar, classificar, rever, métricas, exportar); κ</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11</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Palavras-passe, bloqueio, papéis, CSRF, fim da sessão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6</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Revisão cega; amostra de controlo reprodutível; dois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RF11</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Alertas só de decisões humanas; tendência normalizada; e-mail sem texto nem autor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RF12</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11</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18 províncias; topónimos ambíguos; taxa com mínimo de casos; séries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RF13–RF14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3</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com tendências; fluxo alerta–mapa–relatório; Sobre o modelo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4</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Modo de demonstração; dados fictícios reprodutíveis; troca de modo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RF16</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6</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Recolha periódica; fontes inactivas; quota; chave nunca exposta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RF17</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Código de uso único; pedido ao supervisor; reposição local</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Outros</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7</w:t>
            </w:r>
          </w:p>
        </w:tc>
        <w:tc>
          <w:tcPr>
            <w:tcW w:type="dxa" w:w="6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Configuração sem segredos à vista; aspecto; visita guiada</w:t>
            </w:r>
          </w:p>
        </w:tc>
      </w:tr>
    </w:tbl>
    <w:sectPr>
      <w:headerReference w:type="default" r:id="rId39"/>
      <w:footerReference w:type="default" r:id="rId40"/>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G</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6 – Recomendações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image" Target="media/c816aef37e22984724a83e3e10c5dd351647ae01.png"/><Relationship Id="rId42" Type="http://schemas.openxmlformats.org/officeDocument/2006/relationships/image" Target="media/c109c6b9ce633d91afc6e89bbdb8ab4873404065.png"/><Relationship Id="rId43" Type="http://schemas.openxmlformats.org/officeDocument/2006/relationships/image" Target="media/5be778db715b7aa4e89c0d547cc98872a2b22911.png"/><Relationship Id="rId44" Type="http://schemas.openxmlformats.org/officeDocument/2006/relationships/image" Target="media/f3a51382c5cf1e4cbde2ae43cd64aa5a620ad4ff.png"/><Relationship Id="rId45" Type="http://schemas.openxmlformats.org/officeDocument/2006/relationships/image" Target="media/5d950866185848d2980b210f993a4b648df4ea71.png"/><Relationship Id="rId46" Type="http://schemas.openxmlformats.org/officeDocument/2006/relationships/image" Target="media/e17474243c328ebd835d6d2930973bcca8c1916e.png"/><Relationship Id="rId47" Type="http://schemas.openxmlformats.org/officeDocument/2006/relationships/image" Target="media/e7bca9b24f2643deb8c15aaca03c7976804397ec.png"/><Relationship Id="rId48" Type="http://schemas.openxmlformats.org/officeDocument/2006/relationships/image" Target="media/ed14317e7338b44f5b563c294fe1ad83a252e79c.png"/><Relationship Id="rId49" Type="http://schemas.openxmlformats.org/officeDocument/2006/relationships/image" Target="media/760dcdb0bcdc29efd263e9d80fa38c7a1268af70.png"/><Relationship Id="rId50" Type="http://schemas.openxmlformats.org/officeDocument/2006/relationships/image" Target="media/6cd90355a90d575798805a8f0cc9404567b41a6d.png"/><Relationship Id="rId51" Type="http://schemas.openxmlformats.org/officeDocument/2006/relationships/image" Target="media/54e2f39674e5da3a7f2e05f33d61775a0cea0edb.png"/><Relationship Id="rId52" Type="http://schemas.openxmlformats.org/officeDocument/2006/relationships/image" Target="media/bc6783565b89f7be4fec30e85afd5949b6d7914a.png"/><Relationship Id="rId53" Type="http://schemas.openxmlformats.org/officeDocument/2006/relationships/image" Target="media/0726c9ab28b87713202ffdf74a24b552f72c5b2e.png"/><Relationship Id="rId54" Type="http://schemas.openxmlformats.org/officeDocument/2006/relationships/image" Target="media/95b3dbf413b63a0eedf5f1ca9f4e92d6d0d189b7.png"/><Relationship Id="rId55" Type="http://schemas.openxmlformats.org/officeDocument/2006/relationships/image" Target="media/115dc5f3dd6cafdadaba5dd89c79eb1d3768a10d.png"/><Relationship Id="rId56" Type="http://schemas.openxmlformats.org/officeDocument/2006/relationships/image" Target="media/3ada2f9ff4d717b97e71d13c161f43fc88490f57.png"/><Relationship Id="rId57" Type="http://schemas.openxmlformats.org/officeDocument/2006/relationships/image" Target="media/2a9aeda44079fe022dfaa1ebbbb190c81bb7e08c.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2026-10-27T23:59:54.442Z</dcterms:created>
  <dcterms:modified xsi:type="dcterms:W3CDTF">2026-10-27T23:59:54.443Z</dcterms:modified>
</cp:coreProperties>
</file>

<file path=docProps/custom.xml><?xml version="1.0" encoding="utf-8"?>
<Properties xmlns="http://schemas.openxmlformats.org/officeDocument/2006/custom-properties" xmlns:vt="http://schemas.openxmlformats.org/officeDocument/2006/docPropsVTypes"/>
</file>