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1.0.0 -->
  <w:body>
    <w:p w:rsidR="00A77B3E">
      <w:pPr>
        <w:pStyle w:val="Heading1"/>
      </w:pPr>
      <w:r>
        <w:t>Literaturverzeichnis</w:t>
      </w:r>
    </w:p>
    <w:p w:rsidR="00A77B3E">
      <w:pPr>
        <w:pStyle w:val="CitaviLiteraturverzeichnis"/>
      </w:pPr>
      <w:r>
        <w:rPr>
          <w:highlight w:val="none"/>
          <w:rtl w:val="0"/>
        </w:rPr>
        <w:t>Cook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The CO2/Temperature correlation over the 20th Century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https://skepticalscience.com/The-CO2-Temperature-correlation-over-the-20th-Century.html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08.12.2019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Cuffey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K. M.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Paterson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W. S. B.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The physics of glaciers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4</w:t>
      </w:r>
      <w:r>
        <w:rPr>
          <w:highlight w:val="none"/>
          <w:rtl w:val="0"/>
        </w:rPr>
        <w:t>th rev. ed.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Amsterdam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London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Butterworth-Heinemann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Lieb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G. Karl</w:t>
      </w:r>
      <w:r>
        <w:rPr>
          <w:highlight w:val="none"/>
          <w:rtl w:val="0"/>
        </w:rPr>
        <w:t xml:space="preserve">; </w:t>
      </w:r>
      <w:r>
        <w:rPr>
          <w:highlight w:val="none"/>
          <w:rtl w:val="0"/>
        </w:rPr>
        <w:t>Slupetzky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H.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2011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Die Pasterze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>Salzburg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A. Pustet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Oerlemans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J.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2010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The Microclimate of Valley Glaciers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Igitur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Wakonigg, Breininger and Wakonigg, Herwig and Lieb, Gerhard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Längenänderung der Pasterze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Online verfügbar unter </w:t>
      </w:r>
      <w:r>
        <w:rPr>
          <w:highlight w:val="none"/>
          <w:rtl w:val="0"/>
        </w:rPr>
        <w:t>https://geographie.uni-graz.at/de/forschung/forschungsgruppen/aladyn/projekte/pasterze/messergebnisse/laengenaenderung/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zuletzt geprüft am </w:t>
      </w:r>
      <w:r>
        <w:rPr>
          <w:highlight w:val="none"/>
          <w:rtl w:val="0"/>
        </w:rPr>
        <w:t>13.12.2019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Wild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2009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Global dimming and brightening: A review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highlight w:val="none"/>
          <w:rtl w:val="0"/>
        </w:rPr>
        <w:t>J. Geophys. Res.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114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21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1319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10.1029/2008</w:t>
      </w:r>
      <w:r>
        <w:rPr>
          <w:highlight w:val="none"/>
          <w:rtl w:val="0"/>
        </w:rPr>
        <w:t>jd011470</w:t>
      </w:r>
      <w:r>
        <w:rPr>
          <w:highlight w:val="none"/>
          <w:rtl w:val="0"/>
        </w:rPr>
        <w:t>.</w:t>
      </w:r>
    </w:p>
    <w:p>
      <w:pPr>
        <w:pStyle w:val="CitaviLiteraturverzeichnis"/>
        <w:rPr>
          <w:highlight w:val="none"/>
          <w:rtl w:val="0"/>
        </w:rPr>
      </w:pPr>
      <w:r>
        <w:rPr>
          <w:highlight w:val="none"/>
          <w:rtl w:val="0"/>
        </w:rPr>
        <w:t>Wild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M.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(</w:t>
      </w:r>
      <w:r>
        <w:rPr>
          <w:highlight w:val="none"/>
          <w:rtl w:val="0"/>
        </w:rPr>
        <w:t>2012</w:t>
      </w:r>
      <w:r>
        <w:rPr>
          <w:highlight w:val="none"/>
          <w:rtl w:val="0"/>
        </w:rPr>
        <w:t>)</w:t>
      </w:r>
      <w:r>
        <w:rPr>
          <w:highlight w:val="none"/>
          <w:rtl w:val="0"/>
        </w:rPr>
        <w:t xml:space="preserve">: </w:t>
      </w:r>
      <w:r>
        <w:rPr>
          <w:highlight w:val="none"/>
          <w:rtl w:val="0"/>
        </w:rPr>
        <w:t>Enlightening Global Dimming and Brightening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In: </w:t>
      </w:r>
      <w:r>
        <w:rPr>
          <w:highlight w:val="none"/>
          <w:rtl w:val="0"/>
        </w:rPr>
        <w:t>Bull. Amer. Meteor. Soc.</w:t>
      </w:r>
      <w:r>
        <w:rPr>
          <w:highlight w:val="none"/>
          <w:rtl w:val="0"/>
        </w:rPr>
        <w:t xml:space="preserve"> </w:t>
      </w:r>
      <w:r>
        <w:rPr>
          <w:highlight w:val="none"/>
          <w:rtl w:val="0"/>
        </w:rPr>
        <w:t>93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>1</w:t>
      </w:r>
      <w:r>
        <w:rPr>
          <w:highlight w:val="none"/>
          <w:rtl w:val="0"/>
        </w:rPr>
        <w:t xml:space="preserve">, </w:t>
      </w:r>
      <w:r>
        <w:rPr>
          <w:highlight w:val="none"/>
          <w:rtl w:val="0"/>
        </w:rPr>
        <w:t xml:space="preserve">S. </w:t>
      </w:r>
      <w:r>
        <w:rPr>
          <w:highlight w:val="none"/>
          <w:rtl w:val="0"/>
        </w:rPr>
        <w:t>27</w:t>
      </w:r>
      <w:r>
        <w:rPr>
          <w:highlight w:val="none"/>
          <w:rtl w:val="0"/>
        </w:rPr>
        <w:t>–</w:t>
      </w:r>
      <w:r>
        <w:rPr>
          <w:highlight w:val="none"/>
          <w:rtl w:val="0"/>
        </w:rPr>
        <w:t>37</w:t>
      </w:r>
      <w:r>
        <w:rPr>
          <w:highlight w:val="none"/>
          <w:rtl w:val="0"/>
        </w:rPr>
        <w:t xml:space="preserve">. </w:t>
      </w:r>
      <w:r>
        <w:rPr>
          <w:highlight w:val="none"/>
          <w:rtl w:val="0"/>
        </w:rPr>
        <w:t xml:space="preserve">DOI: </w:t>
      </w:r>
      <w:r>
        <w:rPr>
          <w:highlight w:val="none"/>
          <w:rtl w:val="0"/>
        </w:rPr>
        <w:t>10.1175/</w:t>
      </w:r>
      <w:r>
        <w:rPr>
          <w:highlight w:val="none"/>
          <w:rtl w:val="0"/>
        </w:rPr>
        <w:t>bams-d-11-00074.1</w:t>
      </w:r>
      <w:r>
        <w:rPr>
          <w:highlight w:val="none"/>
          <w:rtl w:val="0"/>
        </w:rPr>
        <w:t>.</w:t>
      </w:r>
    </w:p>
    <w:sectPr>
      <w:pgSz w:w="11906" w:h="16838"/>
      <w:pgMar w:top="567" w:right="567" w:bottom="567" w:left="1134" w:header="850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0" w:after="120"/>
    </w:pPr>
    <w:rPr>
      <w:rFonts w:ascii="Segoe UI" w:eastAsia="Segoe UI" w:hAnsi="Segoe UI" w:cs="Segoe UI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before="0" w:after="720"/>
      <w:outlineLvl w:val="0"/>
    </w:pPr>
    <w:rPr>
      <w:rFonts w:ascii="Segoe UI" w:eastAsia="Segoe UI" w:hAnsi="Segoe UI" w:cs="Segoe UI"/>
      <w:b/>
      <w:bCs/>
      <w:i w:val="0"/>
      <w:iCs w:val="0"/>
      <w:kern w:val="32"/>
      <w:sz w:val="30"/>
      <w:szCs w:val="30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20" w:after="480"/>
      <w:outlineLvl w:val="1"/>
    </w:pPr>
    <w:rPr>
      <w:rFonts w:ascii="Segoe UI" w:eastAsia="Segoe UI" w:hAnsi="Segoe UI" w:cs="Segoe UI"/>
      <w:b/>
      <w:bCs/>
      <w:i w:val="0"/>
      <w:iCs w:val="0"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480" w:after="120"/>
      <w:outlineLvl w:val="2"/>
    </w:pPr>
    <w:rPr>
      <w:rFonts w:ascii="Segoe UI" w:eastAsia="Segoe UI" w:hAnsi="Segoe UI" w:cs="Segoe UI"/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480" w:after="0"/>
      <w:outlineLvl w:val="3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480" w:after="0"/>
      <w:outlineLvl w:val="4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480" w:after="0"/>
      <w:outlineLvl w:val="5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480" w:after="0"/>
      <w:outlineLvl w:val="6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480" w:after="0"/>
      <w:outlineLvl w:val="7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480" w:after="0"/>
      <w:outlineLvl w:val="8"/>
    </w:pPr>
    <w:rPr>
      <w:rFonts w:ascii="Segoe UI" w:eastAsia="Segoe UI" w:hAnsi="Segoe UI" w:cs="Segoe UI"/>
      <w:b w:val="0"/>
      <w:bCs w:val="0"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80" w:after="0"/>
      <w:jc w:val="left"/>
      <w:outlineLvl w:val="9"/>
    </w:pPr>
    <w:rPr>
      <w:rFonts w:ascii="Segoe UI" w:eastAsia="Segoe UI" w:hAnsi="Segoe UI" w:cs="Segoe UI"/>
      <w:b w:val="0"/>
      <w:bCs w:val="0"/>
      <w:i w:val="0"/>
      <w:iCs w:val="0"/>
      <w:color w:val="15428B"/>
      <w:sz w:val="20"/>
      <w:szCs w:val="20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720" w:after="240"/>
      <w:jc w:val="left"/>
      <w:outlineLvl w:val="9"/>
    </w:pPr>
    <w:rPr>
      <w:rFonts w:ascii="Segoe UI" w:eastAsia="Segoe UI" w:hAnsi="Segoe UI" w:cs="Segoe UI"/>
      <w:b/>
      <w:bCs w:val="0"/>
      <w:i w:val="0"/>
      <w:iCs w:val="0"/>
      <w:color w:val="000000"/>
      <w:kern w:val="28"/>
      <w:sz w:val="20"/>
      <w:szCs w:val="20"/>
    </w:rPr>
  </w:style>
  <w:style w:type="paragraph" w:styleId="FootnoteText">
    <w:name w:val="footnote text"/>
    <w:basedOn w:val="Normal"/>
    <w:rsid w:val="00805BCE"/>
    <w:pPr>
      <w:spacing w:before="0" w:after="0"/>
      <w:ind w:left="227" w:hanging="227"/>
    </w:pPr>
    <w:rPr>
      <w:rFonts w:cs="Segoe UI"/>
      <w:bCs w:val="0"/>
      <w:iCs w:val="0"/>
      <w:sz w:val="16"/>
      <w:szCs w:val="16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20"/>
      <w:ind w:left="567" w:hanging="567"/>
    </w:pPr>
    <w:rPr>
      <w:rFonts w:ascii="Segoe UI" w:eastAsia="Segoe UI" w:hAnsi="Segoe UI" w:cs="Segoe UI"/>
      <w:b/>
      <w:bCs/>
      <w:iCs w:val="0"/>
      <w:szCs w:val="18"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20"/>
      <w:ind w:left="1134" w:hanging="567"/>
    </w:pPr>
    <w:rPr>
      <w:rFonts w:ascii="Segoe UI" w:eastAsia="Segoe UI" w:hAnsi="Segoe UI" w:cs="Segoe UI"/>
      <w:bCs w:val="0"/>
      <w:i/>
      <w:iCs/>
      <w:szCs w:val="18"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  <w:rPr>
      <w:rFonts w:ascii="Segoe UI" w:eastAsia="Segoe UI" w:hAnsi="Segoe UI" w:cs="Segoe UI"/>
      <w:bCs w:val="0"/>
      <w:iCs w:val="0"/>
      <w:szCs w:val="18"/>
    </w:r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  <w:rPr>
      <w:rFonts w:ascii="Segoe UI" w:eastAsia="Segoe UI" w:hAnsi="Segoe UI" w:cs="Segoe UI"/>
      <w:bCs w:val="0"/>
      <w:iCs w:val="0"/>
      <w:szCs w:val="18"/>
    </w:r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  <w:rPr>
      <w:rFonts w:ascii="Segoe UI" w:eastAsia="Segoe UI" w:hAnsi="Segoe UI" w:cs="Segoe UI"/>
      <w:bCs w:val="0"/>
      <w:iCs w:val="0"/>
      <w:szCs w:val="18"/>
    </w:r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  <w:rPr>
      <w:rFonts w:ascii="Segoe UI" w:eastAsia="Segoe UI" w:hAnsi="Segoe UI" w:cs="Segoe UI"/>
      <w:bCs w:val="0"/>
      <w:iCs w:val="0"/>
      <w:szCs w:val="18"/>
    </w:r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  <w:rPr>
      <w:rFonts w:ascii="Segoe UI" w:eastAsia="Segoe UI" w:hAnsi="Segoe UI" w:cs="Segoe UI"/>
      <w:bCs w:val="0"/>
      <w:iCs w:val="0"/>
      <w:szCs w:val="18"/>
    </w:r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  <w:rPr>
      <w:rFonts w:ascii="Segoe UI" w:eastAsia="Segoe UI" w:hAnsi="Segoe UI" w:cs="Segoe UI"/>
      <w:bCs w:val="0"/>
      <w:iCs w:val="0"/>
      <w:szCs w:val="18"/>
    </w:r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  <w:rPr>
      <w:rFonts w:ascii="Segoe UI" w:eastAsia="Segoe UI" w:hAnsi="Segoe UI" w:cs="Segoe UI"/>
      <w:bCs w:val="0"/>
      <w:iCs w:val="0"/>
      <w:szCs w:val="18"/>
    </w:rPr>
  </w:style>
  <w:style w:type="paragraph" w:customStyle="1" w:styleId="CitaviLiteraturverzeichnis">
    <w:name w:val="Citavi Literaturverzeichnis"/>
    <w:basedOn w:val="Normal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