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GBPJPY ICT TRADING STRATEGY</w:t>
      </w:r>
    </w:p>
    <w:p>
      <w:pPr>
        <w:spacing w:after="100"/>
        <w:jc w:val="center"/>
      </w:pPr>
      <w:r>
        <w:rPr>
          <w:rFonts w:ascii="Arial" w:cs="Arial" w:eastAsia="Arial" w:hAnsi="Arial"/>
          <w:color w:val="555555"/>
          <w:sz w:val="28"/>
          <w:szCs w:val="28"/>
        </w:rPr>
        <w:t xml:space="preserve">Institutional Concept Framework for Automated Execution</w:t>
      </w:r>
    </w:p>
    <w:p>
      <w:pPr>
        <w:spacing w:after="600"/>
        <w:jc w:val="center"/>
      </w:pPr>
      <w:r>
        <w:rPr>
          <w:rFonts w:ascii="Arial" w:cs="Arial" w:eastAsia="Arial" w:hAnsi="Arial"/>
          <w:color w:val="777777"/>
          <w:sz w:val="22"/>
          <w:szCs w:val="22"/>
        </w:rPr>
        <w:t xml:space="preserve">Optimized for MT5 Expert Advisor | FTMO 10,000 EUR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Document Type</w:t>
            </w:r>
          </w:p>
        </w:tc>
        <w:tc>
          <w:tcPr>
            <w:tcW w:type="dxa" w:w="66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Strategy Research &amp; Implementation Guide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Target Pair</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GBP/JPY (The Beast)</w:t>
            </w:r>
          </w:p>
        </w:tc>
      </w:tr>
      <w:tr>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Account Size</w:t>
            </w:r>
          </w:p>
        </w:tc>
        <w:tc>
          <w:tcPr>
            <w:tcW w:type="dxa" w:w="66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10,000 EUR (FTMO Challenge)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Methodology</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ICT (Inner Circle Trader) Smart Money Concepts</w:t>
            </w:r>
          </w:p>
        </w:tc>
      </w:tr>
      <w:tr>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Execution</w:t>
            </w:r>
          </w:p>
        </w:tc>
        <w:tc>
          <w:tcPr>
            <w:tcW w:type="dxa" w:w="66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MQL5 Expert Advisor + FastAPI + Claude API Backend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2026-02-12</w:t>
            </w:r>
          </w:p>
        </w:tc>
      </w:tr>
    </w:tbl>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GBPJPY Session Analysis</w:t>
      </w:r>
    </w:p>
    <w:p>
      <w:pPr>
        <w:spacing w:after="120" w:line="276"/>
      </w:pPr>
      <w:r>
        <w:rPr>
          <w:rFonts w:ascii="Arial" w:cs="Arial" w:eastAsia="Arial" w:hAnsi="Arial"/>
          <w:sz w:val="21"/>
          <w:szCs w:val="21"/>
        </w:rPr>
        <w:t xml:space="preserve">GBPJPY is one of the most volatile major cross pairs in forex, often referred to as "The Beast" due to its wide daily ranges and rapid price movements. Understanding session-specific behavior is critical for an ICT-based automated strategy, as institutional order flow varies significantly across the three major trading sessions.</w:t>
      </w:r>
    </w:p>
    <w:p>
      <w:pPr>
        <w:pStyle w:val="Heading2"/>
        <w:spacing w:before="280" w:after="160"/>
      </w:pPr>
      <w:r>
        <w:rPr>
          <w:rFonts w:ascii="Arial" w:cs="Arial" w:eastAsia="Arial" w:hAnsi="Arial"/>
          <w:b/>
          <w:bCs/>
          <w:color w:val="2A5F8F"/>
          <w:sz w:val="26"/>
          <w:szCs w:val="26"/>
        </w:rPr>
        <w:t xml:space="preserve">1.1 Session Volatility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Characteristic</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London (07:00–16:00)</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New York (12:00–21:00)</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Asian (23:00–08:00)</w:t>
            </w:r>
          </w:p>
        </w:tc>
        <w:tc>
          <w:tcPr>
            <w:tcW w:type="dxa" w:w="182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London–NY Overlap</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Volatility Level</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Very High</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Low–Moderate</w:t>
            </w:r>
          </w:p>
        </w:tc>
        <w:tc>
          <w:tcPr>
            <w:tcW w:type="dxa" w:w="1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Highest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Avg Session Range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80–120 pips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60–90 pips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30–60 pips</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100–150 pips</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Typical Spread</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2–4 pips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 pips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6–12 pips</w:t>
            </w:r>
          </w:p>
        </w:tc>
        <w:tc>
          <w:tcPr>
            <w:tcW w:type="dxa" w:w="1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1.5–3 pips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ICT Setup Quality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Good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Poor</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Excellent</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Institutional Flow</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Strongest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Strong</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Minimal</w:t>
            </w:r>
          </w:p>
        </w:tc>
        <w:tc>
          <w:tcPr>
            <w:tcW w:type="dxa" w:w="1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Peak</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Recommended?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SECONDARY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AVOID</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w:t>
            </w:r>
          </w:p>
        </w:tc>
      </w:tr>
    </w:tbl>
    <w:p>
      <w:pPr>
        <w:spacing w:after="120" w:line="276"/>
      </w:pPr>
      <w:r>
        <w:rPr>
          <w:rFonts w:ascii="Arial" w:cs="Arial" w:eastAsia="Arial" w:hAnsi="Arial"/>
          <w:sz w:val="21"/>
          <w:szCs w:val="21"/>
        </w:rPr>
        <w:t xml:space="preserve"/>
      </w:r>
    </w:p>
    <w:p>
      <w:pPr>
        <w:pStyle w:val="Heading2"/>
        <w:spacing w:before="280" w:after="160"/>
      </w:pPr>
      <w:r>
        <w:rPr>
          <w:rFonts w:ascii="Arial" w:cs="Arial" w:eastAsia="Arial" w:hAnsi="Arial"/>
          <w:b/>
          <w:bCs/>
          <w:color w:val="2A5F8F"/>
          <w:sz w:val="26"/>
          <w:szCs w:val="26"/>
        </w:rPr>
        <w:t xml:space="preserve">1.2 Average Daily Range (ADR)</w:t>
      </w:r>
    </w:p>
    <w:p>
      <w:pPr>
        <w:spacing w:after="120" w:line="276"/>
      </w:pPr>
      <w:r>
        <w:rPr>
          <w:rFonts w:ascii="Arial" w:cs="Arial" w:eastAsia="Arial" w:hAnsi="Arial"/>
          <w:sz w:val="21"/>
          <w:szCs w:val="21"/>
        </w:rPr>
        <w:t xml:space="preserve">GBPJPY consistently delivers an Average Daily Range (ADR) of 120–150 pips, approximately twice the ADR of EUR/USD. This elevated volatility creates substantial opportunities for ICT-based setups but demands disciplined risk management. The wide ADR means stop losses must be appropriately sized (typically 30–70 pips for M15 entries), but reward targets can reach 100+ pips on strong trending days.</w:t>
      </w:r>
    </w:p>
    <w:p>
      <w:pPr>
        <w:pStyle w:val="Heading2"/>
        <w:spacing w:before="280" w:after="160"/>
      </w:pPr>
      <w:r>
        <w:rPr>
          <w:rFonts w:ascii="Arial" w:cs="Arial" w:eastAsia="Arial" w:hAnsi="Arial"/>
          <w:b/>
          <w:bCs/>
          <w:color w:val="2A5F8F"/>
          <w:sz w:val="26"/>
          <w:szCs w:val="26"/>
        </w:rPr>
        <w:t xml:space="preserve">1.3 Highest-Probability Session for ICT Setups</w:t>
      </w:r>
    </w:p>
    <w:p>
      <w:pPr>
        <w:spacing w:after="120" w:line="276"/>
      </w:pPr>
      <w:r>
        <w:rPr>
          <w:rFonts w:ascii="Arial" w:cs="Arial" w:eastAsia="Arial" w:hAnsi="Arial"/>
          <w:sz w:val="21"/>
          <w:szCs w:val="21"/>
        </w:rPr>
        <w:t xml:space="preserve">The London session (07:00–11:00 UTC specifically) consistently produces the highest-probability ICT setups for GBPJPY. This is driven by three factors:</w:t>
      </w:r>
    </w:p>
    <w:p>
      <w:pPr>
        <w:pStyle w:val="ListParagraph"/>
        <w:numPr>
          <w:ilvl w:val="0"/>
          <w:numId w:val="2"/>
        </w:numPr>
        <w:spacing w:after="80" w:line="276"/>
      </w:pPr>
      <w:r>
        <w:rPr>
          <w:rFonts w:ascii="Arial" w:cs="Arial" w:eastAsia="Arial" w:hAnsi="Arial"/>
          <w:b/>
          <w:bCs/>
          <w:sz w:val="21"/>
          <w:szCs w:val="21"/>
        </w:rPr>
        <w:t xml:space="preserve">Institutional Order Flow: </w:t>
      </w:r>
      <w:r>
        <w:rPr>
          <w:rFonts w:ascii="Arial" w:cs="Arial" w:eastAsia="Arial" w:hAnsi="Arial"/>
          <w:sz w:val="21"/>
          <w:szCs w:val="21"/>
        </w:rPr>
        <w:t xml:space="preserve">The Bank of England and major London-based institutions execute primary GBP orders during this window, creating the displacement and market structure shifts that ICT methodology relies upon.</w:t>
      </w:r>
    </w:p>
    <w:p>
      <w:pPr>
        <w:pStyle w:val="ListParagraph"/>
        <w:numPr>
          <w:ilvl w:val="0"/>
          <w:numId w:val="2"/>
        </w:numPr>
        <w:spacing w:after="80" w:line="276"/>
      </w:pPr>
      <w:r>
        <w:rPr>
          <w:rFonts w:ascii="Arial" w:cs="Arial" w:eastAsia="Arial" w:hAnsi="Arial"/>
          <w:b/>
          <w:bCs/>
          <w:sz w:val="21"/>
          <w:szCs w:val="21"/>
        </w:rPr>
        <w:t xml:space="preserve">Liquidity Depth: </w:t>
      </w:r>
      <w:r>
        <w:rPr>
          <w:rFonts w:ascii="Arial" w:cs="Arial" w:eastAsia="Arial" w:hAnsi="Arial"/>
          <w:sz w:val="21"/>
          <w:szCs w:val="21"/>
        </w:rPr>
        <w:t xml:space="preserve">Tightest spreads and deepest order book depth occur during London hours, reducing slippage and improving fill quality for automated execution.</w:t>
      </w:r>
    </w:p>
    <w:p>
      <w:pPr>
        <w:pStyle w:val="ListParagraph"/>
        <w:numPr>
          <w:ilvl w:val="0"/>
          <w:numId w:val="2"/>
        </w:numPr>
        <w:spacing w:after="80" w:line="276"/>
      </w:pPr>
      <w:r>
        <w:rPr>
          <w:rFonts w:ascii="Arial" w:cs="Arial" w:eastAsia="Arial" w:hAnsi="Arial"/>
          <w:b/>
          <w:bCs/>
          <w:sz w:val="21"/>
          <w:szCs w:val="21"/>
        </w:rPr>
        <w:t xml:space="preserve">JPY Carry Unwind: </w:t>
      </w:r>
      <w:r>
        <w:rPr>
          <w:rFonts w:ascii="Arial" w:cs="Arial" w:eastAsia="Arial" w:hAnsi="Arial"/>
          <w:sz w:val="21"/>
          <w:szCs w:val="21"/>
        </w:rPr>
        <w:t xml:space="preserve">Asian session positioning frequently gets unwound during London open, creating the liquidity sweeps and stop hunts that precede high-probability ICT entries.</w:t>
      </w:r>
    </w:p>
    <w:p>
      <w:pPr>
        <w:spacing w:after="120" w:line="276"/>
      </w:pPr>
      <w:r>
        <w:rPr>
          <w:rFonts w:ascii="Arial" w:cs="Arial" w:eastAsia="Arial" w:hAnsi="Arial"/>
          <w:sz w:val="21"/>
          <w:szCs w:val="21"/>
        </w:rPr>
        <w:t xml:space="preserve">The London–New York overlap (12:00–16:00 UTC) serves as a secondary high-probability window, particularly when London session establishes a clear directional bias that New York institutional flow confirms.</w:t>
      </w:r>
    </w:p>
    <w:p>
      <w:pPr>
        <w:pStyle w:val="Heading2"/>
        <w:spacing w:before="280" w:after="160"/>
      </w:pPr>
      <w:r>
        <w:rPr>
          <w:rFonts w:ascii="Arial" w:cs="Arial" w:eastAsia="Arial" w:hAnsi="Arial"/>
          <w:b/>
          <w:bCs/>
          <w:color w:val="2A5F8F"/>
          <w:sz w:val="26"/>
          <w:szCs w:val="26"/>
        </w:rPr>
        <w:t xml:space="preserve">1.4 Correlation Considerations</w:t>
      </w:r>
    </w:p>
    <w:p>
      <w:pPr>
        <w:spacing w:after="120" w:line="276"/>
      </w:pPr>
      <w:r>
        <w:rPr>
          <w:rFonts w:ascii="Arial" w:cs="Arial" w:eastAsia="Arial" w:hAnsi="Arial"/>
          <w:sz w:val="21"/>
          <w:szCs w:val="21"/>
        </w:rPr>
        <w:t xml:space="preserve">GBPJPY exhibits a +94% correlation with GBP/USD and a +83% correlation with USD/JPY. This means GBPJPY is effectively a composite of both GBP strength and JPY weakness dynamics. For portfolio management, running simultaneous positions on GBPJPY and either GBP/USD or USD/JPY creates significant correlation risk. The EA should check for open positions on correlated pairs before entering new GBPJPY trades.</w:t>
      </w:r>
    </w:p>
    <w:p>
      <w:r>
        <w:br w:type="page"/>
      </w:r>
    </w:p>
    <w:p>
      <w:pPr>
        <w:pStyle w:val="Heading1"/>
        <w:spacing w:before="360" w:after="200"/>
      </w:pPr>
      <w:r>
        <w:rPr>
          <w:rFonts w:ascii="Arial" w:cs="Arial" w:eastAsia="Arial" w:hAnsi="Arial"/>
          <w:b/>
          <w:bCs/>
          <w:color w:val="1B3A5C"/>
          <w:sz w:val="32"/>
          <w:szCs w:val="32"/>
        </w:rPr>
        <w:t xml:space="preserve">2. ICT Entry Criteria</w:t>
      </w:r>
    </w:p>
    <w:p>
      <w:pPr>
        <w:pStyle w:val="Heading2"/>
        <w:spacing w:before="280" w:after="160"/>
      </w:pPr>
      <w:r>
        <w:rPr>
          <w:rFonts w:ascii="Arial" w:cs="Arial" w:eastAsia="Arial" w:hAnsi="Arial"/>
          <w:b/>
          <w:bCs/>
          <w:color w:val="2A5F8F"/>
          <w:sz w:val="26"/>
          <w:szCs w:val="26"/>
        </w:rPr>
        <w:t xml:space="preserve">2.1 Market Structure Shift (MSS) — Entry Signal</w:t>
      </w:r>
    </w:p>
    <w:p>
      <w:pPr>
        <w:spacing w:after="120" w:line="276"/>
      </w:pPr>
      <w:r>
        <w:rPr>
          <w:rFonts w:ascii="Arial" w:cs="Arial" w:eastAsia="Arial" w:hAnsi="Arial"/>
          <w:sz w:val="21"/>
          <w:szCs w:val="21"/>
        </w:rPr>
        <w:t xml:space="preserve">A Market Structure Shift is the primary entry trigger in this strategy. MSS is distinct from a Break of Structure (BOS): while BOS confirms trend continuation, MSS signals a potential reversal — the early warning that institutional order flow is changing direction.</w:t>
      </w:r>
    </w:p>
    <w:p>
      <w:pPr>
        <w:pStyle w:val="Heading3"/>
        <w:spacing w:before="200" w:after="120"/>
      </w:pPr>
      <w:r>
        <w:rPr>
          <w:rFonts w:ascii="Arial" w:cs="Arial" w:eastAsia="Arial" w:hAnsi="Arial"/>
          <w:b/>
          <w:bCs/>
          <w:color w:val="333333"/>
          <w:sz w:val="22"/>
          <w:szCs w:val="22"/>
        </w:rPr>
        <w:t xml:space="preserve">2.1.1 Bullish MSS Definition (M15 Timeframe)</w:t>
      </w:r>
    </w:p>
    <w:p>
      <w:pPr>
        <w:spacing w:after="120" w:line="276"/>
      </w:pPr>
      <w:r>
        <w:rPr>
          <w:rFonts w:ascii="Arial" w:cs="Arial" w:eastAsia="Arial" w:hAnsi="Arial"/>
          <w:sz w:val="21"/>
          <w:szCs w:val="21"/>
        </w:rPr>
        <w:t xml:space="preserve">A valid bullish MSS occurs when price breaks above the most recent lower high in a bearish structure, accompanied by displacement (an impulsive, rapid move through the level). The confirmation candle must close above the broken structure level, not merely wick through it. This signals that sell-side institutions have completed their distribution and buy-side flow is now dominant.</w:t>
      </w:r>
    </w:p>
    <w:p>
      <w:pPr>
        <w:pStyle w:val="Heading3"/>
        <w:spacing w:before="200" w:after="120"/>
      </w:pPr>
      <w:r>
        <w:rPr>
          <w:rFonts w:ascii="Arial" w:cs="Arial" w:eastAsia="Arial" w:hAnsi="Arial"/>
          <w:b/>
          <w:bCs/>
          <w:color w:val="333333"/>
          <w:sz w:val="22"/>
          <w:szCs w:val="22"/>
        </w:rPr>
        <w:t xml:space="preserve">2.1.2 Bearish MSS Definition (M15 Timeframe)</w:t>
      </w:r>
    </w:p>
    <w:p>
      <w:pPr>
        <w:spacing w:after="120" w:line="276"/>
      </w:pPr>
      <w:r>
        <w:rPr>
          <w:rFonts w:ascii="Arial" w:cs="Arial" w:eastAsia="Arial" w:hAnsi="Arial"/>
          <w:sz w:val="21"/>
          <w:szCs w:val="21"/>
        </w:rPr>
        <w:t xml:space="preserve">A valid bearish MSS occurs when price breaks below the most recent higher low in a bullish structure with displacement. The candle must close below the structure level. This indicates buy-side institutions have finished accumulation and sell-side pressure is taking control.</w:t>
      </w:r>
    </w:p>
    <w:p>
      <w:pPr>
        <w:pStyle w:val="Heading3"/>
        <w:spacing w:before="200" w:after="120"/>
      </w:pPr>
      <w:r>
        <w:rPr>
          <w:rFonts w:ascii="Arial" w:cs="Arial" w:eastAsia="Arial" w:hAnsi="Arial"/>
          <w:b/>
          <w:bCs/>
          <w:color w:val="333333"/>
          <w:sz w:val="22"/>
          <w:szCs w:val="22"/>
        </w:rPr>
        <w:t xml:space="preserve">2.1.3 MSS Validation Requirements</w:t>
      </w:r>
    </w:p>
    <w:p>
      <w:pPr>
        <w:pStyle w:val="ListParagraph"/>
        <w:numPr>
          <w:ilvl w:val="0"/>
          <w:numId w:val="2"/>
        </w:numPr>
        <w:spacing w:after="80" w:line="276"/>
      </w:pPr>
      <w:r>
        <w:rPr>
          <w:rFonts w:ascii="Arial" w:cs="Arial" w:eastAsia="Arial" w:hAnsi="Arial"/>
          <w:sz w:val="21"/>
          <w:szCs w:val="21"/>
        </w:rPr>
        <w:t xml:space="preserve">Displacement candle body must be at least 15 pips (GBPJPY-specific threshold due to higher volatility)</w:t>
      </w:r>
    </w:p>
    <w:p>
      <w:pPr>
        <w:pStyle w:val="ListParagraph"/>
        <w:numPr>
          <w:ilvl w:val="0"/>
          <w:numId w:val="2"/>
        </w:numPr>
        <w:spacing w:after="80" w:line="276"/>
      </w:pPr>
      <w:r>
        <w:rPr>
          <w:rFonts w:ascii="Arial" w:cs="Arial" w:eastAsia="Arial" w:hAnsi="Arial"/>
          <w:sz w:val="21"/>
          <w:szCs w:val="21"/>
        </w:rPr>
        <w:t xml:space="preserve">The candle must close beyond the structure level, not just wick through</w:t>
      </w:r>
    </w:p>
    <w:p>
      <w:pPr>
        <w:pStyle w:val="ListParagraph"/>
        <w:numPr>
          <w:ilvl w:val="0"/>
          <w:numId w:val="2"/>
        </w:numPr>
        <w:spacing w:after="80" w:line="276"/>
      </w:pPr>
      <w:r>
        <w:rPr>
          <w:rFonts w:ascii="Arial" w:cs="Arial" w:eastAsia="Arial" w:hAnsi="Arial"/>
          <w:sz w:val="21"/>
          <w:szCs w:val="21"/>
        </w:rPr>
        <w:t xml:space="preserve">MSS must align with H1/H4 directional bias (see Section 3: Trend Hierarchy)</w:t>
      </w:r>
    </w:p>
    <w:p>
      <w:pPr>
        <w:pStyle w:val="ListParagraph"/>
        <w:numPr>
          <w:ilvl w:val="0"/>
          <w:numId w:val="2"/>
        </w:numPr>
        <w:spacing w:after="80" w:line="276"/>
      </w:pPr>
      <w:r>
        <w:rPr>
          <w:rFonts w:ascii="Arial" w:cs="Arial" w:eastAsia="Arial" w:hAnsi="Arial"/>
          <w:sz w:val="21"/>
          <w:szCs w:val="21"/>
        </w:rPr>
        <w:t xml:space="preserve">MSS must occur during a valid Killzone window (see Section 5)</w:t>
      </w:r>
    </w:p>
    <w:p>
      <w:pPr>
        <w:pStyle w:val="Heading2"/>
        <w:spacing w:before="280" w:after="160"/>
      </w:pPr>
      <w:r>
        <w:rPr>
          <w:rFonts w:ascii="Arial" w:cs="Arial" w:eastAsia="Arial" w:hAnsi="Arial"/>
          <w:b/>
          <w:bCs/>
          <w:color w:val="2A5F8F"/>
          <w:sz w:val="26"/>
          <w:szCs w:val="26"/>
        </w:rPr>
        <w:t xml:space="preserve">2.2 Order Blocks (OB) — Entry Zone</w:t>
      </w:r>
    </w:p>
    <w:p>
      <w:pPr>
        <w:spacing w:after="120" w:line="276"/>
      </w:pPr>
      <w:r>
        <w:rPr>
          <w:rFonts w:ascii="Arial" w:cs="Arial" w:eastAsia="Arial" w:hAnsi="Arial"/>
          <w:sz w:val="21"/>
          <w:szCs w:val="21"/>
        </w:rPr>
        <w:t xml:space="preserve">Order blocks define the price zone where the EA looks for entries after an MSS trigger. The strategy uses a multi-timeframe order block hierarchy:</w:t>
      </w:r>
    </w:p>
    <w:p>
      <w:pPr>
        <w:pStyle w:val="Heading3"/>
        <w:spacing w:before="200" w:after="120"/>
      </w:pPr>
      <w:r>
        <w:rPr>
          <w:rFonts w:ascii="Arial" w:cs="Arial" w:eastAsia="Arial" w:hAnsi="Arial"/>
          <w:b/>
          <w:bCs/>
          <w:color w:val="333333"/>
          <w:sz w:val="22"/>
          <w:szCs w:val="22"/>
        </w:rPr>
        <w:t xml:space="preserve">2.2.1 H4 Order Blocks — Directional Bias</w:t>
      </w:r>
    </w:p>
    <w:p>
      <w:pPr>
        <w:spacing w:after="120" w:line="276"/>
      </w:pPr>
      <w:r>
        <w:rPr>
          <w:rFonts w:ascii="Arial" w:cs="Arial" w:eastAsia="Arial" w:hAnsi="Arial"/>
          <w:sz w:val="21"/>
          <w:szCs w:val="21"/>
        </w:rPr>
        <w:t xml:space="preserve">H4 order blocks establish the institutional directional bias. A bullish H4 OB is the last bearish (red) candle before a significant bullish impulse that creates a new swing high. A bearish H4 OB is the last bullish (green) candle before a significant bearish impulse creating a new swing low. The OB zone spans from the candle body open to the candle body close (not the wicks) for conservative entries, or from the wick low to the wick high for aggressive entries.</w:t>
      </w:r>
    </w:p>
    <w:p>
      <w:pPr>
        <w:pStyle w:val="Heading3"/>
        <w:spacing w:before="200" w:after="120"/>
      </w:pPr>
      <w:r>
        <w:rPr>
          <w:rFonts w:ascii="Arial" w:cs="Arial" w:eastAsia="Arial" w:hAnsi="Arial"/>
          <w:b/>
          <w:bCs/>
          <w:color w:val="333333"/>
          <w:sz w:val="22"/>
          <w:szCs w:val="22"/>
        </w:rPr>
        <w:t xml:space="preserve">2.2.2 H1 Order Blocks — Refined Entry Zone</w:t>
      </w:r>
    </w:p>
    <w:p>
      <w:pPr>
        <w:spacing w:after="120" w:line="276"/>
      </w:pPr>
      <w:r>
        <w:rPr>
          <w:rFonts w:ascii="Arial" w:cs="Arial" w:eastAsia="Arial" w:hAnsi="Arial"/>
          <w:sz w:val="21"/>
          <w:szCs w:val="21"/>
        </w:rPr>
        <w:t xml:space="preserve">Within the H4 OB zone, H1 order blocks provide a refined entry area. The same identification logic applies: the last opposing candle before an impulsive move. H1 OBs that nest inside an H4 OB of the same directional bias create confluent zones with the highest probability.</w:t>
      </w:r>
    </w:p>
    <w:p>
      <w:pPr>
        <w:pStyle w:val="Heading3"/>
        <w:spacing w:before="200" w:after="120"/>
      </w:pPr>
      <w:r>
        <w:rPr>
          <w:rFonts w:ascii="Arial" w:cs="Arial" w:eastAsia="Arial" w:hAnsi="Arial"/>
          <w:b/>
          <w:bCs/>
          <w:color w:val="333333"/>
          <w:sz w:val="22"/>
          <w:szCs w:val="22"/>
        </w:rPr>
        <w:t xml:space="preserve">2.2.3 Order Block Validity Rules</w:t>
      </w:r>
    </w:p>
    <w:p>
      <w:pPr>
        <w:pStyle w:val="ListParagraph"/>
        <w:numPr>
          <w:ilvl w:val="0"/>
          <w:numId w:val="2"/>
        </w:numPr>
        <w:spacing w:after="80" w:line="276"/>
      </w:pPr>
      <w:r>
        <w:rPr>
          <w:rFonts w:ascii="Arial" w:cs="Arial" w:eastAsia="Arial" w:hAnsi="Arial"/>
          <w:sz w:val="21"/>
          <w:szCs w:val="21"/>
        </w:rPr>
        <w:t xml:space="preserve">Fresh (unmitigated) OBs are preferred — price has not yet returned to the zone</w:t>
      </w:r>
    </w:p>
    <w:p>
      <w:pPr>
        <w:pStyle w:val="ListParagraph"/>
        <w:numPr>
          <w:ilvl w:val="0"/>
          <w:numId w:val="2"/>
        </w:numPr>
        <w:spacing w:after="80" w:line="276"/>
      </w:pPr>
      <w:r>
        <w:rPr>
          <w:rFonts w:ascii="Arial" w:cs="Arial" w:eastAsia="Arial" w:hAnsi="Arial"/>
          <w:sz w:val="21"/>
          <w:szCs w:val="21"/>
        </w:rPr>
        <w:t xml:space="preserve">An OB becomes invalid after price fully trades through it (closes beyond the far edge)</w:t>
      </w:r>
    </w:p>
    <w:p>
      <w:pPr>
        <w:pStyle w:val="ListParagraph"/>
        <w:numPr>
          <w:ilvl w:val="0"/>
          <w:numId w:val="2"/>
        </w:numPr>
        <w:spacing w:after="80" w:line="276"/>
      </w:pPr>
      <w:r>
        <w:rPr>
          <w:rFonts w:ascii="Arial" w:cs="Arial" w:eastAsia="Arial" w:hAnsi="Arial"/>
          <w:sz w:val="21"/>
          <w:szCs w:val="21"/>
        </w:rPr>
        <w:t xml:space="preserve">Maximum validity: 30 H1 candles or 8 H4 candles from formation</w:t>
      </w:r>
    </w:p>
    <w:p>
      <w:pPr>
        <w:pStyle w:val="ListParagraph"/>
        <w:numPr>
          <w:ilvl w:val="0"/>
          <w:numId w:val="2"/>
        </w:numPr>
        <w:spacing w:after="80" w:line="276"/>
      </w:pPr>
      <w:r>
        <w:rPr>
          <w:rFonts w:ascii="Arial" w:cs="Arial" w:eastAsia="Arial" w:hAnsi="Arial"/>
          <w:sz w:val="21"/>
          <w:szCs w:val="21"/>
        </w:rPr>
        <w:t xml:space="preserve">OBs forming during killzones carry higher weight than off-session OBs</w:t>
      </w:r>
    </w:p>
    <w:p>
      <w:pPr>
        <w:pStyle w:val="Heading2"/>
        <w:spacing w:before="280" w:after="160"/>
      </w:pPr>
      <w:r>
        <w:rPr>
          <w:rFonts w:ascii="Arial" w:cs="Arial" w:eastAsia="Arial" w:hAnsi="Arial"/>
          <w:b/>
          <w:bCs/>
          <w:color w:val="2A5F8F"/>
          <w:sz w:val="26"/>
          <w:szCs w:val="26"/>
        </w:rPr>
        <w:t xml:space="preserve">2.3 Fair Value Gaps (FVG) — Entry Filter</w:t>
      </w:r>
    </w:p>
    <w:p>
      <w:pPr>
        <w:spacing w:after="120" w:line="276"/>
      </w:pPr>
      <w:r>
        <w:rPr>
          <w:rFonts w:ascii="Arial" w:cs="Arial" w:eastAsia="Arial" w:hAnsi="Arial"/>
          <w:sz w:val="21"/>
          <w:szCs w:val="21"/>
        </w:rPr>
        <w:t xml:space="preserve">Fair Value Gaps act as a confirmation filter: the EA only enters when an FVG exists in the same direction as the MSS signal within or near the target order block zone.</w:t>
      </w:r>
    </w:p>
    <w:p>
      <w:pPr>
        <w:pStyle w:val="Heading3"/>
        <w:spacing w:before="200" w:after="120"/>
      </w:pPr>
      <w:r>
        <w:rPr>
          <w:rFonts w:ascii="Arial" w:cs="Arial" w:eastAsia="Arial" w:hAnsi="Arial"/>
          <w:b/>
          <w:bCs/>
          <w:color w:val="333333"/>
          <w:sz w:val="22"/>
          <w:szCs w:val="22"/>
        </w:rPr>
        <w:t xml:space="preserve">2.3.1 FVG Identification (Three-Candle Pattern)</w:t>
      </w:r>
    </w:p>
    <w:p>
      <w:pPr>
        <w:spacing w:after="120" w:line="276"/>
      </w:pPr>
      <w:r>
        <w:rPr>
          <w:rFonts w:ascii="Arial" w:cs="Arial" w:eastAsia="Arial" w:hAnsi="Arial"/>
          <w:b/>
          <w:bCs/>
          <w:sz w:val="21"/>
          <w:szCs w:val="21"/>
        </w:rPr>
        <w:t xml:space="preserve">Bullish FVG: </w:t>
      </w:r>
      <w:r>
        <w:rPr>
          <w:rFonts w:ascii="Arial" w:cs="Arial" w:eastAsia="Arial" w:hAnsi="Arial"/>
          <w:sz w:val="21"/>
          <w:szCs w:val="21"/>
        </w:rPr>
        <w:t xml:space="preserve">Candle 1 high is lower than Candle 3 low, creating an untraded gap. The middle candle is an impulsive bullish candle that left the gap. Entry targets the top of Candle 1 to the bottom of Candle 3.</w:t>
      </w:r>
    </w:p>
    <w:p>
      <w:pPr>
        <w:spacing w:after="120" w:line="276"/>
      </w:pPr>
      <w:r>
        <w:rPr>
          <w:rFonts w:ascii="Arial" w:cs="Arial" w:eastAsia="Arial" w:hAnsi="Arial"/>
          <w:b/>
          <w:bCs/>
          <w:sz w:val="21"/>
          <w:szCs w:val="21"/>
        </w:rPr>
        <w:t xml:space="preserve">Bearish FVG: </w:t>
      </w:r>
      <w:r>
        <w:rPr>
          <w:rFonts w:ascii="Arial" w:cs="Arial" w:eastAsia="Arial" w:hAnsi="Arial"/>
          <w:sz w:val="21"/>
          <w:szCs w:val="21"/>
        </w:rPr>
        <w:t xml:space="preserve">Candle 1 low is higher than Candle 3 high, creating a downside gap. Entry targets the bottom of Candle 1 to the top of Candle 3.</w:t>
      </w:r>
    </w:p>
    <w:p>
      <w:pPr>
        <w:pStyle w:val="Heading3"/>
        <w:spacing w:before="200" w:after="120"/>
      </w:pPr>
      <w:r>
        <w:rPr>
          <w:rFonts w:ascii="Arial" w:cs="Arial" w:eastAsia="Arial" w:hAnsi="Arial"/>
          <w:b/>
          <w:bCs/>
          <w:color w:val="333333"/>
          <w:sz w:val="22"/>
          <w:szCs w:val="22"/>
        </w:rPr>
        <w:t xml:space="preserve">2.3.2 Consequent Encroachment (CE)</w:t>
      </w:r>
    </w:p>
    <w:p>
      <w:pPr>
        <w:spacing w:after="120" w:line="276"/>
      </w:pPr>
      <w:r>
        <w:rPr>
          <w:rFonts w:ascii="Arial" w:cs="Arial" w:eastAsia="Arial" w:hAnsi="Arial"/>
          <w:sz w:val="21"/>
          <w:szCs w:val="21"/>
        </w:rPr>
        <w:t xml:space="preserve">The 50% midpoint of any FVG is the Consequent Encroachment level. Price has a statistically higher probability of reacting at this midpoint than at the edges of the gap. The EA should use the CE level as the optimal limit order placement within the FVG zone, providing better risk-reward than entering at the gap edges.</w:t>
      </w:r>
    </w:p>
    <w:p>
      <w:pPr>
        <w:pStyle w:val="Heading3"/>
        <w:spacing w:before="200" w:after="120"/>
      </w:pPr>
      <w:r>
        <w:rPr>
          <w:rFonts w:ascii="Arial" w:cs="Arial" w:eastAsia="Arial" w:hAnsi="Arial"/>
          <w:b/>
          <w:bCs/>
          <w:color w:val="333333"/>
          <w:sz w:val="22"/>
          <w:szCs w:val="22"/>
        </w:rPr>
        <w:t xml:space="preserve">2.3.3 FVG Filtering Rules</w:t>
      </w:r>
    </w:p>
    <w:p>
      <w:pPr>
        <w:pStyle w:val="ListParagraph"/>
        <w:numPr>
          <w:ilvl w:val="0"/>
          <w:numId w:val="2"/>
        </w:numPr>
        <w:spacing w:after="80" w:line="276"/>
      </w:pPr>
      <w:r>
        <w:rPr>
          <w:rFonts w:ascii="Arial" w:cs="Arial" w:eastAsia="Arial" w:hAnsi="Arial"/>
          <w:sz w:val="21"/>
          <w:szCs w:val="21"/>
        </w:rPr>
        <w:t xml:space="preserve">Minimum FVG size: 15 pips on M15, 25 pips on H1 (GBPJPY-specific)</w:t>
      </w:r>
    </w:p>
    <w:p>
      <w:pPr>
        <w:pStyle w:val="ListParagraph"/>
        <w:numPr>
          <w:ilvl w:val="0"/>
          <w:numId w:val="2"/>
        </w:numPr>
        <w:spacing w:after="80" w:line="276"/>
      </w:pPr>
      <w:r>
        <w:rPr>
          <w:rFonts w:ascii="Arial" w:cs="Arial" w:eastAsia="Arial" w:hAnsi="Arial"/>
          <w:sz w:val="21"/>
          <w:szCs w:val="21"/>
        </w:rPr>
        <w:t xml:space="preserve">FVG must be unmitigated (price has not returned to fill the gap)</w:t>
      </w:r>
    </w:p>
    <w:p>
      <w:pPr>
        <w:pStyle w:val="ListParagraph"/>
        <w:numPr>
          <w:ilvl w:val="0"/>
          <w:numId w:val="2"/>
        </w:numPr>
        <w:spacing w:after="80" w:line="276"/>
      </w:pPr>
      <w:r>
        <w:rPr>
          <w:rFonts w:ascii="Arial" w:cs="Arial" w:eastAsia="Arial" w:hAnsi="Arial"/>
          <w:sz w:val="21"/>
          <w:szCs w:val="21"/>
        </w:rPr>
        <w:t xml:space="preserve">FVG direction must align with the MSS direction and the higher-timeframe bias</w:t>
      </w:r>
    </w:p>
    <w:p>
      <w:pPr>
        <w:pStyle w:val="ListParagraph"/>
        <w:numPr>
          <w:ilvl w:val="0"/>
          <w:numId w:val="2"/>
        </w:numPr>
        <w:spacing w:after="80" w:line="276"/>
      </w:pPr>
      <w:r>
        <w:rPr>
          <w:rFonts w:ascii="Arial" w:cs="Arial" w:eastAsia="Arial" w:hAnsi="Arial"/>
          <w:sz w:val="21"/>
          <w:szCs w:val="21"/>
        </w:rPr>
        <w:t xml:space="preserve">Partially filled FVGs (50–70% filled) still valid if CE level remains untouched</w:t>
      </w:r>
    </w:p>
    <w:p>
      <w:pPr>
        <w:pStyle w:val="Heading2"/>
        <w:spacing w:before="280" w:after="160"/>
      </w:pPr>
      <w:r>
        <w:rPr>
          <w:rFonts w:ascii="Arial" w:cs="Arial" w:eastAsia="Arial" w:hAnsi="Arial"/>
          <w:b/>
          <w:bCs/>
          <w:color w:val="2A5F8F"/>
          <w:sz w:val="26"/>
          <w:szCs w:val="26"/>
        </w:rPr>
        <w:t xml:space="preserve">2.4 Liquidity Sweep — Pre-Entry Confirmation</w:t>
      </w:r>
    </w:p>
    <w:p>
      <w:pPr>
        <w:spacing w:after="120" w:line="276"/>
      </w:pPr>
      <w:r>
        <w:rPr>
          <w:rFonts w:ascii="Arial" w:cs="Arial" w:eastAsia="Arial" w:hAnsi="Arial"/>
          <w:sz w:val="21"/>
          <w:szCs w:val="21"/>
        </w:rPr>
        <w:t xml:space="preserve">A liquidity sweep preceding the MSS dramatically increases setup probability. When price sweeps beyond a key equal-high or equal-low level, triggering clustered stop-loss orders, and then reverses with an MSS, it confirms that institutional players have gathered the liquidity they need to drive price in the new direction.</w:t>
      </w:r>
    </w:p>
    <w:p>
      <w:pPr>
        <w:pStyle w:val="ListParagraph"/>
        <w:numPr>
          <w:ilvl w:val="0"/>
          <w:numId w:val="2"/>
        </w:numPr>
        <w:spacing w:after="80" w:line="276"/>
      </w:pPr>
      <w:r>
        <w:rPr>
          <w:rFonts w:ascii="Arial" w:cs="Arial" w:eastAsia="Arial" w:hAnsi="Arial"/>
          <w:sz w:val="21"/>
          <w:szCs w:val="21"/>
        </w:rPr>
        <w:t xml:space="preserve">Buy-Side Liquidity (BSL): Clusters of buy-stop orders above equal highs or resistance. A sweep above BSL followed by bearish MSS is a high-probability short signal.</w:t>
      </w:r>
    </w:p>
    <w:p>
      <w:pPr>
        <w:pStyle w:val="ListParagraph"/>
        <w:numPr>
          <w:ilvl w:val="0"/>
          <w:numId w:val="2"/>
        </w:numPr>
        <w:spacing w:after="80" w:line="276"/>
      </w:pPr>
      <w:r>
        <w:rPr>
          <w:rFonts w:ascii="Arial" w:cs="Arial" w:eastAsia="Arial" w:hAnsi="Arial"/>
          <w:sz w:val="21"/>
          <w:szCs w:val="21"/>
        </w:rPr>
        <w:t xml:space="preserve">Sell-Side Liquidity (SSL): Clusters of sell-stop orders below equal lows or support. A sweep below SSL followed by bullish MSS is a high-probability long signal.</w:t>
      </w:r>
    </w:p>
    <w:p>
      <w:pPr>
        <w:pStyle w:val="ListParagraph"/>
        <w:numPr>
          <w:ilvl w:val="0"/>
          <w:numId w:val="2"/>
        </w:numPr>
        <w:spacing w:after="80" w:line="276"/>
      </w:pPr>
      <w:r>
        <w:rPr>
          <w:rFonts w:ascii="Arial" w:cs="Arial" w:eastAsia="Arial" w:hAnsi="Arial"/>
          <w:sz w:val="21"/>
          <w:szCs w:val="21"/>
        </w:rPr>
        <w:t xml:space="preserve">The sweep candle wick must exceed the liquidity level by at least 5 pips but the candle body must close back inside the range.</w:t>
      </w:r>
    </w:p>
    <w:p>
      <w:r>
        <w:br w:type="page"/>
      </w:r>
    </w:p>
    <w:p>
      <w:pPr>
        <w:pStyle w:val="Heading1"/>
        <w:spacing w:before="360" w:after="200"/>
      </w:pPr>
      <w:r>
        <w:rPr>
          <w:rFonts w:ascii="Arial" w:cs="Arial" w:eastAsia="Arial" w:hAnsi="Arial"/>
          <w:b/>
          <w:bCs/>
          <w:color w:val="1B3A5C"/>
          <w:sz w:val="32"/>
          <w:szCs w:val="32"/>
        </w:rPr>
        <w:t xml:space="preserve">3. Trend Hierarchy Rules</w:t>
      </w:r>
    </w:p>
    <w:p>
      <w:pPr>
        <w:spacing w:after="120" w:line="276"/>
      </w:pPr>
      <w:r>
        <w:rPr>
          <w:rFonts w:ascii="Arial" w:cs="Arial" w:eastAsia="Arial" w:hAnsi="Arial"/>
          <w:sz w:val="21"/>
          <w:szCs w:val="21"/>
        </w:rPr>
        <w:t xml:space="preserve">Lower-timeframe entries must be gated by higher-timeframe directional bias. Trading against the dominant institutional flow dramatically reduces win rate. The following hierarchy governs all trade decisions:</w:t>
      </w:r>
    </w:p>
    <w:p>
      <w:pPr>
        <w:pStyle w:val="Heading2"/>
        <w:spacing w:before="280" w:after="160"/>
      </w:pPr>
      <w:r>
        <w:rPr>
          <w:rFonts w:ascii="Arial" w:cs="Arial" w:eastAsia="Arial" w:hAnsi="Arial"/>
          <w:b/>
          <w:bCs/>
          <w:color w:val="2A5F8F"/>
          <w:sz w:val="26"/>
          <w:szCs w:val="26"/>
        </w:rPr>
        <w:t xml:space="preserve">3.1 D1 (Daily) Bias — Strategic Direction</w:t>
      </w:r>
    </w:p>
    <w:p>
      <w:pPr>
        <w:spacing w:after="120" w:line="276"/>
      </w:pPr>
      <w:r>
        <w:rPr>
          <w:rFonts w:ascii="Arial" w:cs="Arial" w:eastAsia="Arial" w:hAnsi="Arial"/>
          <w:sz w:val="21"/>
          <w:szCs w:val="21"/>
        </w:rPr>
        <w:t xml:space="preserve">The Daily chart establishes the strategic direction. Determine D1 bias by identifying the most recent swing structure:</w:t>
      </w:r>
    </w:p>
    <w:p>
      <w:pPr>
        <w:pStyle w:val="ListParagraph"/>
        <w:numPr>
          <w:ilvl w:val="0"/>
          <w:numId w:val="2"/>
        </w:numPr>
        <w:spacing w:after="80" w:line="276"/>
      </w:pPr>
      <w:r>
        <w:rPr>
          <w:rFonts w:ascii="Arial" w:cs="Arial" w:eastAsia="Arial" w:hAnsi="Arial"/>
          <w:b/>
          <w:bCs/>
          <w:sz w:val="21"/>
          <w:szCs w:val="21"/>
        </w:rPr>
        <w:t xml:space="preserve">Bullish D1 Bias: </w:t>
      </w:r>
      <w:r>
        <w:rPr>
          <w:rFonts w:ascii="Arial" w:cs="Arial" w:eastAsia="Arial" w:hAnsi="Arial"/>
          <w:sz w:val="21"/>
          <w:szCs w:val="21"/>
        </w:rPr>
        <w:t xml:space="preserve">Price making higher highs and higher lows. Only long entries permitted on lower timeframes.</w:t>
      </w:r>
    </w:p>
    <w:p>
      <w:pPr>
        <w:pStyle w:val="ListParagraph"/>
        <w:numPr>
          <w:ilvl w:val="0"/>
          <w:numId w:val="2"/>
        </w:numPr>
        <w:spacing w:after="80" w:line="276"/>
      </w:pPr>
      <w:r>
        <w:rPr>
          <w:rFonts w:ascii="Arial" w:cs="Arial" w:eastAsia="Arial" w:hAnsi="Arial"/>
          <w:b/>
          <w:bCs/>
          <w:sz w:val="21"/>
          <w:szCs w:val="21"/>
        </w:rPr>
        <w:t xml:space="preserve">Bearish D1 Bias: </w:t>
      </w:r>
      <w:r>
        <w:rPr>
          <w:rFonts w:ascii="Arial" w:cs="Arial" w:eastAsia="Arial" w:hAnsi="Arial"/>
          <w:sz w:val="21"/>
          <w:szCs w:val="21"/>
        </w:rPr>
        <w:t xml:space="preserve">Price making lower highs and lower lows. Only short entries permitted on lower timeframes.</w:t>
      </w:r>
    </w:p>
    <w:p>
      <w:pPr>
        <w:pStyle w:val="ListParagraph"/>
        <w:numPr>
          <w:ilvl w:val="0"/>
          <w:numId w:val="2"/>
        </w:numPr>
        <w:spacing w:after="80" w:line="276"/>
      </w:pPr>
      <w:r>
        <w:rPr>
          <w:rFonts w:ascii="Arial" w:cs="Arial" w:eastAsia="Arial" w:hAnsi="Arial"/>
          <w:b/>
          <w:bCs/>
          <w:sz w:val="21"/>
          <w:szCs w:val="21"/>
        </w:rPr>
        <w:t xml:space="preserve">Ranging D1: </w:t>
      </w:r>
      <w:r>
        <w:rPr>
          <w:rFonts w:ascii="Arial" w:cs="Arial" w:eastAsia="Arial" w:hAnsi="Arial"/>
          <w:sz w:val="21"/>
          <w:szCs w:val="21"/>
        </w:rPr>
        <w:t xml:space="preserve">No clear directional bias. Reduce position size by 50% and only trade from Premium/Discount extremes.</w:t>
      </w:r>
    </w:p>
    <w:p>
      <w:pPr>
        <w:pStyle w:val="Heading2"/>
        <w:spacing w:before="280" w:after="160"/>
      </w:pPr>
      <w:r>
        <w:rPr>
          <w:rFonts w:ascii="Arial" w:cs="Arial" w:eastAsia="Arial" w:hAnsi="Arial"/>
          <w:b/>
          <w:bCs/>
          <w:color w:val="2A5F8F"/>
          <w:sz w:val="26"/>
          <w:szCs w:val="26"/>
        </w:rPr>
        <w:t xml:space="preserve">3.2 H4 Bias — Tactical Direction</w:t>
      </w:r>
    </w:p>
    <w:p>
      <w:pPr>
        <w:spacing w:after="120" w:line="276"/>
      </w:pPr>
      <w:r>
        <w:rPr>
          <w:rFonts w:ascii="Arial" w:cs="Arial" w:eastAsia="Arial" w:hAnsi="Arial"/>
          <w:sz w:val="21"/>
          <w:szCs w:val="21"/>
        </w:rPr>
        <w:t xml:space="preserve">The H4 chart provides tactical direction within the D1 trend. H4 must confirm D1 bias for full position sizing:</w:t>
      </w:r>
    </w:p>
    <w:p>
      <w:pPr>
        <w:pStyle w:val="ListParagraph"/>
        <w:numPr>
          <w:ilvl w:val="0"/>
          <w:numId w:val="2"/>
        </w:numPr>
        <w:spacing w:after="80" w:line="276"/>
      </w:pPr>
      <w:r>
        <w:rPr>
          <w:rFonts w:ascii="Arial" w:cs="Arial" w:eastAsia="Arial" w:hAnsi="Arial"/>
          <w:b/>
          <w:bCs/>
          <w:sz w:val="21"/>
          <w:szCs w:val="21"/>
        </w:rPr>
        <w:t xml:space="preserve">Aligned: </w:t>
      </w:r>
      <w:r>
        <w:rPr>
          <w:rFonts w:ascii="Arial" w:cs="Arial" w:eastAsia="Arial" w:hAnsi="Arial"/>
          <w:sz w:val="21"/>
          <w:szCs w:val="21"/>
        </w:rPr>
        <w:t xml:space="preserve">H4 bias matches D1 bias. Full risk allocation (1% per trade).</w:t>
      </w:r>
    </w:p>
    <w:p>
      <w:pPr>
        <w:pStyle w:val="ListParagraph"/>
        <w:numPr>
          <w:ilvl w:val="0"/>
          <w:numId w:val="2"/>
        </w:numPr>
        <w:spacing w:after="80" w:line="276"/>
      </w:pPr>
      <w:r>
        <w:rPr>
          <w:rFonts w:ascii="Arial" w:cs="Arial" w:eastAsia="Arial" w:hAnsi="Arial"/>
          <w:b/>
          <w:bCs/>
          <w:sz w:val="21"/>
          <w:szCs w:val="21"/>
        </w:rPr>
        <w:t xml:space="preserve">Conflicting: </w:t>
      </w:r>
      <w:r>
        <w:rPr>
          <w:rFonts w:ascii="Arial" w:cs="Arial" w:eastAsia="Arial" w:hAnsi="Arial"/>
          <w:sz w:val="21"/>
          <w:szCs w:val="21"/>
        </w:rPr>
        <w:t xml:space="preserve">H4 bias opposes D1 bias. No trades until alignment is restored.</w:t>
      </w:r>
    </w:p>
    <w:p>
      <w:pPr>
        <w:pStyle w:val="ListParagraph"/>
        <w:numPr>
          <w:ilvl w:val="0"/>
          <w:numId w:val="2"/>
        </w:numPr>
        <w:spacing w:after="80" w:line="276"/>
      </w:pPr>
      <w:r>
        <w:rPr>
          <w:rFonts w:ascii="Arial" w:cs="Arial" w:eastAsia="Arial" w:hAnsi="Arial"/>
          <w:b/>
          <w:bCs/>
          <w:sz w:val="21"/>
          <w:szCs w:val="21"/>
        </w:rPr>
        <w:t xml:space="preserve">Transitioning: </w:t>
      </w:r>
      <w:r>
        <w:rPr>
          <w:rFonts w:ascii="Arial" w:cs="Arial" w:eastAsia="Arial" w:hAnsi="Arial"/>
          <w:sz w:val="21"/>
          <w:szCs w:val="21"/>
        </w:rPr>
        <w:t xml:space="preserve">H4 shows early MSS in D1 direction after counter-trend pullback. Reduced risk (0.5% per trade).</w:t>
      </w:r>
    </w:p>
    <w:p>
      <w:pPr>
        <w:pStyle w:val="Heading2"/>
        <w:spacing w:before="280" w:after="160"/>
      </w:pPr>
      <w:r>
        <w:rPr>
          <w:rFonts w:ascii="Arial" w:cs="Arial" w:eastAsia="Arial" w:hAnsi="Arial"/>
          <w:b/>
          <w:bCs/>
          <w:color w:val="2A5F8F"/>
          <w:sz w:val="26"/>
          <w:szCs w:val="26"/>
        </w:rPr>
        <w:t xml:space="preserve">3.3 Premium and Discount Zones</w:t>
      </w:r>
    </w:p>
    <w:p>
      <w:pPr>
        <w:spacing w:after="120" w:line="276"/>
      </w:pPr>
      <w:r>
        <w:rPr>
          <w:rFonts w:ascii="Arial" w:cs="Arial" w:eastAsia="Arial" w:hAnsi="Arial"/>
          <w:sz w:val="21"/>
          <w:szCs w:val="21"/>
        </w:rPr>
        <w:t xml:space="preserve">Apply Fibonacci retracement from the most recent H4 swing high to swing low. The 50% level divides the range into Premium (above 50%) and Discount (below 50%) zones:</w:t>
      </w:r>
    </w:p>
    <w:p>
      <w:pPr>
        <w:pStyle w:val="ListParagraph"/>
        <w:numPr>
          <w:ilvl w:val="0"/>
          <w:numId w:val="2"/>
        </w:numPr>
        <w:spacing w:after="80" w:line="276"/>
      </w:pPr>
      <w:r>
        <w:rPr>
          <w:rFonts w:ascii="Arial" w:cs="Arial" w:eastAsia="Arial" w:hAnsi="Arial"/>
          <w:b/>
          <w:bCs/>
          <w:sz w:val="21"/>
          <w:szCs w:val="21"/>
        </w:rPr>
        <w:t xml:space="preserve">Long entries: </w:t>
      </w:r>
      <w:r>
        <w:rPr>
          <w:rFonts w:ascii="Arial" w:cs="Arial" w:eastAsia="Arial" w:hAnsi="Arial"/>
          <w:sz w:val="21"/>
          <w:szCs w:val="21"/>
        </w:rPr>
        <w:t xml:space="preserve">Only permitted in Discount zone (below 50% of the H4 range). This ensures buying at institutional accumulation prices.</w:t>
      </w:r>
    </w:p>
    <w:p>
      <w:pPr>
        <w:pStyle w:val="ListParagraph"/>
        <w:numPr>
          <w:ilvl w:val="0"/>
          <w:numId w:val="2"/>
        </w:numPr>
        <w:spacing w:after="80" w:line="276"/>
      </w:pPr>
      <w:r>
        <w:rPr>
          <w:rFonts w:ascii="Arial" w:cs="Arial" w:eastAsia="Arial" w:hAnsi="Arial"/>
          <w:b/>
          <w:bCs/>
          <w:sz w:val="21"/>
          <w:szCs w:val="21"/>
        </w:rPr>
        <w:t xml:space="preserve">Short entries: </w:t>
      </w:r>
      <w:r>
        <w:rPr>
          <w:rFonts w:ascii="Arial" w:cs="Arial" w:eastAsia="Arial" w:hAnsi="Arial"/>
          <w:sz w:val="21"/>
          <w:szCs w:val="21"/>
        </w:rPr>
        <w:t xml:space="preserve">Only permitted in Premium zone (above 50% of the H4 range). This ensures selling at institutional distribution prices.</w:t>
      </w:r>
    </w:p>
    <w:p>
      <w:pPr>
        <w:pStyle w:val="Heading2"/>
        <w:spacing w:before="280" w:after="160"/>
      </w:pPr>
      <w:r>
        <w:rPr>
          <w:rFonts w:ascii="Arial" w:cs="Arial" w:eastAsia="Arial" w:hAnsi="Arial"/>
          <w:b/>
          <w:bCs/>
          <w:color w:val="2A5F8F"/>
          <w:sz w:val="26"/>
          <w:szCs w:val="26"/>
        </w:rPr>
        <w:t xml:space="preserve">3.4 Optimal Trade Entry (OTE) Zone</w:t>
      </w:r>
    </w:p>
    <w:p>
      <w:pPr>
        <w:spacing w:after="120" w:line="276"/>
      </w:pPr>
      <w:r>
        <w:rPr>
          <w:rFonts w:ascii="Arial" w:cs="Arial" w:eastAsia="Arial" w:hAnsi="Arial"/>
          <w:sz w:val="21"/>
          <w:szCs w:val="21"/>
        </w:rPr>
        <w:t xml:space="preserve">Within the Premium/Discount framework, the OTE zone (62–79% Fibonacci retracement of the most recent impulse leg) provides the optimal entry area. The 70.5% level is the primary entry target. Entries within the OTE zone offer the best risk-reward because the stop loss (placed beyond the swing extreme) is minimized while the profit target (the opposing swing extreme) is maximized.</w:t>
      </w:r>
    </w:p>
    <w:p>
      <w:r>
        <w:br w:type="page"/>
      </w:r>
    </w:p>
    <w:p>
      <w:pPr>
        <w:pStyle w:val="Heading1"/>
        <w:spacing w:before="360" w:after="200"/>
      </w:pPr>
      <w:r>
        <w:rPr>
          <w:rFonts w:ascii="Arial" w:cs="Arial" w:eastAsia="Arial" w:hAnsi="Arial"/>
          <w:b/>
          <w:bCs/>
          <w:color w:val="1B3A5C"/>
          <w:sz w:val="32"/>
          <w:szCs w:val="32"/>
        </w:rPr>
        <w:t xml:space="preserve">4. Risk Management Rules</w:t>
      </w:r>
    </w:p>
    <w:p>
      <w:pPr>
        <w:pStyle w:val="Heading2"/>
        <w:spacing w:before="280" w:after="160"/>
      </w:pPr>
      <w:r>
        <w:rPr>
          <w:rFonts w:ascii="Arial" w:cs="Arial" w:eastAsia="Arial" w:hAnsi="Arial"/>
          <w:b/>
          <w:bCs/>
          <w:color w:val="2A5F8F"/>
          <w:sz w:val="26"/>
          <w:szCs w:val="26"/>
        </w:rPr>
        <w:t xml:space="preserve">4.1 Position Sizing</w:t>
      </w:r>
    </w:p>
    <w:p>
      <w:pPr>
        <w:spacing w:after="120" w:line="276"/>
      </w:pPr>
      <w:r>
        <w:rPr>
          <w:rFonts w:ascii="Arial" w:cs="Arial" w:eastAsia="Arial" w:hAnsi="Arial"/>
          <w:sz w:val="21"/>
          <w:szCs w:val="21"/>
        </w:rPr>
        <w:t xml:space="preserve">All position sizes are calculated dynamically using the formula:</w:t>
      </w:r>
    </w:p>
    <w:p>
      <w:pPr>
        <w:spacing w:before="160" w:after="160"/>
        <w:jc w:val="center"/>
      </w:pPr>
      <w:r>
        <w:rPr>
          <w:rFonts w:ascii="Arial" w:cs="Arial" w:eastAsia="Arial" w:hAnsi="Arial"/>
          <w:b/>
          <w:bCs/>
          <w:i/>
          <w:iCs/>
          <w:color w:val="1B3A5C"/>
          <w:sz w:val="22"/>
          <w:szCs w:val="22"/>
        </w:rPr>
        <w:t xml:space="preserve">Lot Size = (Account Equity × Risk%) ÷ (SL Pips × Pip Value in EUR)</w:t>
      </w:r>
    </w:p>
    <w:p>
      <w:pPr>
        <w:pStyle w:val="Heading3"/>
        <w:spacing w:before="200" w:after="120"/>
      </w:pPr>
      <w:r>
        <w:rPr>
          <w:rFonts w:ascii="Arial" w:cs="Arial" w:eastAsia="Arial" w:hAnsi="Arial"/>
          <w:b/>
          <w:bCs/>
          <w:color w:val="333333"/>
          <w:sz w:val="22"/>
          <w:szCs w:val="22"/>
        </w:rPr>
        <w:t xml:space="preserve">4.1.1 Position Sizing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200"/>
        <w:gridCol w:w="1826"/>
      </w:tblGrid>
      <w:tr>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EUR at Risk</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SL (pips)</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Lot Size</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Losing Streak to 5% DD</w:t>
            </w:r>
          </w:p>
        </w:tc>
        <w:tc>
          <w:tcPr>
            <w:tcW w:type="dxa" w:w="182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Losing Streak to 10% DD</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0.5%</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0.10</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 trades</w:t>
            </w:r>
          </w:p>
        </w:tc>
        <w:tc>
          <w:tcPr>
            <w:tcW w:type="dxa" w:w="1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 trades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trades</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 trades</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0.33</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 trades</w:t>
            </w:r>
          </w:p>
        </w:tc>
        <w:tc>
          <w:tcPr>
            <w:tcW w:type="dxa" w:w="18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 trades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0.40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2–3 trades</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trades</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Recommended default: </w:t>
      </w:r>
      <w:r>
        <w:rPr>
          <w:rFonts w:ascii="Arial" w:cs="Arial" w:eastAsia="Arial" w:hAnsi="Arial"/>
          <w:sz w:val="21"/>
          <w:szCs w:val="21"/>
        </w:rPr>
        <w:t xml:space="preserve">1.0% risk per trade with a typical 40–60 pip stop loss, yielding 0.17–0.25 lots. This allows 5 consecutive losses before hitting the FTMO daily loss limit and 10 consecutive losses before hitting the maximum drawdown.</w:t>
      </w:r>
    </w:p>
    <w:p>
      <w:pPr>
        <w:pStyle w:val="Heading2"/>
        <w:spacing w:before="280" w:after="160"/>
      </w:pPr>
      <w:r>
        <w:rPr>
          <w:rFonts w:ascii="Arial" w:cs="Arial" w:eastAsia="Arial" w:hAnsi="Arial"/>
          <w:b/>
          <w:bCs/>
          <w:color w:val="2A5F8F"/>
          <w:sz w:val="26"/>
          <w:szCs w:val="26"/>
        </w:rPr>
        <w:t xml:space="preserve">4.2 Stop Loss Placement Logic</w:t>
      </w:r>
    </w:p>
    <w:p>
      <w:pPr>
        <w:spacing w:after="120" w:line="276"/>
      </w:pPr>
      <w:r>
        <w:rPr>
          <w:rFonts w:ascii="Arial" w:cs="Arial" w:eastAsia="Arial" w:hAnsi="Arial"/>
          <w:sz w:val="21"/>
          <w:szCs w:val="21"/>
        </w:rPr>
        <w:t xml:space="preserve">Stop losses are placed structurally, not at arbitrary pip distances:</w:t>
      </w:r>
    </w:p>
    <w:p>
      <w:pPr>
        <w:pStyle w:val="ListParagraph"/>
        <w:numPr>
          <w:ilvl w:val="0"/>
          <w:numId w:val="2"/>
        </w:numPr>
        <w:spacing w:after="80" w:line="276"/>
      </w:pPr>
      <w:r>
        <w:rPr>
          <w:rFonts w:ascii="Arial" w:cs="Arial" w:eastAsia="Arial" w:hAnsi="Arial"/>
          <w:b/>
          <w:bCs/>
          <w:sz w:val="21"/>
          <w:szCs w:val="21"/>
        </w:rPr>
        <w:t xml:space="preserve">Long trades: </w:t>
      </w:r>
      <w:r>
        <w:rPr>
          <w:rFonts w:ascii="Arial" w:cs="Arial" w:eastAsia="Arial" w:hAnsi="Arial"/>
          <w:sz w:val="21"/>
          <w:szCs w:val="21"/>
        </w:rPr>
        <w:t xml:space="preserve">SL placed 5–10 pips below the low of the entry order block. If the OB is on H1, use the H1 OB low minus 5–10 pip buffer.</w:t>
      </w:r>
    </w:p>
    <w:p>
      <w:pPr>
        <w:pStyle w:val="ListParagraph"/>
        <w:numPr>
          <w:ilvl w:val="0"/>
          <w:numId w:val="2"/>
        </w:numPr>
        <w:spacing w:after="80" w:line="276"/>
      </w:pPr>
      <w:r>
        <w:rPr>
          <w:rFonts w:ascii="Arial" w:cs="Arial" w:eastAsia="Arial" w:hAnsi="Arial"/>
          <w:b/>
          <w:bCs/>
          <w:sz w:val="21"/>
          <w:szCs w:val="21"/>
        </w:rPr>
        <w:t xml:space="preserve">Short trades: </w:t>
      </w:r>
      <w:r>
        <w:rPr>
          <w:rFonts w:ascii="Arial" w:cs="Arial" w:eastAsia="Arial" w:hAnsi="Arial"/>
          <w:sz w:val="21"/>
          <w:szCs w:val="21"/>
        </w:rPr>
        <w:t xml:space="preserve">SL placed 5–10 pips above the high of the entry order block.</w:t>
      </w:r>
    </w:p>
    <w:p>
      <w:pPr>
        <w:pStyle w:val="ListParagraph"/>
        <w:numPr>
          <w:ilvl w:val="0"/>
          <w:numId w:val="2"/>
        </w:numPr>
        <w:spacing w:after="80" w:line="276"/>
      </w:pPr>
      <w:r>
        <w:rPr>
          <w:rFonts w:ascii="Arial" w:cs="Arial" w:eastAsia="Arial" w:hAnsi="Arial"/>
          <w:b/>
          <w:bCs/>
          <w:sz w:val="21"/>
          <w:szCs w:val="21"/>
        </w:rPr>
        <w:t xml:space="preserve">Liquidity-based SL: </w:t>
      </w:r>
      <w:r>
        <w:rPr>
          <w:rFonts w:ascii="Arial" w:cs="Arial" w:eastAsia="Arial" w:hAnsi="Arial"/>
          <w:sz w:val="21"/>
          <w:szCs w:val="21"/>
        </w:rPr>
        <w:t xml:space="preserve">If a recent liquidity sweep level exists beyond the OB, place SL 5 pips beyond the sweep wick. This guards against double-sweep scenarios.</w:t>
      </w:r>
    </w:p>
    <w:p>
      <w:pPr>
        <w:pStyle w:val="ListParagraph"/>
        <w:numPr>
          <w:ilvl w:val="0"/>
          <w:numId w:val="2"/>
        </w:numPr>
        <w:spacing w:after="80" w:line="276"/>
      </w:pPr>
      <w:r>
        <w:rPr>
          <w:rFonts w:ascii="Arial" w:cs="Arial" w:eastAsia="Arial" w:hAnsi="Arial"/>
          <w:b/>
          <w:bCs/>
          <w:sz w:val="21"/>
          <w:szCs w:val="21"/>
        </w:rPr>
        <w:t xml:space="preserve">Maximum SL cap: </w:t>
      </w:r>
      <w:r>
        <w:rPr>
          <w:rFonts w:ascii="Arial" w:cs="Arial" w:eastAsia="Arial" w:hAnsi="Arial"/>
          <w:sz w:val="21"/>
          <w:szCs w:val="21"/>
        </w:rPr>
        <w:t xml:space="preserve">70 pips. If structural SL would exceed 70 pips, skip the trade — risk-reward becomes unfavorable at minimum 1:2 RR.</w:t>
      </w:r>
    </w:p>
    <w:p>
      <w:pPr>
        <w:pStyle w:val="Heading2"/>
        <w:spacing w:before="280" w:after="160"/>
      </w:pPr>
      <w:r>
        <w:rPr>
          <w:rFonts w:ascii="Arial" w:cs="Arial" w:eastAsia="Arial" w:hAnsi="Arial"/>
          <w:b/>
          <w:bCs/>
          <w:color w:val="2A5F8F"/>
          <w:sz w:val="26"/>
          <w:szCs w:val="26"/>
        </w:rPr>
        <w:t xml:space="preserve">4.3 Risk-Reward Requirements</w:t>
      </w:r>
    </w:p>
    <w:p>
      <w:pPr>
        <w:pStyle w:val="ListParagraph"/>
        <w:numPr>
          <w:ilvl w:val="0"/>
          <w:numId w:val="2"/>
        </w:numPr>
        <w:spacing w:after="80" w:line="276"/>
      </w:pPr>
      <w:r>
        <w:rPr>
          <w:rFonts w:ascii="Arial" w:cs="Arial" w:eastAsia="Arial" w:hAnsi="Arial"/>
          <w:sz w:val="21"/>
          <w:szCs w:val="21"/>
        </w:rPr>
        <w:t xml:space="preserve">Minimum Risk-Reward Ratio: 1:2 (mandatory for all entries)</w:t>
      </w:r>
    </w:p>
    <w:p>
      <w:pPr>
        <w:pStyle w:val="ListParagraph"/>
        <w:numPr>
          <w:ilvl w:val="0"/>
          <w:numId w:val="2"/>
        </w:numPr>
        <w:spacing w:after="80" w:line="276"/>
      </w:pPr>
      <w:r>
        <w:rPr>
          <w:rFonts w:ascii="Arial" w:cs="Arial" w:eastAsia="Arial" w:hAnsi="Arial"/>
          <w:sz w:val="21"/>
          <w:szCs w:val="21"/>
        </w:rPr>
        <w:t xml:space="preserve">Target Risk-Reward: 1:3 for London killzone entries with full confluence</w:t>
      </w:r>
    </w:p>
    <w:p>
      <w:pPr>
        <w:pStyle w:val="ListParagraph"/>
        <w:numPr>
          <w:ilvl w:val="0"/>
          <w:numId w:val="2"/>
        </w:numPr>
        <w:spacing w:after="80" w:line="276"/>
      </w:pPr>
      <w:r>
        <w:rPr>
          <w:rFonts w:ascii="Arial" w:cs="Arial" w:eastAsia="Arial" w:hAnsi="Arial"/>
          <w:sz w:val="21"/>
          <w:szCs w:val="21"/>
        </w:rPr>
        <w:t xml:space="preserve">Partial close at 1:1 RR (close 50% of position, move SL to breakeven)</w:t>
      </w:r>
    </w:p>
    <w:p>
      <w:pPr>
        <w:pStyle w:val="ListParagraph"/>
        <w:numPr>
          <w:ilvl w:val="0"/>
          <w:numId w:val="2"/>
        </w:numPr>
        <w:spacing w:after="80" w:line="276"/>
      </w:pPr>
      <w:r>
        <w:rPr>
          <w:rFonts w:ascii="Arial" w:cs="Arial" w:eastAsia="Arial" w:hAnsi="Arial"/>
          <w:sz w:val="21"/>
          <w:szCs w:val="21"/>
        </w:rPr>
        <w:t xml:space="preserve">Remainder targets 1:3 or next significant liquidity pool</w:t>
      </w:r>
    </w:p>
    <w:p>
      <w:pPr>
        <w:pStyle w:val="Heading2"/>
        <w:spacing w:before="280" w:after="160"/>
      </w:pPr>
      <w:r>
        <w:rPr>
          <w:rFonts w:ascii="Arial" w:cs="Arial" w:eastAsia="Arial" w:hAnsi="Arial"/>
          <w:b/>
          <w:bCs/>
          <w:color w:val="2A5F8F"/>
          <w:sz w:val="26"/>
          <w:szCs w:val="26"/>
        </w:rPr>
        <w:t xml:space="preserve">4.4 FTMO Compliance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FTMO Rule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Limit</w:t>
            </w:r>
          </w:p>
        </w:tc>
        <w:tc>
          <w:tcPr>
            <w:tcW w:type="dxa" w:w="402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EA Implementation</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Max Daily Loss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 (€500)</w:t>
            </w:r>
          </w:p>
        </w:tc>
        <w:tc>
          <w:tcPr>
            <w:tcW w:type="dxa" w:w="4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Real-time equity monitoring. Close all positions and halt trading when floating + realized daily loss reaches €400 (80% safety buffer).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Max Total Drawdown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 (€1,000)</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Track peak equity. Halt trading when drawdown from peak reaches 8% (€800). Resume only after manual review.</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Profit Target (Phase 1)</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 (€1,000)</w:t>
            </w:r>
          </w:p>
        </w:tc>
        <w:tc>
          <w:tcPr>
            <w:tcW w:type="dxa" w:w="4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 EA action needed — informational tracking only.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Profit Target (Phase 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(€500)</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EA action needed — informational tracking only.</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Minimum Trading Days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 days</w:t>
            </w:r>
          </w:p>
        </w:tc>
        <w:tc>
          <w:tcPr>
            <w:tcW w:type="dxa" w:w="4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EA logs each day a trade is placed. Dashboard alert if fewer than 4 days by day 25.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Weekend Holding (Funded)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Close before weekend</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Friday position closure at 20:00 UTC for funded accounts. Configurable per account phase.</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News Trading (Funded)</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2-min buffer</w:t>
            </w:r>
          </w:p>
        </w:tc>
        <w:tc>
          <w:tcPr>
            <w:tcW w:type="dxa" w:w="4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Calendar integration to pause entries 2 minutes before and after high-impact GBP/JPY news events.</w:t>
            </w:r>
          </w:p>
        </w:tc>
      </w:tr>
    </w:tbl>
    <w:p>
      <w:pPr>
        <w:spacing w:after="120" w:line="276"/>
      </w:pPr>
      <w:r>
        <w:rPr>
          <w:rFonts w:ascii="Arial" w:cs="Arial" w:eastAsia="Arial" w:hAnsi="Arial"/>
          <w:sz w:val="21"/>
          <w:szCs w:val="21"/>
        </w:rPr>
        <w:t xml:space="preserve"/>
      </w:r>
    </w:p>
    <w:p>
      <w:pPr>
        <w:pStyle w:val="Heading2"/>
        <w:spacing w:before="280" w:after="160"/>
      </w:pPr>
      <w:r>
        <w:rPr>
          <w:rFonts w:ascii="Arial" w:cs="Arial" w:eastAsia="Arial" w:hAnsi="Arial"/>
          <w:b/>
          <w:bCs/>
          <w:color w:val="2A5F8F"/>
          <w:sz w:val="26"/>
          <w:szCs w:val="26"/>
        </w:rPr>
        <w:t xml:space="preserve">4.5 Daily Drawdown Protection Protocol</w:t>
      </w:r>
    </w:p>
    <w:p>
      <w:pPr>
        <w:pStyle w:val="ListParagraph"/>
        <w:numPr>
          <w:ilvl w:val="0"/>
          <w:numId w:val="3"/>
        </w:numPr>
        <w:spacing w:after="80" w:line="276"/>
      </w:pPr>
      <w:r>
        <w:rPr>
          <w:rFonts w:ascii="Arial" w:cs="Arial" w:eastAsia="Arial" w:hAnsi="Arial"/>
          <w:sz w:val="21"/>
          <w:szCs w:val="21"/>
        </w:rPr>
        <w:t xml:space="preserve">At session open, EA records starting equity as dailyStartEquity.</w:t>
      </w:r>
    </w:p>
    <w:p>
      <w:pPr>
        <w:pStyle w:val="ListParagraph"/>
        <w:numPr>
          <w:ilvl w:val="0"/>
          <w:numId w:val="3"/>
        </w:numPr>
        <w:spacing w:after="80" w:line="276"/>
      </w:pPr>
      <w:r>
        <w:rPr>
          <w:rFonts w:ascii="Arial" w:cs="Arial" w:eastAsia="Arial" w:hAnsi="Arial"/>
          <w:sz w:val="21"/>
          <w:szCs w:val="21"/>
        </w:rPr>
        <w:t xml:space="preserve">On every tick, EA calculates: currentDrawdown = dailyStartEquity - currentEquity (including floating P&amp;L).</w:t>
      </w:r>
    </w:p>
    <w:p>
      <w:pPr>
        <w:pStyle w:val="ListParagraph"/>
        <w:numPr>
          <w:ilvl w:val="0"/>
          <w:numId w:val="3"/>
        </w:numPr>
        <w:spacing w:after="80" w:line="276"/>
      </w:pPr>
      <w:r>
        <w:rPr>
          <w:rFonts w:ascii="Arial" w:cs="Arial" w:eastAsia="Arial" w:hAnsi="Arial"/>
          <w:sz w:val="21"/>
          <w:szCs w:val="21"/>
        </w:rPr>
        <w:t xml:space="preserve">Warning Level (3.5% / €350): EA reduces position size to 0.5% risk and sends Telegram alert.</w:t>
      </w:r>
    </w:p>
    <w:p>
      <w:pPr>
        <w:pStyle w:val="ListParagraph"/>
        <w:numPr>
          <w:ilvl w:val="0"/>
          <w:numId w:val="3"/>
        </w:numPr>
        <w:spacing w:after="80" w:line="276"/>
      </w:pPr>
      <w:r>
        <w:rPr>
          <w:rFonts w:ascii="Arial" w:cs="Arial" w:eastAsia="Arial" w:hAnsi="Arial"/>
          <w:sz w:val="21"/>
          <w:szCs w:val="21"/>
        </w:rPr>
        <w:t xml:space="preserve">Critical Level (4.0% / €400): EA closes all open positions and halts new entries for the remainder of the day.</w:t>
      </w:r>
    </w:p>
    <w:p>
      <w:pPr>
        <w:pStyle w:val="ListParagraph"/>
        <w:numPr>
          <w:ilvl w:val="0"/>
          <w:numId w:val="3"/>
        </w:numPr>
        <w:spacing w:after="80" w:line="276"/>
      </w:pPr>
      <w:r>
        <w:rPr>
          <w:rFonts w:ascii="Arial" w:cs="Arial" w:eastAsia="Arial" w:hAnsi="Arial"/>
          <w:sz w:val="21"/>
          <w:szCs w:val="21"/>
        </w:rPr>
        <w:t xml:space="preserve">Hard Stop (5.0% / €500): Absolute maximum. If critical level fails (slippage/gap), this is the FTMO violation threshold.</w:t>
      </w:r>
    </w:p>
    <w:p>
      <w:pPr>
        <w:pStyle w:val="ListParagraph"/>
        <w:numPr>
          <w:ilvl w:val="0"/>
          <w:numId w:val="3"/>
        </w:numPr>
        <w:spacing w:after="80" w:line="276"/>
      </w:pPr>
      <w:r>
        <w:rPr>
          <w:rFonts w:ascii="Arial" w:cs="Arial" w:eastAsia="Arial" w:hAnsi="Arial"/>
          <w:sz w:val="21"/>
          <w:szCs w:val="21"/>
        </w:rPr>
        <w:t xml:space="preserve">Reset: dailyStartEquity recalculated at 00:00 CET (23:00 UTC winter / 22:00 UTC summer).</w:t>
      </w:r>
    </w:p>
    <w:p>
      <w:r>
        <w:br w:type="page"/>
      </w:r>
    </w:p>
    <w:p>
      <w:pPr>
        <w:pStyle w:val="Heading1"/>
        <w:spacing w:before="360" w:after="200"/>
      </w:pPr>
      <w:r>
        <w:rPr>
          <w:rFonts w:ascii="Arial" w:cs="Arial" w:eastAsia="Arial" w:hAnsi="Arial"/>
          <w:b/>
          <w:bCs/>
          <w:color w:val="1B3A5C"/>
          <w:sz w:val="32"/>
          <w:szCs w:val="32"/>
        </w:rPr>
        <w:t xml:space="preserve">5. Killzone Timing Windows</w:t>
      </w:r>
    </w:p>
    <w:p>
      <w:pPr>
        <w:spacing w:after="120" w:line="276"/>
      </w:pPr>
      <w:r>
        <w:rPr>
          <w:rFonts w:ascii="Arial" w:cs="Arial" w:eastAsia="Arial" w:hAnsi="Arial"/>
          <w:sz w:val="21"/>
          <w:szCs w:val="21"/>
        </w:rPr>
        <w:t xml:space="preserve">ICT killzones define the exact time windows when institutional order flow is most active and tradeable. The EA restricts all entries to these windows. All times are in UTC and account for daylight saving adjustments.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Killzone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UTC (Winter)</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UTC (Summer/DST)</w:t>
            </w:r>
          </w:p>
        </w:tc>
        <w:tc>
          <w:tcPr>
            <w:tcW w:type="dxa" w:w="302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EA Action</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Asian KZ</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00:00 – 02:00</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23:00 – 01:00</w:t>
            </w:r>
          </w:p>
        </w:tc>
        <w:tc>
          <w:tcPr>
            <w:tcW w:type="dxa" w:w="3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 TRADING. Observe structure forming for London anticipation.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London Open KZ</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07:00 – 10:00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06:00 – 09:00</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 ENTRY WINDOW. Full risk allocation. All ICT setups valid.</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London–NY Overlap KZ</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12:00 – 15:00</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12:00 – 15:00</w:t>
            </w:r>
          </w:p>
        </w:tc>
        <w:tc>
          <w:tcPr>
            <w:tcW w:type="dxa" w:w="3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SECONDARY ENTRY WINDOW. Only if London did not produce entry. 75% risk allocation.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London Close KZ</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15:00 – 17:00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15:00 – 17:00</w:t>
            </w:r>
          </w:p>
        </w:tc>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POSITION MANAGEMENT ONLY. No new entries. Trail stops or partial close.</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NY Afternoon</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17:00 – 21:00</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17:00 – 21:00</w:t>
            </w:r>
          </w:p>
        </w:tc>
        <w:tc>
          <w:tcPr>
            <w:tcW w:type="dxa" w:w="30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 TRADING. Reduced liquidity, wider spreads for GBPJPY.</w:t>
            </w:r>
          </w:p>
        </w:tc>
      </w:tr>
    </w:tbl>
    <w:p>
      <w:pPr>
        <w:spacing w:after="120" w:line="276"/>
      </w:pPr>
      <w:r>
        <w:rPr>
          <w:rFonts w:ascii="Arial" w:cs="Arial" w:eastAsia="Arial" w:hAnsi="Arial"/>
          <w:sz w:val="21"/>
          <w:szCs w:val="21"/>
        </w:rPr>
        <w:t xml:space="preserve"/>
      </w:r>
    </w:p>
    <w:p>
      <w:pPr>
        <w:pStyle w:val="Heading3"/>
        <w:spacing w:before="200" w:after="120"/>
      </w:pPr>
      <w:r>
        <w:rPr>
          <w:rFonts w:ascii="Arial" w:cs="Arial" w:eastAsia="Arial" w:hAnsi="Arial"/>
          <w:b/>
          <w:bCs/>
          <w:color w:val="333333"/>
          <w:sz w:val="22"/>
          <w:szCs w:val="22"/>
        </w:rPr>
        <w:t xml:space="preserve">5.1 DST Handling</w:t>
      </w:r>
    </w:p>
    <w:p>
      <w:pPr>
        <w:spacing w:after="120" w:line="276"/>
      </w:pPr>
      <w:r>
        <w:rPr>
          <w:rFonts w:ascii="Arial" w:cs="Arial" w:eastAsia="Arial" w:hAnsi="Arial"/>
          <w:sz w:val="21"/>
          <w:szCs w:val="21"/>
        </w:rPr>
        <w:t xml:space="preserve">The EA must account for daylight saving time shifts. UK clocks change on the last Sunday of March (spring forward) and the last Sunday of October (fall back). US clocks change on the second Sunday of March and the first Sunday of November. During the brief periods when UK and US are on different DST schedules, the London–NY overlap window shifts by one hour. The EA should use a configurable UTC offset parameter for each killzone that can be adjusted seasonally, or implement automatic DST detection based on the broker server time.</w:t>
      </w:r>
    </w:p>
    <w:p>
      <w:r>
        <w:br w:type="page"/>
      </w:r>
    </w:p>
    <w:p>
      <w:pPr>
        <w:pStyle w:val="Heading1"/>
        <w:spacing w:before="360" w:after="200"/>
      </w:pPr>
      <w:r>
        <w:rPr>
          <w:rFonts w:ascii="Arial" w:cs="Arial" w:eastAsia="Arial" w:hAnsi="Arial"/>
          <w:b/>
          <w:bCs/>
          <w:color w:val="1B3A5C"/>
          <w:sz w:val="32"/>
          <w:szCs w:val="32"/>
        </w:rPr>
        <w:t xml:space="preserve">6. Example Trade Scenarios</w:t>
      </w:r>
    </w:p>
    <w:p>
      <w:pPr>
        <w:pStyle w:val="Heading2"/>
        <w:spacing w:before="280" w:after="160"/>
      </w:pPr>
      <w:r>
        <w:rPr>
          <w:rFonts w:ascii="Arial" w:cs="Arial" w:eastAsia="Arial" w:hAnsi="Arial"/>
          <w:b/>
          <w:bCs/>
          <w:color w:val="2A5F8F"/>
          <w:sz w:val="26"/>
          <w:szCs w:val="26"/>
        </w:rPr>
        <w:t xml:space="preserve">6.1 Scenario 1: London Open Bullish OB + FVG Long</w:t>
      </w:r>
    </w:p>
    <w:p>
      <w:pPr>
        <w:spacing w:after="120" w:line="276"/>
      </w:pPr>
      <w:r>
        <w:rPr>
          <w:rFonts w:ascii="Arial" w:cs="Arial" w:eastAsia="Arial" w:hAnsi="Arial"/>
          <w:i/>
          <w:iCs/>
          <w:sz w:val="21"/>
          <w:szCs w:val="21"/>
        </w:rPr>
        <w:t xml:space="preserve">This scenario demonstrates the ideal long setup during the London killzone with full ICT confluence.</w:t>
      </w:r>
    </w:p>
    <w:p>
      <w:pPr>
        <w:pStyle w:val="Heading3"/>
        <w:spacing w:before="200" w:after="120"/>
      </w:pPr>
      <w:r>
        <w:rPr>
          <w:rFonts w:ascii="Arial" w:cs="Arial" w:eastAsia="Arial" w:hAnsi="Arial"/>
          <w:b/>
          <w:bCs/>
          <w:color w:val="333333"/>
          <w:sz w:val="22"/>
          <w:szCs w:val="22"/>
        </w:rPr>
        <w:t xml:space="preserve">Setup Context</w:t>
      </w:r>
    </w:p>
    <w:p>
      <w:pPr>
        <w:spacing w:after="120" w:line="276"/>
      </w:pPr>
      <w:r>
        <w:rPr>
          <w:rFonts w:ascii="Arial" w:cs="Arial" w:eastAsia="Arial" w:hAnsi="Arial"/>
          <w:sz w:val="21"/>
          <w:szCs w:val="21"/>
        </w:rPr>
        <w:t xml:space="preserve">D1 bias is bullish (higher highs and higher lows). H4 is in a pullback to discount zone after an impulsive leg up. Price is at the 68% Fibonacci retracement of the H4 impulse (within the OTE zone). An unmitigated H1 bullish order block exists at 191.200–191.350 (the last bearish H1 candle before the recent H4 impulse). Time: 07:15 UTC (London killzone open).</w:t>
      </w:r>
    </w:p>
    <w:p>
      <w:pPr>
        <w:pStyle w:val="Heading3"/>
        <w:spacing w:before="200" w:after="120"/>
      </w:pPr>
      <w:r>
        <w:rPr>
          <w:rFonts w:ascii="Arial" w:cs="Arial" w:eastAsia="Arial" w:hAnsi="Arial"/>
          <w:b/>
          <w:bCs/>
          <w:color w:val="333333"/>
          <w:sz w:val="22"/>
          <w:szCs w:val="22"/>
        </w:rPr>
        <w:t xml:space="preserve">Step-by-Step Execution</w:t>
      </w:r>
    </w:p>
    <w:p>
      <w:pPr>
        <w:pStyle w:val="ListParagraph"/>
        <w:numPr>
          <w:ilvl w:val="0"/>
          <w:numId w:val="4"/>
        </w:numPr>
        <w:spacing w:after="80" w:line="276"/>
      </w:pPr>
      <w:r>
        <w:rPr>
          <w:rFonts w:ascii="Arial" w:cs="Arial" w:eastAsia="Arial" w:hAnsi="Arial"/>
          <w:b/>
          <w:bCs/>
          <w:sz w:val="21"/>
          <w:szCs w:val="21"/>
        </w:rPr>
        <w:t xml:space="preserve">Asian Session Observation: </w:t>
      </w:r>
      <w:r>
        <w:rPr>
          <w:rFonts w:ascii="Arial" w:cs="Arial" w:eastAsia="Arial" w:hAnsi="Arial"/>
          <w:sz w:val="21"/>
          <w:szCs w:val="21"/>
        </w:rPr>
        <w:t xml:space="preserve">During Asian hours (00:00–06:00 UTC), price consolidated between 191.250 and 191.500, creating equal lows at 191.250 (sell-side liquidity cluster).</w:t>
      </w:r>
    </w:p>
    <w:p>
      <w:pPr>
        <w:pStyle w:val="ListParagraph"/>
        <w:numPr>
          <w:ilvl w:val="0"/>
          <w:numId w:val="4"/>
        </w:numPr>
        <w:spacing w:after="80" w:line="276"/>
      </w:pPr>
      <w:r>
        <w:rPr>
          <w:rFonts w:ascii="Arial" w:cs="Arial" w:eastAsia="Arial" w:hAnsi="Arial"/>
          <w:b/>
          <w:bCs/>
          <w:sz w:val="21"/>
          <w:szCs w:val="21"/>
        </w:rPr>
        <w:t xml:space="preserve">Liquidity Sweep: </w:t>
      </w:r>
      <w:r>
        <w:rPr>
          <w:rFonts w:ascii="Arial" w:cs="Arial" w:eastAsia="Arial" w:hAnsi="Arial"/>
          <w:sz w:val="21"/>
          <w:szCs w:val="21"/>
        </w:rPr>
        <w:t xml:space="preserve">At 07:05 UTC, price spikes down to 191.180, sweeping the equal lows and triggering sell stops. The wick reaches 70 pips below the equal low level but the candle closes at 191.290 (back inside the range). This is a valid sell-side liquidity sweep.</w:t>
      </w:r>
    </w:p>
    <w:p>
      <w:pPr>
        <w:pStyle w:val="ListParagraph"/>
        <w:numPr>
          <w:ilvl w:val="0"/>
          <w:numId w:val="4"/>
        </w:numPr>
        <w:spacing w:after="80" w:line="276"/>
      </w:pPr>
      <w:r>
        <w:rPr>
          <w:rFonts w:ascii="Arial" w:cs="Arial" w:eastAsia="Arial" w:hAnsi="Arial"/>
          <w:b/>
          <w:bCs/>
          <w:sz w:val="21"/>
          <w:szCs w:val="21"/>
        </w:rPr>
        <w:t xml:space="preserve">Order Block Retest: </w:t>
      </w:r>
      <w:r>
        <w:rPr>
          <w:rFonts w:ascii="Arial" w:cs="Arial" w:eastAsia="Arial" w:hAnsi="Arial"/>
          <w:sz w:val="21"/>
          <w:szCs w:val="21"/>
        </w:rPr>
        <w:t xml:space="preserve">The sweep pushed price into the H1 bullish OB zone (191.200–191.350). Price is now sitting inside the OB.</w:t>
      </w:r>
    </w:p>
    <w:p>
      <w:pPr>
        <w:pStyle w:val="ListParagraph"/>
        <w:numPr>
          <w:ilvl w:val="0"/>
          <w:numId w:val="4"/>
        </w:numPr>
        <w:spacing w:after="80" w:line="276"/>
      </w:pPr>
      <w:r>
        <w:rPr>
          <w:rFonts w:ascii="Arial" w:cs="Arial" w:eastAsia="Arial" w:hAnsi="Arial"/>
          <w:b/>
          <w:bCs/>
          <w:sz w:val="21"/>
          <w:szCs w:val="21"/>
        </w:rPr>
        <w:t xml:space="preserve">MSS Confirmation: </w:t>
      </w:r>
      <w:r>
        <w:rPr>
          <w:rFonts w:ascii="Arial" w:cs="Arial" w:eastAsia="Arial" w:hAnsi="Arial"/>
          <w:sz w:val="21"/>
          <w:szCs w:val="21"/>
        </w:rPr>
        <w:t xml:space="preserve">At 07:30 UTC on M15, price breaks above the most recent M15 lower high at 191.420 with a strong displacement candle (25-pip body). This is a valid bullish MSS on M15.</w:t>
      </w:r>
    </w:p>
    <w:p>
      <w:pPr>
        <w:pStyle w:val="ListParagraph"/>
        <w:numPr>
          <w:ilvl w:val="0"/>
          <w:numId w:val="4"/>
        </w:numPr>
        <w:spacing w:after="80" w:line="276"/>
      </w:pPr>
      <w:r>
        <w:rPr>
          <w:rFonts w:ascii="Arial" w:cs="Arial" w:eastAsia="Arial" w:hAnsi="Arial"/>
          <w:b/>
          <w:bCs/>
          <w:sz w:val="21"/>
          <w:szCs w:val="21"/>
        </w:rPr>
        <w:t xml:space="preserve">FVG Identification: </w:t>
      </w:r>
      <w:r>
        <w:rPr>
          <w:rFonts w:ascii="Arial" w:cs="Arial" w:eastAsia="Arial" w:hAnsi="Arial"/>
          <w:sz w:val="21"/>
          <w:szCs w:val="21"/>
        </w:rPr>
        <w:t xml:space="preserve">The displacement candle creates a bullish FVG between 191.380 (Candle 1 high) and 191.440 (Candle 3 low). Gap size = 60 pips, exceeding the 15-pip minimum. The CE (50%) level is at 191.410.</w:t>
      </w:r>
    </w:p>
    <w:p>
      <w:pPr>
        <w:pStyle w:val="ListParagraph"/>
        <w:numPr>
          <w:ilvl w:val="0"/>
          <w:numId w:val="4"/>
        </w:numPr>
        <w:spacing w:after="80" w:line="276"/>
      </w:pPr>
      <w:r>
        <w:rPr>
          <w:rFonts w:ascii="Arial" w:cs="Arial" w:eastAsia="Arial" w:hAnsi="Arial"/>
          <w:b/>
          <w:bCs/>
          <w:sz w:val="21"/>
          <w:szCs w:val="21"/>
        </w:rPr>
        <w:t xml:space="preserve">Entry Execution: </w:t>
      </w:r>
      <w:r>
        <w:rPr>
          <w:rFonts w:ascii="Arial" w:cs="Arial" w:eastAsia="Arial" w:hAnsi="Arial"/>
          <w:sz w:val="21"/>
          <w:szCs w:val="21"/>
        </w:rPr>
        <w:t xml:space="preserve">Limit buy order placed at CE level 191.410. Stop loss at 191.150 (10 pips below the H1 OB low and below the liquidity sweep wick). SL distance = 26 pips.</w:t>
      </w:r>
    </w:p>
    <w:p>
      <w:pPr>
        <w:pStyle w:val="ListParagraph"/>
        <w:numPr>
          <w:ilvl w:val="0"/>
          <w:numId w:val="4"/>
        </w:numPr>
        <w:spacing w:after="80" w:line="276"/>
      </w:pPr>
      <w:r>
        <w:rPr>
          <w:rFonts w:ascii="Arial" w:cs="Arial" w:eastAsia="Arial" w:hAnsi="Arial"/>
          <w:b/>
          <w:bCs/>
          <w:sz w:val="21"/>
          <w:szCs w:val="21"/>
        </w:rPr>
        <w:t xml:space="preserve">Risk Calculation: </w:t>
      </w:r>
      <w:r>
        <w:rPr>
          <w:rFonts w:ascii="Arial" w:cs="Arial" w:eastAsia="Arial" w:hAnsi="Arial"/>
          <w:sz w:val="21"/>
          <w:szCs w:val="21"/>
        </w:rPr>
        <w:t xml:space="preserve">Account equity: €10,000. Risk: 1% = €100. SL: 26 pips. Pip value: ~€6.50/pip per standard lot. Lot size = 100 / (26 × 6.50) = 0.59 lots.</w:t>
      </w:r>
    </w:p>
    <w:p>
      <w:pPr>
        <w:pStyle w:val="ListParagraph"/>
        <w:numPr>
          <w:ilvl w:val="0"/>
          <w:numId w:val="4"/>
        </w:numPr>
        <w:spacing w:after="80" w:line="276"/>
      </w:pPr>
      <w:r>
        <w:rPr>
          <w:rFonts w:ascii="Arial" w:cs="Arial" w:eastAsia="Arial" w:hAnsi="Arial"/>
          <w:b/>
          <w:bCs/>
          <w:sz w:val="21"/>
          <w:szCs w:val="21"/>
        </w:rPr>
        <w:t xml:space="preserve">Take Profit: </w:t>
      </w:r>
      <w:r>
        <w:rPr>
          <w:rFonts w:ascii="Arial" w:cs="Arial" w:eastAsia="Arial" w:hAnsi="Arial"/>
          <w:sz w:val="21"/>
          <w:szCs w:val="21"/>
        </w:rPr>
        <w:t xml:space="preserve">TP1 at 191.670 (1:1 RR, 26 pips) — close 50%, move SL to breakeven. TP2 at 192.190 (1:3 RR, 78 pips) — close remaining 50% at next buy-side liquidity level (previous H4 swing high).</w:t>
      </w:r>
    </w:p>
    <w:p>
      <w:pPr>
        <w:pStyle w:val="ListParagraph"/>
        <w:numPr>
          <w:ilvl w:val="0"/>
          <w:numId w:val="4"/>
        </w:numPr>
        <w:spacing w:after="80" w:line="276"/>
      </w:pPr>
      <w:r>
        <w:rPr>
          <w:rFonts w:ascii="Arial" w:cs="Arial" w:eastAsia="Arial" w:hAnsi="Arial"/>
          <w:b/>
          <w:bCs/>
          <w:sz w:val="21"/>
          <w:szCs w:val="21"/>
        </w:rPr>
        <w:t xml:space="preserve">Result: </w:t>
      </w:r>
      <w:r>
        <w:rPr>
          <w:rFonts w:ascii="Arial" w:cs="Arial" w:eastAsia="Arial" w:hAnsi="Arial"/>
          <w:sz w:val="21"/>
          <w:szCs w:val="21"/>
        </w:rPr>
        <w:t xml:space="preserve">Trade hits TP1 at 08:45 UTC. Partial close locks in €50 profit. SL moved to breakeven. TP2 hit at 14:30 UTC during London–NY overlap. Total profit: €50 + €50 = €100 (1% account gain).</w:t>
      </w:r>
    </w:p>
    <w:p>
      <w:r>
        <w:br w:type="page"/>
      </w:r>
    </w:p>
    <w:p>
      <w:pPr>
        <w:pStyle w:val="Heading2"/>
        <w:spacing w:before="280" w:after="160"/>
      </w:pPr>
      <w:r>
        <w:rPr>
          <w:rFonts w:ascii="Arial" w:cs="Arial" w:eastAsia="Arial" w:hAnsi="Arial"/>
          <w:b/>
          <w:bCs/>
          <w:color w:val="2A5F8F"/>
          <w:sz w:val="26"/>
          <w:szCs w:val="26"/>
        </w:rPr>
        <w:t xml:space="preserve">6.2 Scenario 2: London–NY Overlap Bearish Reversal Short</w:t>
      </w:r>
    </w:p>
    <w:p>
      <w:pPr>
        <w:spacing w:after="120" w:line="276"/>
      </w:pPr>
      <w:r>
        <w:rPr>
          <w:rFonts w:ascii="Arial" w:cs="Arial" w:eastAsia="Arial" w:hAnsi="Arial"/>
          <w:i/>
          <w:iCs/>
          <w:sz w:val="21"/>
          <w:szCs w:val="21"/>
        </w:rPr>
        <w:t xml:space="preserve">This scenario demonstrates a bearish reversal trade during the London–NY overlap after a failed London session high.</w:t>
      </w:r>
    </w:p>
    <w:p>
      <w:pPr>
        <w:pStyle w:val="Heading3"/>
        <w:spacing w:before="200" w:after="120"/>
      </w:pPr>
      <w:r>
        <w:rPr>
          <w:rFonts w:ascii="Arial" w:cs="Arial" w:eastAsia="Arial" w:hAnsi="Arial"/>
          <w:b/>
          <w:bCs/>
          <w:color w:val="333333"/>
          <w:sz w:val="22"/>
          <w:szCs w:val="22"/>
        </w:rPr>
        <w:t xml:space="preserve">Setup Context</w:t>
      </w:r>
    </w:p>
    <w:p>
      <w:pPr>
        <w:spacing w:after="120" w:line="276"/>
      </w:pPr>
      <w:r>
        <w:rPr>
          <w:rFonts w:ascii="Arial" w:cs="Arial" w:eastAsia="Arial" w:hAnsi="Arial"/>
          <w:sz w:val="21"/>
          <w:szCs w:val="21"/>
        </w:rPr>
        <w:t xml:space="preserve">D1 bias is bearish (lower highs and lower lows forming). H4 has rallied into premium zone (above 50% of the recent swing range), reaching the 72% Fibonacci level (OTE zone for shorts). An unmitigated H4 bearish order block exists at 193.800–194.050. Time: 12:30 UTC.</w:t>
      </w:r>
    </w:p>
    <w:p>
      <w:pPr>
        <w:pStyle w:val="Heading3"/>
        <w:spacing w:before="200" w:after="120"/>
      </w:pPr>
      <w:r>
        <w:rPr>
          <w:rFonts w:ascii="Arial" w:cs="Arial" w:eastAsia="Arial" w:hAnsi="Arial"/>
          <w:b/>
          <w:bCs/>
          <w:color w:val="333333"/>
          <w:sz w:val="22"/>
          <w:szCs w:val="22"/>
        </w:rPr>
        <w:t xml:space="preserve">Step-by-Step Execution</w:t>
      </w:r>
    </w:p>
    <w:p>
      <w:pPr>
        <w:pStyle w:val="ListParagraph"/>
        <w:numPr>
          <w:ilvl w:val="0"/>
          <w:numId w:val="5"/>
        </w:numPr>
        <w:spacing w:after="80" w:line="276"/>
      </w:pPr>
      <w:r>
        <w:rPr>
          <w:rFonts w:ascii="Arial" w:cs="Arial" w:eastAsia="Arial" w:hAnsi="Arial"/>
          <w:b/>
          <w:bCs/>
          <w:sz w:val="21"/>
          <w:szCs w:val="21"/>
        </w:rPr>
        <w:t xml:space="preserve">London Session Context: </w:t>
      </w:r>
      <w:r>
        <w:rPr>
          <w:rFonts w:ascii="Arial" w:cs="Arial" w:eastAsia="Arial" w:hAnsi="Arial"/>
          <w:sz w:val="21"/>
          <w:szCs w:val="21"/>
        </w:rPr>
        <w:t xml:space="preserve">During London open (07:00–10:00), price rallied from 193.200 to 193.950, creating a buy-side liquidity pool at the session high. Multiple retail traders placed buy stops above 193.950.</w:t>
      </w:r>
    </w:p>
    <w:p>
      <w:pPr>
        <w:pStyle w:val="ListParagraph"/>
        <w:numPr>
          <w:ilvl w:val="0"/>
          <w:numId w:val="5"/>
        </w:numPr>
        <w:spacing w:after="80" w:line="276"/>
      </w:pPr>
      <w:r>
        <w:rPr>
          <w:rFonts w:ascii="Arial" w:cs="Arial" w:eastAsia="Arial" w:hAnsi="Arial"/>
          <w:b/>
          <w:bCs/>
          <w:sz w:val="21"/>
          <w:szCs w:val="21"/>
        </w:rPr>
        <w:t xml:space="preserve">BSL Sweep: </w:t>
      </w:r>
      <w:r>
        <w:rPr>
          <w:rFonts w:ascii="Arial" w:cs="Arial" w:eastAsia="Arial" w:hAnsi="Arial"/>
          <w:sz w:val="21"/>
          <w:szCs w:val="21"/>
        </w:rPr>
        <w:t xml:space="preserve">At 12:15 UTC, price pushes to 194.020, sweeping buy-side liquidity above 193.950 and entering the H4 bearish OB zone. The candle wicks to 194.020 but closes at 193.880.</w:t>
      </w:r>
    </w:p>
    <w:p>
      <w:pPr>
        <w:pStyle w:val="ListParagraph"/>
        <w:numPr>
          <w:ilvl w:val="0"/>
          <w:numId w:val="5"/>
        </w:numPr>
        <w:spacing w:after="80" w:line="276"/>
      </w:pPr>
      <w:r>
        <w:rPr>
          <w:rFonts w:ascii="Arial" w:cs="Arial" w:eastAsia="Arial" w:hAnsi="Arial"/>
          <w:b/>
          <w:bCs/>
          <w:sz w:val="21"/>
          <w:szCs w:val="21"/>
        </w:rPr>
        <w:t xml:space="preserve">M15 Bearish MSS: </w:t>
      </w:r>
      <w:r>
        <w:rPr>
          <w:rFonts w:ascii="Arial" w:cs="Arial" w:eastAsia="Arial" w:hAnsi="Arial"/>
          <w:sz w:val="21"/>
          <w:szCs w:val="21"/>
        </w:rPr>
        <w:t xml:space="preserve">At 12:30 UTC, price breaks below the most recent M15 higher low at 193.750 with a displacement candle (30-pip body). Valid bearish MSS confirmed.</w:t>
      </w:r>
    </w:p>
    <w:p>
      <w:pPr>
        <w:pStyle w:val="ListParagraph"/>
        <w:numPr>
          <w:ilvl w:val="0"/>
          <w:numId w:val="5"/>
        </w:numPr>
        <w:spacing w:after="80" w:line="276"/>
      </w:pPr>
      <w:r>
        <w:rPr>
          <w:rFonts w:ascii="Arial" w:cs="Arial" w:eastAsia="Arial" w:hAnsi="Arial"/>
          <w:b/>
          <w:bCs/>
          <w:sz w:val="21"/>
          <w:szCs w:val="21"/>
        </w:rPr>
        <w:t xml:space="preserve">Bearish FVG: </w:t>
      </w:r>
      <w:r>
        <w:rPr>
          <w:rFonts w:ascii="Arial" w:cs="Arial" w:eastAsia="Arial" w:hAnsi="Arial"/>
          <w:sz w:val="21"/>
          <w:szCs w:val="21"/>
        </w:rPr>
        <w:t xml:space="preserve">The displacement creates a bearish FVG between 193.820 (Candle 1 low) and 193.700 (Candle 3 high). CE level at 193.760.</w:t>
      </w:r>
    </w:p>
    <w:p>
      <w:pPr>
        <w:pStyle w:val="ListParagraph"/>
        <w:numPr>
          <w:ilvl w:val="0"/>
          <w:numId w:val="5"/>
        </w:numPr>
        <w:spacing w:after="80" w:line="276"/>
      </w:pPr>
      <w:r>
        <w:rPr>
          <w:rFonts w:ascii="Arial" w:cs="Arial" w:eastAsia="Arial" w:hAnsi="Arial"/>
          <w:b/>
          <w:bCs/>
          <w:sz w:val="21"/>
          <w:szCs w:val="21"/>
        </w:rPr>
        <w:t xml:space="preserve">Entry: </w:t>
      </w:r>
      <w:r>
        <w:rPr>
          <w:rFonts w:ascii="Arial" w:cs="Arial" w:eastAsia="Arial" w:hAnsi="Arial"/>
          <w:sz w:val="21"/>
          <w:szCs w:val="21"/>
        </w:rPr>
        <w:t xml:space="preserve">Limit sell at CE level 193.760. SL at 194.080 (10 pips above the BSL sweep wick at 194.020). SL distance = 32 pips.</w:t>
      </w:r>
    </w:p>
    <w:p>
      <w:pPr>
        <w:pStyle w:val="ListParagraph"/>
        <w:numPr>
          <w:ilvl w:val="0"/>
          <w:numId w:val="5"/>
        </w:numPr>
        <w:spacing w:after="80" w:line="276"/>
      </w:pPr>
      <w:r>
        <w:rPr>
          <w:rFonts w:ascii="Arial" w:cs="Arial" w:eastAsia="Arial" w:hAnsi="Arial"/>
          <w:b/>
          <w:bCs/>
          <w:sz w:val="21"/>
          <w:szCs w:val="21"/>
        </w:rPr>
        <w:t xml:space="preserve">Risk Calculation: </w:t>
      </w:r>
      <w:r>
        <w:rPr>
          <w:rFonts w:ascii="Arial" w:cs="Arial" w:eastAsia="Arial" w:hAnsi="Arial"/>
          <w:sz w:val="21"/>
          <w:szCs w:val="21"/>
        </w:rPr>
        <w:t xml:space="preserve">Risk: 0.75% (reduced because this is secondary killzone). €75 at risk. Lot size = 75 / (32 × 6.50) = 0.36 lots.</w:t>
      </w:r>
    </w:p>
    <w:p>
      <w:pPr>
        <w:pStyle w:val="ListParagraph"/>
        <w:numPr>
          <w:ilvl w:val="0"/>
          <w:numId w:val="5"/>
        </w:numPr>
        <w:spacing w:after="80" w:line="276"/>
      </w:pPr>
      <w:r>
        <w:rPr>
          <w:rFonts w:ascii="Arial" w:cs="Arial" w:eastAsia="Arial" w:hAnsi="Arial"/>
          <w:b/>
          <w:bCs/>
          <w:sz w:val="21"/>
          <w:szCs w:val="21"/>
        </w:rPr>
        <w:t xml:space="preserve">Take Profit: </w:t>
      </w:r>
      <w:r>
        <w:rPr>
          <w:rFonts w:ascii="Arial" w:cs="Arial" w:eastAsia="Arial" w:hAnsi="Arial"/>
          <w:sz w:val="21"/>
          <w:szCs w:val="21"/>
        </w:rPr>
        <w:t xml:space="preserve">TP1 at 193.440 (1:1 RR) — close 50%. TP2 at 192.800 (1:3 RR) — close remaining at sell-side liquidity target (previous D1 swing low).</w:t>
      </w:r>
    </w:p>
    <w:p>
      <w:pPr>
        <w:pStyle w:val="ListParagraph"/>
        <w:numPr>
          <w:ilvl w:val="0"/>
          <w:numId w:val="5"/>
        </w:numPr>
        <w:spacing w:after="80" w:line="276"/>
      </w:pPr>
      <w:r>
        <w:rPr>
          <w:rFonts w:ascii="Arial" w:cs="Arial" w:eastAsia="Arial" w:hAnsi="Arial"/>
          <w:b/>
          <w:bCs/>
          <w:sz w:val="21"/>
          <w:szCs w:val="21"/>
        </w:rPr>
        <w:t xml:space="preserve">Result: </w:t>
      </w:r>
      <w:r>
        <w:rPr>
          <w:rFonts w:ascii="Arial" w:cs="Arial" w:eastAsia="Arial" w:hAnsi="Arial"/>
          <w:sz w:val="21"/>
          <w:szCs w:val="21"/>
        </w:rPr>
        <w:t xml:space="preserve">TP1 hit at 14:00 UTC. TP2 hit next day at 08:20 UTC during the following London open. Total profit: €37.50 + €37.50 = €75.</w:t>
      </w:r>
    </w:p>
    <w:p>
      <w:r>
        <w:br w:type="page"/>
      </w:r>
    </w:p>
    <w:p>
      <w:pPr>
        <w:pStyle w:val="Heading2"/>
        <w:spacing w:before="280" w:after="160"/>
      </w:pPr>
      <w:r>
        <w:rPr>
          <w:rFonts w:ascii="Arial" w:cs="Arial" w:eastAsia="Arial" w:hAnsi="Arial"/>
          <w:b/>
          <w:bCs/>
          <w:color w:val="2A5F8F"/>
          <w:sz w:val="26"/>
          <w:szCs w:val="26"/>
        </w:rPr>
        <w:t xml:space="preserve">6.3 Scenario 3: Failed Setup — Demonstrating Risk Management</w:t>
      </w:r>
    </w:p>
    <w:p>
      <w:pPr>
        <w:spacing w:after="120" w:line="276"/>
      </w:pPr>
      <w:r>
        <w:rPr>
          <w:rFonts w:ascii="Arial" w:cs="Arial" w:eastAsia="Arial" w:hAnsi="Arial"/>
          <w:i/>
          <w:iCs/>
          <w:sz w:val="21"/>
          <w:szCs w:val="21"/>
        </w:rPr>
        <w:t xml:space="preserve">This scenario shows how the strategy handles an invalidated setup and protects capital.</w:t>
      </w:r>
    </w:p>
    <w:p>
      <w:pPr>
        <w:pStyle w:val="Heading3"/>
        <w:spacing w:before="200" w:after="120"/>
      </w:pPr>
      <w:r>
        <w:rPr>
          <w:rFonts w:ascii="Arial" w:cs="Arial" w:eastAsia="Arial" w:hAnsi="Arial"/>
          <w:b/>
          <w:bCs/>
          <w:color w:val="333333"/>
          <w:sz w:val="22"/>
          <w:szCs w:val="22"/>
        </w:rPr>
        <w:t xml:space="preserve">Setup Context</w:t>
      </w:r>
    </w:p>
    <w:p>
      <w:pPr>
        <w:spacing w:after="120" w:line="276"/>
      </w:pPr>
      <w:r>
        <w:rPr>
          <w:rFonts w:ascii="Arial" w:cs="Arial" w:eastAsia="Arial" w:hAnsi="Arial"/>
          <w:sz w:val="21"/>
          <w:szCs w:val="21"/>
        </w:rPr>
        <w:t xml:space="preserve">D1 bias is bullish. H4 shows a pullback to a bullish H1 OB at 190.400–190.550. Time: 07:45 UTC (London killzone). Price sweeps SSL below 190.400 and an M15 bullish MSS triggers at 07:50 UTC with a break above 190.620.</w:t>
      </w:r>
    </w:p>
    <w:p>
      <w:pPr>
        <w:pStyle w:val="Heading3"/>
        <w:spacing w:before="200" w:after="120"/>
      </w:pPr>
      <w:r>
        <w:rPr>
          <w:rFonts w:ascii="Arial" w:cs="Arial" w:eastAsia="Arial" w:hAnsi="Arial"/>
          <w:b/>
          <w:bCs/>
          <w:color w:val="333333"/>
          <w:sz w:val="22"/>
          <w:szCs w:val="22"/>
        </w:rPr>
        <w:t xml:space="preserve">Step-by-Step Execution</w:t>
      </w:r>
    </w:p>
    <w:p>
      <w:pPr>
        <w:pStyle w:val="ListParagraph"/>
        <w:numPr>
          <w:ilvl w:val="0"/>
          <w:numId w:val="6"/>
        </w:numPr>
        <w:spacing w:after="80" w:line="276"/>
      </w:pPr>
      <w:r>
        <w:rPr>
          <w:rFonts w:ascii="Arial" w:cs="Arial" w:eastAsia="Arial" w:hAnsi="Arial"/>
          <w:b/>
          <w:bCs/>
          <w:sz w:val="21"/>
          <w:szCs w:val="21"/>
        </w:rPr>
        <w:t xml:space="preserve">Entry: </w:t>
      </w:r>
      <w:r>
        <w:rPr>
          <w:rFonts w:ascii="Arial" w:cs="Arial" w:eastAsia="Arial" w:hAnsi="Arial"/>
          <w:sz w:val="21"/>
          <w:szCs w:val="21"/>
        </w:rPr>
        <w:t xml:space="preserve">Buy at 190.620 (MSS confirmation level). SL at 190.280 (below SSL sweep wick). SL distance = 34 pips. Risk: 1% (€100). Lot size = 0.45 lots.</w:t>
      </w:r>
    </w:p>
    <w:p>
      <w:pPr>
        <w:pStyle w:val="ListParagraph"/>
        <w:numPr>
          <w:ilvl w:val="0"/>
          <w:numId w:val="6"/>
        </w:numPr>
        <w:spacing w:after="80" w:line="276"/>
      </w:pPr>
      <w:r>
        <w:rPr>
          <w:rFonts w:ascii="Arial" w:cs="Arial" w:eastAsia="Arial" w:hAnsi="Arial"/>
          <w:b/>
          <w:bCs/>
          <w:sz w:val="21"/>
          <w:szCs w:val="21"/>
        </w:rPr>
        <w:t xml:space="preserve">Initial Progress: </w:t>
      </w:r>
      <w:r>
        <w:rPr>
          <w:rFonts w:ascii="Arial" w:cs="Arial" w:eastAsia="Arial" w:hAnsi="Arial"/>
          <w:sz w:val="21"/>
          <w:szCs w:val="21"/>
        </w:rPr>
        <w:t xml:space="preserve">Price moves to 190.750 (+13 pips). FVG forms but is small (only 8 pips, below 15-pip minimum). The absence of a qualifying FVG is a warning sign of weak institutional commitment.</w:t>
      </w:r>
    </w:p>
    <w:p>
      <w:pPr>
        <w:pStyle w:val="ListParagraph"/>
        <w:numPr>
          <w:ilvl w:val="0"/>
          <w:numId w:val="6"/>
        </w:numPr>
        <w:spacing w:after="80" w:line="276"/>
      </w:pPr>
      <w:r>
        <w:rPr>
          <w:rFonts w:ascii="Arial" w:cs="Arial" w:eastAsia="Arial" w:hAnsi="Arial"/>
          <w:b/>
          <w:bCs/>
          <w:sz w:val="21"/>
          <w:szCs w:val="21"/>
        </w:rPr>
        <w:t xml:space="preserve">Reversal: </w:t>
      </w:r>
      <w:r>
        <w:rPr>
          <w:rFonts w:ascii="Arial" w:cs="Arial" w:eastAsia="Arial" w:hAnsi="Arial"/>
          <w:sz w:val="21"/>
          <w:szCs w:val="21"/>
        </w:rPr>
        <w:t xml:space="preserve">At 08:30 UTC, unexpected BOE Governor comments cause a sharp sell-off. Price drops rapidly to 190.280, hitting the stop loss.</w:t>
      </w:r>
    </w:p>
    <w:p>
      <w:pPr>
        <w:pStyle w:val="ListParagraph"/>
        <w:numPr>
          <w:ilvl w:val="0"/>
          <w:numId w:val="6"/>
        </w:numPr>
        <w:spacing w:after="80" w:line="276"/>
      </w:pPr>
      <w:r>
        <w:rPr>
          <w:rFonts w:ascii="Arial" w:cs="Arial" w:eastAsia="Arial" w:hAnsi="Arial"/>
          <w:b/>
          <w:bCs/>
          <w:sz w:val="21"/>
          <w:szCs w:val="21"/>
        </w:rPr>
        <w:t xml:space="preserve">Loss Realization: </w:t>
      </w:r>
      <w:r>
        <w:rPr>
          <w:rFonts w:ascii="Arial" w:cs="Arial" w:eastAsia="Arial" w:hAnsi="Arial"/>
          <w:sz w:val="21"/>
          <w:szCs w:val="21"/>
        </w:rPr>
        <w:t xml:space="preserve">€100 loss (1% of account). Daily loss tracker updates: running daily loss = €100. EA remains active (well within €400 warning threshold).</w:t>
      </w:r>
    </w:p>
    <w:p>
      <w:pPr>
        <w:pStyle w:val="ListParagraph"/>
        <w:numPr>
          <w:ilvl w:val="0"/>
          <w:numId w:val="6"/>
        </w:numPr>
        <w:spacing w:after="80" w:line="276"/>
      </w:pPr>
      <w:r>
        <w:rPr>
          <w:rFonts w:ascii="Arial" w:cs="Arial" w:eastAsia="Arial" w:hAnsi="Arial"/>
          <w:b/>
          <w:bCs/>
          <w:sz w:val="21"/>
          <w:szCs w:val="21"/>
        </w:rPr>
        <w:t xml:space="preserve">Post-Loss Protocol: </w:t>
      </w:r>
      <w:r>
        <w:rPr>
          <w:rFonts w:ascii="Arial" w:cs="Arial" w:eastAsia="Arial" w:hAnsi="Arial"/>
          <w:sz w:val="21"/>
          <w:szCs w:val="21"/>
        </w:rPr>
        <w:t xml:space="preserve">EA enforces a 30-minute cooldown after any losing trade during high-volatility events. No re-entry during the same killzone unless a fresh MSS + OB + FVG confluence forms. The EA checks the economic calendar and detects that BOE speech was a high-impact event — it flags this as a news-driven stop and reduces position size for the next trade to 0.5%.</w:t>
      </w:r>
    </w:p>
    <w:p>
      <w:pPr>
        <w:pStyle w:val="ListParagraph"/>
        <w:numPr>
          <w:ilvl w:val="0"/>
          <w:numId w:val="6"/>
        </w:numPr>
        <w:spacing w:after="80" w:line="276"/>
      </w:pPr>
      <w:r>
        <w:rPr>
          <w:rFonts w:ascii="Arial" w:cs="Arial" w:eastAsia="Arial" w:hAnsi="Arial"/>
          <w:b/>
          <w:bCs/>
          <w:sz w:val="21"/>
          <w:szCs w:val="21"/>
        </w:rPr>
        <w:t xml:space="preserve">Key Lessons: </w:t>
      </w:r>
      <w:r>
        <w:rPr>
          <w:rFonts w:ascii="Arial" w:cs="Arial" w:eastAsia="Arial" w:hAnsi="Arial"/>
          <w:sz w:val="21"/>
          <w:szCs w:val="21"/>
        </w:rPr>
        <w:t xml:space="preserve">The trade met all entry criteria but was invalidated by an exogenous news event. The small FVG (below minimum) was an early warning. The 1% risk cap ensured the loss was contained, and the daily drawdown protocol kept the EA within FTMO limits.</w:t>
      </w:r>
    </w:p>
    <w:p>
      <w:r>
        <w:br w:type="page"/>
      </w:r>
    </w:p>
    <w:p>
      <w:pPr>
        <w:pStyle w:val="Heading1"/>
        <w:spacing w:before="360" w:after="200"/>
      </w:pPr>
      <w:r>
        <w:rPr>
          <w:rFonts w:ascii="Arial" w:cs="Arial" w:eastAsia="Arial" w:hAnsi="Arial"/>
          <w:b/>
          <w:bCs/>
          <w:color w:val="1B3A5C"/>
          <w:sz w:val="32"/>
          <w:szCs w:val="32"/>
        </w:rPr>
        <w:t xml:space="preserve">7. Complete Entry Checklist</w:t>
      </w:r>
    </w:p>
    <w:p>
      <w:pPr>
        <w:spacing w:after="120" w:line="276"/>
      </w:pPr>
      <w:r>
        <w:rPr>
          <w:rFonts w:ascii="Arial" w:cs="Arial" w:eastAsia="Arial" w:hAnsi="Arial"/>
          <w:sz w:val="21"/>
          <w:szCs w:val="21"/>
        </w:rPr>
        <w:t xml:space="preserve">The following checklist must be satisfied in order before the EA executes any trade. Each condition acts as a gate — if any condition fails, the EA does not proceed to the next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326"/>
      </w:tblGrid>
      <w:tr>
        <w:tc>
          <w:tcPr>
            <w:tcW w:type="dxa" w:w="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Condition</w:t>
            </w:r>
          </w:p>
        </w:tc>
        <w:tc>
          <w:tcPr>
            <w:tcW w:type="dxa" w:w="532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Implementation Detail</w:t>
            </w:r>
          </w:p>
        </w:tc>
      </w:tr>
      <w:tr>
        <w:tc>
          <w:tcPr>
            <w:tcW w:type="dxa" w:w="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Time within Killzone?</w:t>
            </w:r>
          </w:p>
        </w:tc>
        <w:tc>
          <w:tcPr>
            <w:tcW w:type="dxa" w:w="53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London KZ: 07:00–10:00 UTC (winter) / 06:00–09:00 (summer). LN-NY Overlap KZ: 12:00–15:00 UTC.</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D1 Bias determined?</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Check D1 swing structure. Must be clearly bullish or bearish. If ranging, reduce risk 50%.</w:t>
            </w:r>
          </w:p>
        </w:tc>
      </w:tr>
      <w:tr>
        <w:tc>
          <w:tcPr>
            <w:tcW w:type="dxa" w:w="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H4 Bias aligned with D1?</w:t>
            </w:r>
          </w:p>
        </w:tc>
        <w:tc>
          <w:tcPr>
            <w:tcW w:type="dxa" w:w="53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H4 must confirm D1 direction. If conflicting, no trade.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Price in correct Premium/Discount zone?</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Longs only in Discount (below 50% H4 Fib). Shorts only in Premium (above 50% H4 Fib).</w:t>
            </w:r>
          </w:p>
        </w:tc>
      </w:tr>
      <w:tr>
        <w:tc>
          <w:tcPr>
            <w:tcW w:type="dxa" w:w="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Price within or near H4/H1 Order Block?</w:t>
            </w:r>
          </w:p>
        </w:tc>
        <w:tc>
          <w:tcPr>
            <w:tcW w:type="dxa" w:w="53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Fresh, unmitigated OB required. Max age: 30 H1 or 8 H4 candles.</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M15 Market Structure Shift confirmed?</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Break above lower-high (bullish) or below higher-low (bearish) with displacement ≥15 pips.</w:t>
            </w:r>
          </w:p>
        </w:tc>
      </w:tr>
      <w:tr>
        <w:tc>
          <w:tcPr>
            <w:tcW w:type="dxa" w:w="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FVG present in entry direction?</w:t>
            </w:r>
          </w:p>
        </w:tc>
        <w:tc>
          <w:tcPr>
            <w:tcW w:type="dxa" w:w="53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M15 or H1 FVG ≥15 pips (M15) or ≥25 pips (H1). Must be unmitigated.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Liquidity sweep observed? (Bonus)</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mandatory but increases probability. BSL sweep for shorts, SSL sweep for longs.</w:t>
            </w:r>
          </w:p>
        </w:tc>
      </w:tr>
      <w:tr>
        <w:tc>
          <w:tcPr>
            <w:tcW w:type="dxa" w:w="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9</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Risk-reward ≥1:2?</w:t>
            </w:r>
          </w:p>
        </w:tc>
        <w:tc>
          <w:tcPr>
            <w:tcW w:type="dxa" w:w="53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TP must be at least 2× the SL distance. Prefer 1:3 with full confluence.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Daily loss within limits?</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Current daily loss + new trade risk must be &lt; €400 (80% of FTMO daily limit).</w:t>
            </w:r>
          </w:p>
        </w:tc>
      </w:tr>
      <w:tr>
        <w:tc>
          <w:tcPr>
            <w:tcW w:type="dxa" w:w="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11</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20"/>
                <w:szCs w:val="20"/>
              </w:rPr>
              <w:t xml:space="preserve">No conflicting correlated positions?</w:t>
            </w:r>
          </w:p>
        </w:tc>
        <w:tc>
          <w:tcPr>
            <w:tcW w:type="dxa" w:w="5326"/>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Check for open GBP/USD, USD/JPY, EUR/JPY positions. Reduce size if correlated.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20"/>
                <w:szCs w:val="20"/>
              </w:rPr>
              <w:t xml:space="preserve">Spread acceptable?</w:t>
            </w:r>
          </w:p>
        </w:tc>
        <w:tc>
          <w:tcPr>
            <w:tcW w:type="dxa" w:w="5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GBPJPY spread must be &lt; 5 pips. Skip trade if spread exceeds threshold.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GBPJPY ICT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A5F8F"/>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2026-02-12T19:40:36.135Z</dcterms:created>
  <dcterms:modified xsi:type="dcterms:W3CDTF">2026-02-12T19:40:36.135Z</dcterms:modified>
</cp:coreProperties>
</file>

<file path=docProps/custom.xml><?xml version="1.0" encoding="utf-8"?>
<Properties xmlns="http://schemas.openxmlformats.org/officeDocument/2006/custom-properties" xmlns:vt="http://schemas.openxmlformats.org/officeDocument/2006/docPropsVTypes"/>
</file>