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Բնակարանային ապահովում / սուբսիդավորում</w:t>
      </w:r>
    </w:p>
    <w:p>
      <w:r>
        <w:rPr>
          <w:i/>
          <w:sz w:val="20"/>
        </w:rPr>
        <w:t>Սոցիալական փաթեթ և արտոնություններ</w:t>
      </w:r>
    </w:p>
    <w:p>
      <w:r>
        <w:t>Բնակարանային պայմաններ, հիփոթեք, վարձակալության փոխհատուցում</w:t>
      </w:r>
    </w:p>
    <w:p>
      <w:r>
        <w:t>Բնակարանային ապահովումը կարող է ներառել՝ ծառայողական բնակարան/հանրակացարան, բնակարանային պայմանների բարելավման ծրագրեր, արտոնյալ հիփոթեքային վարկավորում պետական աջակցությամբ, վարձակալության դրամական փոխհատուցում (կոմպենսացիա)՝ սահմանված չափով և պայմաններով։</w:t>
      </w:r>
    </w:p>
    <w:p>
      <w:r>
        <w:t>Սպաների համար պետբյուջեի մասնակցությամբ բնակարան ձեռք բերելու ծրագրերը կարգավորվում են առանձին որոշումներով (այդ թվում՝ ռազմաուսումնական հաստատություն ավարտած և սպայական պաշտոնի նշանակվածների համար)։</w:t>
      </w:r>
    </w:p>
    <w:p>
      <w:r>
        <w:t>Դիմելու համար սովորաբար պահանջվում է՝ դիմում հրամանատարին/կադրային ծառայություն, ընտանիքի կազմի մասին տեղեկանք, բնակարանային պայմանների մասին փաստաթղթեր, աշխատանքային/ծառայողական տեղեկանք։</w:t>
      </w:r>
    </w:p>
    <w:p>
      <w:r>
        <w:t>Չափերը և իրավասու անձանց շրջանակը փոփոխվում են՝ միշտ ստուգեք գործող կառավարության որոշումը և ՊՆ հրամանը։</w:t>
      </w:r>
    </w:p>
    <w:p>
      <w:r>
        <w:t>KM ուղեցույց · Զինծառայողի իրավունքներ։ Ստուգեք գործող օրենքը և ՊՆ հրամանները։</w:t>
      </w:r>
    </w:p>
    <w:sectPr/>
  </w:body>
</w:document>
</file>

<file path=word/_rels/document.xml.rels><?xml version="1.0" encoding="UTF-8"?><Relationships xmlns="http://schemas.openxmlformats.org/package/2006/relationships"></Relationships>
</file>