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Մեկանգամյա վճարներ</w:t>
      </w:r>
    </w:p>
    <w:p>
      <w:r>
        <w:rPr>
          <w:i/>
          <w:sz w:val="20"/>
        </w:rPr>
        <w:t>Դրամական բավարարում և պարգևատրումներ</w:t>
      </w:r>
    </w:p>
    <w:p>
      <w:r>
        <w:t>Ծառայության անցում, տեղափոխում, գույքի տեղափոխում, խրախուսում</w:t>
      </w:r>
    </w:p>
    <w:p>
      <w:r>
        <w:t>Մեկանգամյա վճարները կարող են ներառել՝ ծառայության անցնելիս տրվող օգնություն, ծառայության նոր վայր տեղափոխվելիս փոխհատուցում, անձնական գույքի տեղափոխման ծախսերի փոխհատուցում, պատշաճ ծառայության համար նախատեսված դրամական խրախուսումներ։</w:t>
      </w:r>
    </w:p>
    <w:p>
      <w:r>
        <w:t>Յուրաքանչյուր վճար ունի իր հիմքը (օրենք, կառավարության որոշում կամ ՊՆ հրաման) և փաստաթղթային փաթեթ։</w:t>
      </w:r>
    </w:p>
    <w:p>
      <w:r>
        <w:t>Դիմում՝ զեկուցագիր + հիմնավորող փաստաթղթեր → կադրային/ֆինանսական ծառայություն։</w:t>
      </w:r>
    </w:p>
    <w:p>
      <w:r>
        <w:t>Գործող չափերը կցեք այս բաժնի ֆայլերում՝ որպեսզի ստորաբաժանումը ունենա տեղական պատճեն։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