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8CE8" w14:textId="22CFCC36" w:rsidR="00547F2C" w:rsidRDefault="00547F2C" w:rsidP="00547F2C">
      <w:pPr>
        <w:jc w:val="center"/>
        <w:rPr>
          <w:rFonts w:ascii="Arial" w:hAnsi="Arial" w:cs="Arial"/>
          <w:b/>
          <w:bCs/>
          <w:lang w:val="es-ES"/>
        </w:rPr>
      </w:pPr>
      <w:r w:rsidRPr="00547F2C">
        <w:rPr>
          <w:rFonts w:ascii="Arial" w:hAnsi="Arial" w:cs="Arial"/>
          <w:b/>
          <w:bCs/>
          <w:lang w:val="es-ES"/>
        </w:rPr>
        <w:t>Visualizaciones</w:t>
      </w:r>
    </w:p>
    <w:p w14:paraId="3291699B" w14:textId="435D078C" w:rsidR="003909F1" w:rsidRPr="005B6354" w:rsidRDefault="005B6354" w:rsidP="003909F1">
      <w:pPr>
        <w:jc w:val="both"/>
        <w:rPr>
          <w:rFonts w:ascii="Arial" w:hAnsi="Arial" w:cs="Arial"/>
          <w:b/>
          <w:bCs/>
          <w:sz w:val="20"/>
          <w:szCs w:val="20"/>
          <w:lang w:val="es-ES"/>
        </w:rPr>
      </w:pPr>
      <w:r w:rsidRPr="005B6354">
        <w:rPr>
          <w:rFonts w:ascii="Arial" w:hAnsi="Arial" w:cs="Arial"/>
          <w:b/>
          <w:bCs/>
          <w:sz w:val="20"/>
          <w:szCs w:val="20"/>
          <w:lang w:val="es-ES"/>
        </w:rPr>
        <w:t>¿Cómo están distribuidos los hombres y las mujeres dentro de la muestra?</w:t>
      </w:r>
      <w:r w:rsidR="003909F1" w:rsidRPr="005B6354">
        <w:rPr>
          <w:rFonts w:ascii="Arial" w:hAnsi="Arial" w:cs="Arial"/>
          <w:b/>
          <w:bCs/>
          <w:sz w:val="20"/>
          <w:szCs w:val="20"/>
          <w:lang w:val="es-ES"/>
        </w:rPr>
        <w:t xml:space="preserve"> </w:t>
      </w:r>
      <w:r w:rsidRPr="005B6354">
        <w:rPr>
          <w:rFonts w:ascii="Arial" w:hAnsi="Arial" w:cs="Arial"/>
          <w:b/>
          <w:bCs/>
          <w:sz w:val="20"/>
          <w:szCs w:val="20"/>
          <w:lang w:val="es-ES"/>
        </w:rPr>
        <w:t>¿</w:t>
      </w:r>
      <w:r w:rsidR="00D33245">
        <w:rPr>
          <w:rFonts w:ascii="Arial" w:hAnsi="Arial" w:cs="Arial"/>
          <w:b/>
          <w:bCs/>
          <w:sz w:val="20"/>
          <w:szCs w:val="20"/>
          <w:lang w:val="es-ES"/>
        </w:rPr>
        <w:t xml:space="preserve">hay una tendencia observable de consumo de drogas para hombres y mujeres por separado? </w:t>
      </w:r>
    </w:p>
    <w:p w14:paraId="3EBB11A0" w14:textId="0F8D3E52" w:rsidR="003909F1" w:rsidRPr="00547F2C" w:rsidRDefault="003909F1" w:rsidP="003909F1">
      <w:pPr>
        <w:jc w:val="both"/>
        <w:rPr>
          <w:rFonts w:ascii="Arial" w:hAnsi="Arial" w:cs="Arial"/>
          <w:b/>
          <w:bCs/>
          <w:lang w:val="es-ES"/>
        </w:rPr>
      </w:pPr>
      <w:r>
        <w:rPr>
          <w:rFonts w:ascii="Arial" w:hAnsi="Arial" w:cs="Arial"/>
          <w:sz w:val="20"/>
          <w:szCs w:val="20"/>
          <w:lang w:val="es-ES"/>
        </w:rPr>
        <w:t xml:space="preserve">A continuación, se presenta un </w:t>
      </w:r>
      <w:r w:rsidRPr="00A07AAA">
        <w:rPr>
          <w:rFonts w:ascii="Arial" w:hAnsi="Arial" w:cs="Arial"/>
          <w:sz w:val="20"/>
          <w:szCs w:val="20"/>
          <w:lang w:val="es-ES"/>
        </w:rPr>
        <w:t xml:space="preserve">gráfico de </w:t>
      </w:r>
      <w:r w:rsidRPr="00A07AAA">
        <w:rPr>
          <w:rFonts w:ascii="Arial" w:hAnsi="Arial" w:cs="Arial"/>
          <w:sz w:val="20"/>
          <w:szCs w:val="20"/>
          <w:lang w:val="es-ES"/>
        </w:rPr>
        <w:t xml:space="preserve">barras </w:t>
      </w:r>
      <w:r>
        <w:rPr>
          <w:rFonts w:ascii="Arial" w:hAnsi="Arial" w:cs="Arial"/>
          <w:sz w:val="20"/>
          <w:szCs w:val="20"/>
          <w:lang w:val="es-ES"/>
        </w:rPr>
        <w:t xml:space="preserve">que </w:t>
      </w:r>
      <w:r w:rsidRPr="00A07AAA">
        <w:rPr>
          <w:rFonts w:ascii="Arial" w:hAnsi="Arial" w:cs="Arial"/>
          <w:sz w:val="20"/>
          <w:szCs w:val="20"/>
          <w:lang w:val="es-ES"/>
        </w:rPr>
        <w:t>proporciona una cuantificación y comparación efectiva de la prevalencia de hombres y mujeres en cada grupo etario de la muestra.</w:t>
      </w:r>
    </w:p>
    <w:p w14:paraId="6F3799CD" w14:textId="0C27966A" w:rsidR="00CB6AC6" w:rsidRPr="005350C1" w:rsidRDefault="00CA52F4" w:rsidP="00312AF9">
      <w:pPr>
        <w:rPr>
          <w:rFonts w:ascii="Arial" w:hAnsi="Arial" w:cs="Arial"/>
          <w:lang w:val="es-ES"/>
        </w:rPr>
      </w:pPr>
      <w:r w:rsidRPr="00CA52F4">
        <w:rPr>
          <w:rFonts w:ascii="Arial" w:hAnsi="Arial" w:cs="Arial"/>
        </w:rPr>
        <w:drawing>
          <wp:inline distT="0" distB="0" distL="0" distR="0" wp14:anchorId="025EBC57" wp14:editId="3E3C337D">
            <wp:extent cx="3006873" cy="1929089"/>
            <wp:effectExtent l="0" t="0" r="3175" b="0"/>
            <wp:docPr id="1289151007" name="Picture 1"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1007" name="Picture 1" descr="A graph of blue and red bars&#10;&#10;Description automatically generated"/>
                    <pic:cNvPicPr/>
                  </pic:nvPicPr>
                  <pic:blipFill>
                    <a:blip r:embed="rId5"/>
                    <a:stretch>
                      <a:fillRect/>
                    </a:stretch>
                  </pic:blipFill>
                  <pic:spPr>
                    <a:xfrm>
                      <a:off x="0" y="0"/>
                      <a:ext cx="3006873" cy="1929089"/>
                    </a:xfrm>
                    <a:prstGeom prst="rect">
                      <a:avLst/>
                    </a:prstGeom>
                  </pic:spPr>
                </pic:pic>
              </a:graphicData>
            </a:graphic>
          </wp:inline>
        </w:drawing>
      </w:r>
      <w:r w:rsidR="005350C1" w:rsidRPr="005350C1">
        <w:rPr>
          <w:rFonts w:ascii="Arial" w:hAnsi="Arial" w:cs="Arial"/>
          <w:lang w:val="es-ES"/>
        </w:rPr>
        <w:t xml:space="preserve"> </w:t>
      </w:r>
      <w:r w:rsidR="00CB6AC6">
        <w:rPr>
          <w:rFonts w:ascii="Arial" w:hAnsi="Arial" w:cs="Arial"/>
          <w:lang w:val="es-ES"/>
        </w:rPr>
        <w:t xml:space="preserve">   </w:t>
      </w:r>
      <w:r w:rsidR="00CB6AC6" w:rsidRPr="00CB6AC6">
        <w:rPr>
          <w:rFonts w:ascii="Arial" w:hAnsi="Arial" w:cs="Arial"/>
          <w:lang w:val="es-ES"/>
        </w:rPr>
        <w:drawing>
          <wp:inline distT="0" distB="0" distL="0" distR="0" wp14:anchorId="715267FE" wp14:editId="016C7E07">
            <wp:extent cx="2671932" cy="1904153"/>
            <wp:effectExtent l="0" t="0" r="0" b="1270"/>
            <wp:docPr id="213533040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30403" name="Picture 1" descr="A diagram of a graph&#10;&#10;Description automatically generated with medium confidence"/>
                    <pic:cNvPicPr/>
                  </pic:nvPicPr>
                  <pic:blipFill rotWithShape="1">
                    <a:blip r:embed="rId6"/>
                    <a:srcRect l="6453"/>
                    <a:stretch/>
                  </pic:blipFill>
                  <pic:spPr bwMode="auto">
                    <a:xfrm>
                      <a:off x="0" y="0"/>
                      <a:ext cx="2695372" cy="1920858"/>
                    </a:xfrm>
                    <a:prstGeom prst="rect">
                      <a:avLst/>
                    </a:prstGeom>
                    <a:ln>
                      <a:noFill/>
                    </a:ln>
                    <a:extLst>
                      <a:ext uri="{53640926-AAD7-44D8-BBD7-CCE9431645EC}">
                        <a14:shadowObscured xmlns:a14="http://schemas.microsoft.com/office/drawing/2010/main"/>
                      </a:ext>
                    </a:extLst>
                  </pic:spPr>
                </pic:pic>
              </a:graphicData>
            </a:graphic>
          </wp:inline>
        </w:drawing>
      </w:r>
    </w:p>
    <w:p w14:paraId="48FC0D53" w14:textId="593930D6" w:rsidR="00A07AAA" w:rsidRPr="00A07AAA" w:rsidRDefault="00A07AAA" w:rsidP="00A07AAA">
      <w:pPr>
        <w:jc w:val="both"/>
        <w:rPr>
          <w:rFonts w:ascii="Arial" w:hAnsi="Arial" w:cs="Arial"/>
          <w:sz w:val="20"/>
          <w:szCs w:val="20"/>
          <w:lang w:val="es-ES"/>
        </w:rPr>
      </w:pPr>
      <w:r w:rsidRPr="00A07AAA">
        <w:rPr>
          <w:rFonts w:ascii="Arial" w:hAnsi="Arial" w:cs="Arial"/>
          <w:sz w:val="20"/>
          <w:szCs w:val="20"/>
          <w:lang w:val="es-ES"/>
        </w:rPr>
        <w:t>Se observa una variabilidad significativa en el rango de 18-24 años para el subconjunto masculino, con 400 hombres en este rango y el resto distribuido en los demás rangos de edad. En contraste, la distribución de edades para el subconjunto femenino presenta una variabilidad menor, con el rango de 25-34 años siendo el más representado en la muestra. Para todos los rangos de edad, excepto 18-24 y 55+, hay un mayor número de mujeres que de hombres.</w:t>
      </w:r>
    </w:p>
    <w:p w14:paraId="4CF0C257" w14:textId="12752737" w:rsidR="00A07AAA" w:rsidRDefault="003909F1" w:rsidP="00A07AAA">
      <w:pPr>
        <w:jc w:val="both"/>
        <w:rPr>
          <w:rFonts w:ascii="Arial" w:hAnsi="Arial" w:cs="Arial"/>
          <w:sz w:val="20"/>
          <w:szCs w:val="20"/>
          <w:lang w:val="es-ES"/>
        </w:rPr>
      </w:pPr>
      <w:r>
        <w:rPr>
          <w:rFonts w:ascii="Arial" w:hAnsi="Arial" w:cs="Arial"/>
          <w:sz w:val="20"/>
          <w:szCs w:val="20"/>
          <w:lang w:val="es-ES"/>
        </w:rPr>
        <w:t>Por otro lado, se presenta</w:t>
      </w:r>
      <w:r w:rsidR="00A07AAA" w:rsidRPr="00A07AAA">
        <w:rPr>
          <w:rFonts w:ascii="Arial" w:hAnsi="Arial" w:cs="Arial"/>
          <w:sz w:val="20"/>
          <w:szCs w:val="20"/>
          <w:lang w:val="es-ES"/>
        </w:rPr>
        <w:t xml:space="preserve"> un gráfico radial para visualizar las tendencias de consumo de</w:t>
      </w:r>
      <w:r>
        <w:rPr>
          <w:rFonts w:ascii="Arial" w:hAnsi="Arial" w:cs="Arial"/>
          <w:sz w:val="20"/>
          <w:szCs w:val="20"/>
          <w:lang w:val="es-ES"/>
        </w:rPr>
        <w:t xml:space="preserve"> estos</w:t>
      </w:r>
      <w:r w:rsidR="00A07AAA" w:rsidRPr="00A07AAA">
        <w:rPr>
          <w:rFonts w:ascii="Arial" w:hAnsi="Arial" w:cs="Arial"/>
          <w:sz w:val="20"/>
          <w:szCs w:val="20"/>
          <w:lang w:val="es-ES"/>
        </w:rPr>
        <w:t xml:space="preserve"> hombres y mujeres. Cada radio del gráfico representa una categoría de consumo, con un rango de 0 a 1, y la longitud de cada radio es proporcional a la prevalencia de consumo en esa categoría. Los resultados muestran una tendencia de consumo superior al 90% para ambos géneros en las categorías de Alcohol y Nicotina. Excluyendo las categorías legales (Alcohol, Nicotina y Cafeína), se observa un pico de consumo representativo en las drogas recreativas y sedantes para ambos géneros.</w:t>
      </w:r>
    </w:p>
    <w:p w14:paraId="3A5D97EC" w14:textId="08F7F24C" w:rsidR="00312AF9" w:rsidRPr="00A07AAA" w:rsidRDefault="005D1CDC" w:rsidP="005B6354">
      <w:pPr>
        <w:jc w:val="center"/>
        <w:rPr>
          <w:rFonts w:ascii="Arial" w:hAnsi="Arial" w:cs="Arial"/>
          <w:sz w:val="20"/>
          <w:szCs w:val="20"/>
          <w:lang w:val="es-ES"/>
        </w:rPr>
      </w:pPr>
      <w:r w:rsidRPr="005D1CDC">
        <w:rPr>
          <w:rFonts w:ascii="Arial" w:hAnsi="Arial" w:cs="Arial"/>
          <w:sz w:val="20"/>
          <w:szCs w:val="20"/>
          <w:lang w:val="es-ES"/>
        </w:rPr>
        <w:drawing>
          <wp:inline distT="0" distB="0" distL="0" distR="0" wp14:anchorId="2B16FEFD" wp14:editId="06042E85">
            <wp:extent cx="2424223" cy="1744994"/>
            <wp:effectExtent l="0" t="0" r="0" b="7620"/>
            <wp:docPr id="1756961804" name="Picture 1" descr="A diagram of a triangle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61804" name="Picture 1" descr="A diagram of a triangle with red and blue lines&#10;&#10;Description automatically generated"/>
                    <pic:cNvPicPr/>
                  </pic:nvPicPr>
                  <pic:blipFill rotWithShape="1">
                    <a:blip r:embed="rId7"/>
                    <a:srcRect l="7383"/>
                    <a:stretch/>
                  </pic:blipFill>
                  <pic:spPr bwMode="auto">
                    <a:xfrm>
                      <a:off x="0" y="0"/>
                      <a:ext cx="2443129" cy="1758603"/>
                    </a:xfrm>
                    <a:prstGeom prst="rect">
                      <a:avLst/>
                    </a:prstGeom>
                    <a:ln>
                      <a:noFill/>
                    </a:ln>
                    <a:extLst>
                      <a:ext uri="{53640926-AAD7-44D8-BBD7-CCE9431645EC}">
                        <a14:shadowObscured xmlns:a14="http://schemas.microsoft.com/office/drawing/2010/main"/>
                      </a:ext>
                    </a:extLst>
                  </pic:spPr>
                </pic:pic>
              </a:graphicData>
            </a:graphic>
          </wp:inline>
        </w:drawing>
      </w:r>
    </w:p>
    <w:p w14:paraId="2FDBC2B6" w14:textId="3C559202" w:rsidR="00A07AAA" w:rsidRPr="00A07AAA" w:rsidRDefault="00A07AAA" w:rsidP="00A07AAA">
      <w:pPr>
        <w:jc w:val="both"/>
        <w:rPr>
          <w:rFonts w:ascii="Arial" w:hAnsi="Arial" w:cs="Arial"/>
          <w:sz w:val="20"/>
          <w:szCs w:val="20"/>
          <w:lang w:val="es-ES"/>
        </w:rPr>
      </w:pPr>
      <w:r w:rsidRPr="00A07AAA">
        <w:rPr>
          <w:rFonts w:ascii="Arial" w:hAnsi="Arial" w:cs="Arial"/>
          <w:sz w:val="20"/>
          <w:szCs w:val="20"/>
          <w:lang w:val="es-ES"/>
        </w:rPr>
        <w:t>Aunque las tendencias de consumo son similares entre hombres y mujeres, los hombres presentan un mayor porcentaje de consumo en cada categoría. Esta diferencia puede ser atribuida a la naturaleza de la muestra o a factores exógenos, lo que sugiere la necesidad de un análisis multivariante para controlar posibles variables de confusión.</w:t>
      </w:r>
    </w:p>
    <w:p w14:paraId="0163BBB5" w14:textId="79487561" w:rsidR="00CD7121" w:rsidRDefault="00A07AAA" w:rsidP="00CD7121">
      <w:pPr>
        <w:jc w:val="both"/>
        <w:rPr>
          <w:rFonts w:ascii="Arial" w:hAnsi="Arial" w:cs="Arial"/>
          <w:sz w:val="20"/>
          <w:szCs w:val="20"/>
          <w:lang w:val="es-ES"/>
        </w:rPr>
      </w:pPr>
      <w:r w:rsidRPr="00A07AAA">
        <w:rPr>
          <w:rFonts w:ascii="Arial" w:hAnsi="Arial" w:cs="Arial"/>
          <w:sz w:val="20"/>
          <w:szCs w:val="20"/>
          <w:lang w:val="es-ES"/>
        </w:rPr>
        <w:lastRenderedPageBreak/>
        <w:t>Es importante enfatizar que, aunque los gráficos radiales son herramientas eficaces para representar y comparar distribuciones de frecuencia en múltiples categorías, no deben ser utilizados para inferir relaciones causales sin un análisis inferencial apropiado. En otras palabras, la tendencia de consumo de estas drogas, evidenciada en el gráfico, no es concluyente ni extrapolable a una población muestral diferente.</w:t>
      </w:r>
    </w:p>
    <w:p w14:paraId="22E3AAFD" w14:textId="39641B77" w:rsidR="00D33245" w:rsidRPr="00CD7121" w:rsidRDefault="00D33245" w:rsidP="00CD7121">
      <w:pPr>
        <w:jc w:val="both"/>
        <w:rPr>
          <w:rFonts w:ascii="Arial" w:hAnsi="Arial" w:cs="Arial"/>
          <w:sz w:val="20"/>
          <w:szCs w:val="20"/>
          <w:lang w:val="es-ES"/>
        </w:rPr>
      </w:pPr>
      <w:r>
        <w:rPr>
          <w:rFonts w:ascii="Arial" w:hAnsi="Arial" w:cs="Arial"/>
          <w:sz w:val="20"/>
          <w:szCs w:val="20"/>
          <w:lang w:val="es-ES"/>
        </w:rPr>
        <w:t xml:space="preserve">Para ahondar en las posibles correlaciones en el consumo de drogas en función del género, se plantea </w:t>
      </w:r>
      <w:r w:rsidR="009470A2">
        <w:rPr>
          <w:rFonts w:ascii="Arial" w:hAnsi="Arial" w:cs="Arial"/>
          <w:sz w:val="20"/>
          <w:szCs w:val="20"/>
          <w:lang w:val="es-ES"/>
        </w:rPr>
        <w:t>un análisis</w:t>
      </w:r>
      <w:r>
        <w:rPr>
          <w:rFonts w:ascii="Arial" w:hAnsi="Arial" w:cs="Arial"/>
          <w:sz w:val="20"/>
          <w:szCs w:val="20"/>
          <w:lang w:val="es-ES"/>
        </w:rPr>
        <w:t xml:space="preserve"> las categorías de drogas con mayor consumo dentro de la muestra estudiada</w:t>
      </w:r>
      <w:r w:rsidR="009470A2">
        <w:rPr>
          <w:rFonts w:ascii="Arial" w:hAnsi="Arial" w:cs="Arial"/>
          <w:sz w:val="20"/>
          <w:szCs w:val="20"/>
          <w:lang w:val="es-ES"/>
        </w:rPr>
        <w:t xml:space="preserve"> en función de la edad y el nivel educativo.</w:t>
      </w:r>
    </w:p>
    <w:p w14:paraId="13990748" w14:textId="7CFEEBC7" w:rsidR="00C62CCA" w:rsidRDefault="00C62CCA" w:rsidP="00C62CCA">
      <w:pPr>
        <w:jc w:val="both"/>
        <w:rPr>
          <w:rFonts w:ascii="Arial" w:hAnsi="Arial" w:cs="Arial"/>
          <w:b/>
          <w:bCs/>
          <w:sz w:val="20"/>
          <w:szCs w:val="20"/>
          <w:lang w:val="es-ES"/>
        </w:rPr>
      </w:pPr>
      <w:r w:rsidRPr="00C62CCA">
        <w:rPr>
          <w:rFonts w:ascii="Arial" w:hAnsi="Arial" w:cs="Arial"/>
          <w:b/>
          <w:bCs/>
          <w:sz w:val="20"/>
          <w:szCs w:val="20"/>
          <w:lang w:val="es-ES"/>
        </w:rPr>
        <w:t xml:space="preserve">¿Qué </w:t>
      </w:r>
      <w:r>
        <w:rPr>
          <w:rFonts w:ascii="Arial" w:hAnsi="Arial" w:cs="Arial"/>
          <w:b/>
          <w:bCs/>
          <w:sz w:val="20"/>
          <w:szCs w:val="20"/>
          <w:lang w:val="es-ES"/>
        </w:rPr>
        <w:t>edades</w:t>
      </w:r>
      <w:r w:rsidRPr="00C62CCA">
        <w:rPr>
          <w:rFonts w:ascii="Arial" w:hAnsi="Arial" w:cs="Arial"/>
          <w:b/>
          <w:bCs/>
          <w:sz w:val="20"/>
          <w:szCs w:val="20"/>
          <w:lang w:val="es-ES"/>
        </w:rPr>
        <w:t xml:space="preserve"> tienen </w:t>
      </w:r>
      <w:r>
        <w:rPr>
          <w:rFonts w:ascii="Arial" w:hAnsi="Arial" w:cs="Arial"/>
          <w:b/>
          <w:bCs/>
          <w:sz w:val="20"/>
          <w:szCs w:val="20"/>
          <w:lang w:val="es-ES"/>
        </w:rPr>
        <w:t xml:space="preserve">las mujeres y los hombres </w:t>
      </w:r>
      <w:r w:rsidRPr="00C62CCA">
        <w:rPr>
          <w:rFonts w:ascii="Arial" w:hAnsi="Arial" w:cs="Arial"/>
          <w:b/>
          <w:bCs/>
          <w:sz w:val="20"/>
          <w:szCs w:val="20"/>
          <w:lang w:val="es-ES"/>
        </w:rPr>
        <w:t xml:space="preserve">que consumen y no consumen </w:t>
      </w:r>
      <w:r w:rsidR="009470A2">
        <w:rPr>
          <w:rFonts w:ascii="Arial" w:hAnsi="Arial" w:cs="Arial"/>
          <w:b/>
          <w:bCs/>
          <w:sz w:val="20"/>
          <w:szCs w:val="20"/>
          <w:lang w:val="es-ES"/>
        </w:rPr>
        <w:t>drogas recreativas y drogas sedantes</w:t>
      </w:r>
      <w:r w:rsidRPr="00C62CCA">
        <w:rPr>
          <w:rFonts w:ascii="Arial" w:hAnsi="Arial" w:cs="Arial"/>
          <w:b/>
          <w:bCs/>
          <w:sz w:val="20"/>
          <w:szCs w:val="20"/>
          <w:lang w:val="es-ES"/>
        </w:rPr>
        <w:t xml:space="preserve">? </w:t>
      </w:r>
    </w:p>
    <w:p w14:paraId="2ED3D9B9" w14:textId="6C84C6CD" w:rsidR="00CD7121" w:rsidRDefault="00CD7121" w:rsidP="00C62CCA">
      <w:pPr>
        <w:jc w:val="both"/>
        <w:rPr>
          <w:rFonts w:ascii="Arial" w:hAnsi="Arial" w:cs="Arial"/>
          <w:sz w:val="20"/>
          <w:szCs w:val="20"/>
          <w:lang w:val="es-ES"/>
        </w:rPr>
      </w:pPr>
      <w:r w:rsidRPr="00CD7121">
        <w:rPr>
          <w:rFonts w:ascii="Arial" w:hAnsi="Arial" w:cs="Arial"/>
          <w:sz w:val="20"/>
          <w:szCs w:val="20"/>
          <w:lang w:val="es-ES"/>
        </w:rPr>
        <w:t>A continuación</w:t>
      </w:r>
      <w:r>
        <w:rPr>
          <w:rFonts w:ascii="Arial" w:hAnsi="Arial" w:cs="Arial"/>
          <w:sz w:val="20"/>
          <w:szCs w:val="20"/>
          <w:lang w:val="es-ES"/>
        </w:rPr>
        <w:t>, se presentan gráficos de barras apiladas</w:t>
      </w:r>
      <w:r w:rsidR="009470A2">
        <w:rPr>
          <w:rFonts w:ascii="Arial" w:hAnsi="Arial" w:cs="Arial"/>
          <w:sz w:val="20"/>
          <w:szCs w:val="20"/>
          <w:lang w:val="es-ES"/>
        </w:rPr>
        <w:t xml:space="preserve"> (el color indica la </w:t>
      </w:r>
      <w:proofErr w:type="spellStart"/>
      <w:r w:rsidR="009470A2">
        <w:rPr>
          <w:rFonts w:ascii="Arial" w:hAnsi="Arial" w:cs="Arial"/>
          <w:sz w:val="20"/>
          <w:szCs w:val="20"/>
          <w:lang w:val="es-ES"/>
        </w:rPr>
        <w:t>apilación</w:t>
      </w:r>
      <w:proofErr w:type="spellEnd"/>
      <w:r w:rsidR="009470A2">
        <w:rPr>
          <w:rFonts w:ascii="Arial" w:hAnsi="Arial" w:cs="Arial"/>
          <w:sz w:val="20"/>
          <w:szCs w:val="20"/>
          <w:lang w:val="es-ES"/>
        </w:rPr>
        <w:t xml:space="preserve"> correspondiente)</w:t>
      </w:r>
      <w:r>
        <w:rPr>
          <w:rFonts w:ascii="Arial" w:hAnsi="Arial" w:cs="Arial"/>
          <w:sz w:val="20"/>
          <w:szCs w:val="20"/>
          <w:lang w:val="es-ES"/>
        </w:rPr>
        <w:t xml:space="preserve"> con la distribución de consumidores y no consumidores en función del rango de edad para las 2 categorías de droga: recreativas y sedantes. </w:t>
      </w:r>
    </w:p>
    <w:p w14:paraId="7B4634BA" w14:textId="4C842441" w:rsidR="00CD7121" w:rsidRDefault="00CB6AC6">
      <w:pPr>
        <w:rPr>
          <w:rFonts w:ascii="Arial" w:hAnsi="Arial" w:cs="Arial"/>
          <w:sz w:val="20"/>
          <w:szCs w:val="20"/>
          <w:lang w:val="es-ES"/>
        </w:rPr>
      </w:pPr>
      <w:r w:rsidRPr="004C1B7B">
        <w:rPr>
          <w:rFonts w:ascii="Arial" w:hAnsi="Arial" w:cs="Arial"/>
          <w:sz w:val="20"/>
          <w:szCs w:val="20"/>
          <w:lang w:val="es-ES"/>
        </w:rPr>
        <w:drawing>
          <wp:inline distT="0" distB="0" distL="0" distR="0" wp14:anchorId="485AD835" wp14:editId="60254424">
            <wp:extent cx="2839856" cy="1920240"/>
            <wp:effectExtent l="0" t="0" r="0" b="3810"/>
            <wp:docPr id="90592260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22607" name="Picture 1" descr="A graph of different colored bars&#10;&#10;Description automatically generated"/>
                    <pic:cNvPicPr/>
                  </pic:nvPicPr>
                  <pic:blipFill>
                    <a:blip r:embed="rId8"/>
                    <a:stretch>
                      <a:fillRect/>
                    </a:stretch>
                  </pic:blipFill>
                  <pic:spPr>
                    <a:xfrm>
                      <a:off x="0" y="0"/>
                      <a:ext cx="2839856" cy="1920240"/>
                    </a:xfrm>
                    <a:prstGeom prst="rect">
                      <a:avLst/>
                    </a:prstGeom>
                  </pic:spPr>
                </pic:pic>
              </a:graphicData>
            </a:graphic>
          </wp:inline>
        </w:drawing>
      </w:r>
      <w:r w:rsidR="007F6CEC">
        <w:rPr>
          <w:rFonts w:ascii="Arial" w:hAnsi="Arial" w:cs="Arial"/>
          <w:sz w:val="20"/>
          <w:szCs w:val="20"/>
          <w:lang w:val="es-ES"/>
        </w:rPr>
        <w:t xml:space="preserve">   </w:t>
      </w:r>
      <w:r w:rsidR="00CD7121" w:rsidRPr="00CD7121">
        <w:rPr>
          <w:rFonts w:ascii="Arial" w:hAnsi="Arial" w:cs="Arial"/>
          <w:sz w:val="20"/>
          <w:szCs w:val="20"/>
          <w:lang w:val="es-ES"/>
        </w:rPr>
        <w:drawing>
          <wp:inline distT="0" distB="0" distL="0" distR="0" wp14:anchorId="046FB4F9" wp14:editId="78847875">
            <wp:extent cx="2827684" cy="1912010"/>
            <wp:effectExtent l="0" t="0" r="0" b="0"/>
            <wp:docPr id="67374484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44843" name="Picture 1" descr="A graph of different colored bars&#10;&#10;Description automatically generated"/>
                    <pic:cNvPicPr/>
                  </pic:nvPicPr>
                  <pic:blipFill>
                    <a:blip r:embed="rId9"/>
                    <a:stretch>
                      <a:fillRect/>
                    </a:stretch>
                  </pic:blipFill>
                  <pic:spPr>
                    <a:xfrm>
                      <a:off x="0" y="0"/>
                      <a:ext cx="2848870" cy="1926335"/>
                    </a:xfrm>
                    <a:prstGeom prst="rect">
                      <a:avLst/>
                    </a:prstGeom>
                  </pic:spPr>
                </pic:pic>
              </a:graphicData>
            </a:graphic>
          </wp:inline>
        </w:drawing>
      </w:r>
    </w:p>
    <w:p w14:paraId="6E28820C" w14:textId="6F782596" w:rsidR="00CD7121" w:rsidRDefault="00CD7121" w:rsidP="003E3306">
      <w:pPr>
        <w:jc w:val="both"/>
        <w:rPr>
          <w:rFonts w:ascii="Arial" w:hAnsi="Arial" w:cs="Arial"/>
          <w:sz w:val="20"/>
          <w:szCs w:val="20"/>
          <w:lang w:val="es-ES"/>
        </w:rPr>
      </w:pPr>
      <w:r>
        <w:rPr>
          <w:rFonts w:ascii="Arial" w:hAnsi="Arial" w:cs="Arial"/>
          <w:sz w:val="20"/>
          <w:szCs w:val="20"/>
          <w:lang w:val="es-ES"/>
        </w:rPr>
        <w:t>Para el subconjunto de los hombres</w:t>
      </w:r>
      <w:r w:rsidR="003E3306">
        <w:rPr>
          <w:rFonts w:ascii="Arial" w:hAnsi="Arial" w:cs="Arial"/>
          <w:sz w:val="20"/>
          <w:szCs w:val="20"/>
          <w:lang w:val="es-ES"/>
        </w:rPr>
        <w:t xml:space="preserve"> de la muestra</w:t>
      </w:r>
      <w:r>
        <w:rPr>
          <w:rFonts w:ascii="Arial" w:hAnsi="Arial" w:cs="Arial"/>
          <w:sz w:val="20"/>
          <w:szCs w:val="20"/>
          <w:lang w:val="es-ES"/>
        </w:rPr>
        <w:t>, se evidencia un claro patrón repetitivo en el consumo de ambas categorías de drogas</w:t>
      </w:r>
      <w:r w:rsidR="003E3306">
        <w:rPr>
          <w:rFonts w:ascii="Arial" w:hAnsi="Arial" w:cs="Arial"/>
          <w:sz w:val="20"/>
          <w:szCs w:val="20"/>
          <w:lang w:val="es-ES"/>
        </w:rPr>
        <w:t xml:space="preserve">, cuanto más aumenta la edad, más disminuye la frecuencia relativa de consumo. </w:t>
      </w:r>
    </w:p>
    <w:p w14:paraId="6B1DDFE8" w14:textId="1F21D0F0" w:rsidR="00CD7121" w:rsidRPr="00CD7121" w:rsidRDefault="003E3306" w:rsidP="003E3306">
      <w:pPr>
        <w:jc w:val="both"/>
        <w:rPr>
          <w:rFonts w:ascii="Arial" w:hAnsi="Arial" w:cs="Arial"/>
          <w:sz w:val="20"/>
          <w:szCs w:val="20"/>
          <w:lang w:val="es-ES"/>
        </w:rPr>
      </w:pPr>
      <w:r>
        <w:rPr>
          <w:rFonts w:ascii="Arial" w:hAnsi="Arial" w:cs="Arial"/>
          <w:sz w:val="20"/>
          <w:szCs w:val="20"/>
          <w:lang w:val="es-ES"/>
        </w:rPr>
        <w:t xml:space="preserve">Lo anterior </w:t>
      </w:r>
      <w:r w:rsidRPr="003E3306">
        <w:rPr>
          <w:rFonts w:ascii="Arial" w:hAnsi="Arial" w:cs="Arial"/>
          <w:sz w:val="20"/>
          <w:szCs w:val="20"/>
          <w:lang w:val="es-ES"/>
        </w:rPr>
        <w:t xml:space="preserve">podría sugerir </w:t>
      </w:r>
      <w:r w:rsidRPr="003E3306">
        <w:rPr>
          <w:rFonts w:ascii="Arial" w:hAnsi="Arial" w:cs="Arial"/>
          <w:sz w:val="20"/>
          <w:szCs w:val="20"/>
          <w:lang w:val="es-ES"/>
        </w:rPr>
        <w:t>que,</w:t>
      </w:r>
      <w:r w:rsidRPr="003E3306">
        <w:rPr>
          <w:rFonts w:ascii="Arial" w:hAnsi="Arial" w:cs="Arial"/>
          <w:sz w:val="20"/>
          <w:szCs w:val="20"/>
          <w:lang w:val="es-ES"/>
        </w:rPr>
        <w:t xml:space="preserve"> </w:t>
      </w:r>
      <w:r>
        <w:rPr>
          <w:rFonts w:ascii="Arial" w:hAnsi="Arial" w:cs="Arial"/>
          <w:sz w:val="20"/>
          <w:szCs w:val="20"/>
          <w:lang w:val="es-ES"/>
        </w:rPr>
        <w:t>para la muestra estudiada, los hombres entre 18 y 24 años son</w:t>
      </w:r>
      <w:r w:rsidRPr="003E3306">
        <w:rPr>
          <w:rFonts w:ascii="Arial" w:hAnsi="Arial" w:cs="Arial"/>
          <w:sz w:val="20"/>
          <w:szCs w:val="20"/>
          <w:lang w:val="es-ES"/>
        </w:rPr>
        <w:t xml:space="preserve"> más propens</w:t>
      </w:r>
      <w:r w:rsidR="009470A2">
        <w:rPr>
          <w:rFonts w:ascii="Arial" w:hAnsi="Arial" w:cs="Arial"/>
          <w:sz w:val="20"/>
          <w:szCs w:val="20"/>
          <w:lang w:val="es-ES"/>
        </w:rPr>
        <w:t>o</w:t>
      </w:r>
      <w:r w:rsidRPr="003E3306">
        <w:rPr>
          <w:rFonts w:ascii="Arial" w:hAnsi="Arial" w:cs="Arial"/>
          <w:sz w:val="20"/>
          <w:szCs w:val="20"/>
          <w:lang w:val="es-ES"/>
        </w:rPr>
        <w:t xml:space="preserve">s al consumo de estas </w:t>
      </w:r>
      <w:r>
        <w:rPr>
          <w:rFonts w:ascii="Arial" w:hAnsi="Arial" w:cs="Arial"/>
          <w:sz w:val="20"/>
          <w:szCs w:val="20"/>
          <w:lang w:val="es-ES"/>
        </w:rPr>
        <w:t xml:space="preserve">dos categorías de </w:t>
      </w:r>
      <w:r w:rsidRPr="003E3306">
        <w:rPr>
          <w:rFonts w:ascii="Arial" w:hAnsi="Arial" w:cs="Arial"/>
          <w:sz w:val="20"/>
          <w:szCs w:val="20"/>
          <w:lang w:val="es-ES"/>
        </w:rPr>
        <w:t xml:space="preserve">drogas. </w:t>
      </w:r>
      <w:r>
        <w:rPr>
          <w:rFonts w:ascii="Arial" w:hAnsi="Arial" w:cs="Arial"/>
          <w:sz w:val="20"/>
          <w:szCs w:val="20"/>
          <w:lang w:val="es-ES"/>
        </w:rPr>
        <w:t>No obstante, a pesar de que este patrón</w:t>
      </w:r>
      <w:r w:rsidR="00CD7121" w:rsidRPr="00CD7121">
        <w:rPr>
          <w:rFonts w:ascii="Arial" w:hAnsi="Arial" w:cs="Arial"/>
          <w:sz w:val="20"/>
          <w:szCs w:val="20"/>
          <w:lang w:val="es-ES"/>
        </w:rPr>
        <w:t xml:space="preserve"> consistente podría indicar una correlación en el comportamiento de consumo</w:t>
      </w:r>
      <w:r>
        <w:rPr>
          <w:rFonts w:ascii="Arial" w:hAnsi="Arial" w:cs="Arial"/>
          <w:sz w:val="20"/>
          <w:szCs w:val="20"/>
          <w:lang w:val="es-ES"/>
        </w:rPr>
        <w:t xml:space="preserve">, </w:t>
      </w:r>
      <w:r w:rsidR="00CD7121">
        <w:rPr>
          <w:rFonts w:ascii="Arial" w:hAnsi="Arial" w:cs="Arial"/>
          <w:sz w:val="20"/>
          <w:szCs w:val="20"/>
          <w:lang w:val="es-ES"/>
        </w:rPr>
        <w:t xml:space="preserve">no es concluyente para causalidad. </w:t>
      </w:r>
    </w:p>
    <w:p w14:paraId="7A0BAECA" w14:textId="6F4A6EBB" w:rsidR="004C1B7B" w:rsidRDefault="00CB6AC6">
      <w:pPr>
        <w:rPr>
          <w:noProof/>
          <w:lang w:val="es-ES"/>
        </w:rPr>
      </w:pPr>
      <w:r w:rsidRPr="004C1B7B">
        <w:rPr>
          <w:rFonts w:ascii="Arial" w:hAnsi="Arial" w:cs="Arial"/>
          <w:sz w:val="20"/>
          <w:szCs w:val="20"/>
          <w:lang w:val="es-ES"/>
        </w:rPr>
        <w:drawing>
          <wp:inline distT="0" distB="0" distL="0" distR="0" wp14:anchorId="479438F6" wp14:editId="1C5A17E7">
            <wp:extent cx="2860766" cy="1934379"/>
            <wp:effectExtent l="0" t="0" r="0" b="8890"/>
            <wp:docPr id="7085494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49471" name="Picture 1" descr="A graph of different colored bars&#10;&#10;Description automatically generated"/>
                    <pic:cNvPicPr/>
                  </pic:nvPicPr>
                  <pic:blipFill>
                    <a:blip r:embed="rId10"/>
                    <a:stretch>
                      <a:fillRect/>
                    </a:stretch>
                  </pic:blipFill>
                  <pic:spPr>
                    <a:xfrm>
                      <a:off x="0" y="0"/>
                      <a:ext cx="2876782" cy="1945209"/>
                    </a:xfrm>
                    <a:prstGeom prst="rect">
                      <a:avLst/>
                    </a:prstGeom>
                  </pic:spPr>
                </pic:pic>
              </a:graphicData>
            </a:graphic>
          </wp:inline>
        </w:drawing>
      </w:r>
      <w:r w:rsidR="00CD7121" w:rsidRPr="003E3306">
        <w:rPr>
          <w:noProof/>
          <w:lang w:val="es-ES"/>
        </w:rPr>
        <w:t xml:space="preserve"> </w:t>
      </w:r>
      <w:r w:rsidR="00CD7121" w:rsidRPr="00CD7121">
        <w:rPr>
          <w:noProof/>
          <w:lang w:val="es-ES"/>
        </w:rPr>
        <w:drawing>
          <wp:inline distT="0" distB="0" distL="0" distR="0" wp14:anchorId="6A63BC4A" wp14:editId="6FBEB77F">
            <wp:extent cx="2892056" cy="1955537"/>
            <wp:effectExtent l="0" t="0" r="3810" b="6985"/>
            <wp:docPr id="85254201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42018" name="Picture 1" descr="A graph of different colored bars&#10;&#10;Description automatically generated"/>
                    <pic:cNvPicPr/>
                  </pic:nvPicPr>
                  <pic:blipFill>
                    <a:blip r:embed="rId11"/>
                    <a:stretch>
                      <a:fillRect/>
                    </a:stretch>
                  </pic:blipFill>
                  <pic:spPr>
                    <a:xfrm>
                      <a:off x="0" y="0"/>
                      <a:ext cx="2906617" cy="1965383"/>
                    </a:xfrm>
                    <a:prstGeom prst="rect">
                      <a:avLst/>
                    </a:prstGeom>
                  </pic:spPr>
                </pic:pic>
              </a:graphicData>
            </a:graphic>
          </wp:inline>
        </w:drawing>
      </w:r>
      <w:r w:rsidR="004C1B7B" w:rsidRPr="00C62CCA">
        <w:rPr>
          <w:noProof/>
          <w:lang w:val="es-ES"/>
        </w:rPr>
        <w:t xml:space="preserve"> </w:t>
      </w:r>
    </w:p>
    <w:p w14:paraId="47563699" w14:textId="650D1B4A" w:rsidR="00CD7121" w:rsidRPr="00D33245" w:rsidRDefault="003E3306" w:rsidP="00D33245">
      <w:pPr>
        <w:jc w:val="both"/>
        <w:rPr>
          <w:rFonts w:ascii="Arial" w:hAnsi="Arial" w:cs="Arial"/>
          <w:noProof/>
          <w:sz w:val="20"/>
          <w:szCs w:val="20"/>
          <w:lang w:val="es-ES"/>
        </w:rPr>
      </w:pPr>
      <w:r w:rsidRPr="00D33245">
        <w:rPr>
          <w:rFonts w:ascii="Arial" w:hAnsi="Arial" w:cs="Arial"/>
          <w:noProof/>
          <w:sz w:val="20"/>
          <w:szCs w:val="20"/>
          <w:lang w:val="es-ES"/>
        </w:rPr>
        <w:lastRenderedPageBreak/>
        <w:t>Para el caso de las mujeres de la muestra estudia</w:t>
      </w:r>
      <w:r w:rsidR="009470A2">
        <w:rPr>
          <w:rFonts w:ascii="Arial" w:hAnsi="Arial" w:cs="Arial"/>
          <w:noProof/>
          <w:sz w:val="20"/>
          <w:szCs w:val="20"/>
          <w:lang w:val="es-ES"/>
        </w:rPr>
        <w:t>d</w:t>
      </w:r>
      <w:r w:rsidRPr="00D33245">
        <w:rPr>
          <w:rFonts w:ascii="Arial" w:hAnsi="Arial" w:cs="Arial"/>
          <w:noProof/>
          <w:sz w:val="20"/>
          <w:szCs w:val="20"/>
          <w:lang w:val="es-ES"/>
        </w:rPr>
        <w:t xml:space="preserve">a, se evidencia un patrón de consumo similar al de los hombres, donde la tasa de consumo </w:t>
      </w:r>
      <w:r w:rsidR="009470A2">
        <w:rPr>
          <w:rFonts w:ascii="Arial" w:hAnsi="Arial" w:cs="Arial"/>
          <w:noProof/>
          <w:sz w:val="20"/>
          <w:szCs w:val="20"/>
          <w:lang w:val="es-ES"/>
        </w:rPr>
        <w:t xml:space="preserve">disminuye en tanto aumenta </w:t>
      </w:r>
      <w:r w:rsidRPr="00D33245">
        <w:rPr>
          <w:rFonts w:ascii="Arial" w:hAnsi="Arial" w:cs="Arial"/>
          <w:noProof/>
          <w:sz w:val="20"/>
          <w:szCs w:val="20"/>
          <w:lang w:val="es-ES"/>
        </w:rPr>
        <w:t>la edad. Sin embargo, se evidencia una variación adicional entre los rango</w:t>
      </w:r>
      <w:r w:rsidR="00D33245" w:rsidRPr="00D33245">
        <w:rPr>
          <w:rFonts w:ascii="Arial" w:hAnsi="Arial" w:cs="Arial"/>
          <w:noProof/>
          <w:sz w:val="20"/>
          <w:szCs w:val="20"/>
          <w:lang w:val="es-ES"/>
        </w:rPr>
        <w:t xml:space="preserve">s de 25-54 años y 55+ años, donde se registra un aumento en el consumo de las mujeres mayores de 55 años, respecto a las de 45-54 años. </w:t>
      </w:r>
    </w:p>
    <w:p w14:paraId="780A21A4" w14:textId="4762F564" w:rsidR="00D33245" w:rsidRDefault="00D33245" w:rsidP="00D33245">
      <w:pPr>
        <w:jc w:val="both"/>
        <w:rPr>
          <w:rFonts w:ascii="Arial" w:hAnsi="Arial" w:cs="Arial"/>
          <w:sz w:val="20"/>
          <w:szCs w:val="20"/>
          <w:lang w:val="es-ES"/>
        </w:rPr>
      </w:pPr>
      <w:r w:rsidRPr="00D33245">
        <w:rPr>
          <w:rFonts w:ascii="Arial" w:hAnsi="Arial" w:cs="Arial"/>
          <w:noProof/>
          <w:sz w:val="20"/>
          <w:szCs w:val="20"/>
          <w:lang w:val="es-ES"/>
        </w:rPr>
        <w:t>Análogo a</w:t>
      </w:r>
      <w:r>
        <w:rPr>
          <w:rFonts w:ascii="Arial" w:hAnsi="Arial" w:cs="Arial"/>
          <w:noProof/>
          <w:sz w:val="20"/>
          <w:szCs w:val="20"/>
          <w:lang w:val="es-ES"/>
        </w:rPr>
        <w:t xml:space="preserve"> la</w:t>
      </w:r>
      <w:r w:rsidRPr="00D33245">
        <w:rPr>
          <w:rFonts w:ascii="Arial" w:hAnsi="Arial" w:cs="Arial"/>
          <w:noProof/>
          <w:sz w:val="20"/>
          <w:szCs w:val="20"/>
          <w:lang w:val="es-ES"/>
        </w:rPr>
        <w:t xml:space="preserve"> evidencia observada </w:t>
      </w:r>
      <w:r>
        <w:rPr>
          <w:rFonts w:ascii="Arial" w:hAnsi="Arial" w:cs="Arial"/>
          <w:noProof/>
          <w:sz w:val="20"/>
          <w:szCs w:val="20"/>
          <w:lang w:val="es-ES"/>
        </w:rPr>
        <w:t>en el género masculino de la muestra</w:t>
      </w:r>
      <w:r w:rsidRPr="00D33245">
        <w:rPr>
          <w:rFonts w:ascii="Arial" w:hAnsi="Arial" w:cs="Arial"/>
          <w:noProof/>
          <w:sz w:val="20"/>
          <w:szCs w:val="20"/>
          <w:lang w:val="es-ES"/>
        </w:rPr>
        <w:t>, el patr</w:t>
      </w:r>
      <w:r>
        <w:rPr>
          <w:rFonts w:ascii="Arial" w:hAnsi="Arial" w:cs="Arial"/>
          <w:noProof/>
          <w:sz w:val="20"/>
          <w:szCs w:val="20"/>
          <w:lang w:val="es-ES"/>
        </w:rPr>
        <w:t>ó</w:t>
      </w:r>
      <w:r w:rsidRPr="00D33245">
        <w:rPr>
          <w:rFonts w:ascii="Arial" w:hAnsi="Arial" w:cs="Arial"/>
          <w:noProof/>
          <w:sz w:val="20"/>
          <w:szCs w:val="20"/>
          <w:lang w:val="es-ES"/>
        </w:rPr>
        <w:t xml:space="preserve">n en el subconjunto de las mujeres podría sugerir que </w:t>
      </w:r>
      <w:r w:rsidRPr="00D33245">
        <w:rPr>
          <w:rFonts w:ascii="Arial" w:hAnsi="Arial" w:cs="Arial"/>
          <w:sz w:val="20"/>
          <w:szCs w:val="20"/>
          <w:lang w:val="es-ES"/>
        </w:rPr>
        <w:t>l</w:t>
      </w:r>
      <w:r w:rsidRPr="00D33245">
        <w:rPr>
          <w:rFonts w:ascii="Arial" w:hAnsi="Arial" w:cs="Arial"/>
          <w:sz w:val="20"/>
          <w:szCs w:val="20"/>
          <w:lang w:val="es-ES"/>
        </w:rPr>
        <w:t>a</w:t>
      </w:r>
      <w:r w:rsidRPr="00D33245">
        <w:rPr>
          <w:rFonts w:ascii="Arial" w:hAnsi="Arial" w:cs="Arial"/>
          <w:sz w:val="20"/>
          <w:szCs w:val="20"/>
          <w:lang w:val="es-ES"/>
        </w:rPr>
        <w:t xml:space="preserve">s </w:t>
      </w:r>
      <w:r w:rsidRPr="00D33245">
        <w:rPr>
          <w:rFonts w:ascii="Arial" w:hAnsi="Arial" w:cs="Arial"/>
          <w:sz w:val="20"/>
          <w:szCs w:val="20"/>
          <w:lang w:val="es-ES"/>
        </w:rPr>
        <w:t>mujeres</w:t>
      </w:r>
      <w:r w:rsidRPr="00D33245">
        <w:rPr>
          <w:rFonts w:ascii="Arial" w:hAnsi="Arial" w:cs="Arial"/>
          <w:sz w:val="20"/>
          <w:szCs w:val="20"/>
          <w:lang w:val="es-ES"/>
        </w:rPr>
        <w:t xml:space="preserve"> entre 18 y 24 años son más propensas al consumo </w:t>
      </w:r>
      <w:r>
        <w:rPr>
          <w:rFonts w:ascii="Arial" w:hAnsi="Arial" w:cs="Arial"/>
          <w:sz w:val="20"/>
          <w:szCs w:val="20"/>
          <w:lang w:val="es-ES"/>
        </w:rPr>
        <w:t xml:space="preserve">de drogas recreativas y sedantes. </w:t>
      </w:r>
    </w:p>
    <w:p w14:paraId="731A87B1" w14:textId="17E57D76" w:rsidR="00CD7121" w:rsidRDefault="00D33245" w:rsidP="009470A2">
      <w:pPr>
        <w:jc w:val="both"/>
        <w:rPr>
          <w:rFonts w:ascii="Arial" w:hAnsi="Arial" w:cs="Arial"/>
          <w:noProof/>
          <w:sz w:val="20"/>
          <w:szCs w:val="20"/>
          <w:lang w:val="es-ES"/>
        </w:rPr>
      </w:pPr>
      <w:r>
        <w:rPr>
          <w:rFonts w:ascii="Arial" w:hAnsi="Arial" w:cs="Arial"/>
          <w:noProof/>
          <w:sz w:val="20"/>
          <w:szCs w:val="20"/>
          <w:lang w:val="es-ES"/>
        </w:rPr>
        <w:t>Finalmente, a</w:t>
      </w:r>
      <w:r w:rsidRPr="00D33245">
        <w:rPr>
          <w:rFonts w:ascii="Arial" w:hAnsi="Arial" w:cs="Arial"/>
          <w:noProof/>
          <w:sz w:val="20"/>
          <w:szCs w:val="20"/>
          <w:lang w:val="es-ES"/>
        </w:rPr>
        <w:t xml:space="preserve">unque hombres y mujeres muestran una tendencia similar en el consumo de drogas en </w:t>
      </w:r>
      <w:r>
        <w:rPr>
          <w:rFonts w:ascii="Arial" w:hAnsi="Arial" w:cs="Arial"/>
          <w:noProof/>
          <w:sz w:val="20"/>
          <w:szCs w:val="20"/>
          <w:lang w:val="es-ES"/>
        </w:rPr>
        <w:t>a</w:t>
      </w:r>
      <w:r w:rsidRPr="00D33245">
        <w:rPr>
          <w:rFonts w:ascii="Arial" w:hAnsi="Arial" w:cs="Arial"/>
          <w:noProof/>
          <w:sz w:val="20"/>
          <w:szCs w:val="20"/>
          <w:lang w:val="es-ES"/>
        </w:rPr>
        <w:t xml:space="preserve"> la edad, las frecuencias relativas son mayores en los hombres. Esto sugiere que, aunque los patrones de consumo son similares entre los géneros, la prevalencia del consumo de drogas es mayor en los hombres que en las mujeres.</w:t>
      </w:r>
      <w:r>
        <w:rPr>
          <w:rFonts w:ascii="Arial" w:hAnsi="Arial" w:cs="Arial"/>
          <w:noProof/>
          <w:sz w:val="20"/>
          <w:szCs w:val="20"/>
          <w:lang w:val="es-ES"/>
        </w:rPr>
        <w:t xml:space="preserve"> Cabe resaltar que las</w:t>
      </w:r>
      <w:r w:rsidRPr="00D33245">
        <w:rPr>
          <w:rFonts w:ascii="Arial" w:hAnsi="Arial" w:cs="Arial"/>
          <w:noProof/>
          <w:sz w:val="20"/>
          <w:szCs w:val="20"/>
          <w:lang w:val="es-ES"/>
        </w:rPr>
        <w:t xml:space="preserve"> frecuencias relativas representan la proporción de individuos dentro de un grupo específico (en este caso, hombres o mujeres) que consumen </w:t>
      </w:r>
      <w:r>
        <w:rPr>
          <w:rFonts w:ascii="Arial" w:hAnsi="Arial" w:cs="Arial"/>
          <w:noProof/>
          <w:sz w:val="20"/>
          <w:szCs w:val="20"/>
          <w:lang w:val="es-ES"/>
        </w:rPr>
        <w:t>drogas recreativas y sendates</w:t>
      </w:r>
      <w:r w:rsidRPr="00D33245">
        <w:rPr>
          <w:rFonts w:ascii="Arial" w:hAnsi="Arial" w:cs="Arial"/>
          <w:noProof/>
          <w:sz w:val="20"/>
          <w:szCs w:val="20"/>
          <w:lang w:val="es-ES"/>
        </w:rPr>
        <w:t xml:space="preserve">. Por lo tanto, una frecuencia relativa mayor en los hombres significa que una mayor proporción de hombres consume </w:t>
      </w:r>
      <w:r>
        <w:rPr>
          <w:rFonts w:ascii="Arial" w:hAnsi="Arial" w:cs="Arial"/>
          <w:noProof/>
          <w:sz w:val="20"/>
          <w:szCs w:val="20"/>
          <w:lang w:val="es-ES"/>
        </w:rPr>
        <w:t>drogas recreativas y sedantes</w:t>
      </w:r>
      <w:r w:rsidRPr="00D33245">
        <w:rPr>
          <w:rFonts w:ascii="Arial" w:hAnsi="Arial" w:cs="Arial"/>
          <w:noProof/>
          <w:sz w:val="20"/>
          <w:szCs w:val="20"/>
          <w:lang w:val="es-ES"/>
        </w:rPr>
        <w:t xml:space="preserve"> en comparación con las mujeres, no necesariamente que más hombres en términos absolutos consumen </w:t>
      </w:r>
      <w:r>
        <w:rPr>
          <w:rFonts w:ascii="Arial" w:hAnsi="Arial" w:cs="Arial"/>
          <w:noProof/>
          <w:sz w:val="20"/>
          <w:szCs w:val="20"/>
          <w:lang w:val="es-ES"/>
        </w:rPr>
        <w:t xml:space="preserve">estas drogas. </w:t>
      </w:r>
    </w:p>
    <w:p w14:paraId="6D04EB2C" w14:textId="77777777" w:rsidR="009470A2" w:rsidRPr="009470A2" w:rsidRDefault="009470A2" w:rsidP="009470A2">
      <w:pPr>
        <w:jc w:val="both"/>
        <w:rPr>
          <w:rFonts w:ascii="Arial" w:hAnsi="Arial" w:cs="Arial"/>
          <w:noProof/>
          <w:sz w:val="20"/>
          <w:szCs w:val="20"/>
          <w:lang w:val="es-ES"/>
        </w:rPr>
      </w:pPr>
    </w:p>
    <w:p w14:paraId="00010D7D" w14:textId="77777777" w:rsidR="00CD7121" w:rsidRDefault="00CD7121" w:rsidP="00CD7121">
      <w:pPr>
        <w:jc w:val="both"/>
        <w:rPr>
          <w:rFonts w:ascii="Arial" w:hAnsi="Arial" w:cs="Arial"/>
          <w:b/>
          <w:bCs/>
          <w:sz w:val="20"/>
          <w:szCs w:val="20"/>
          <w:lang w:val="es-ES"/>
        </w:rPr>
      </w:pPr>
      <w:r w:rsidRPr="00C62CCA">
        <w:rPr>
          <w:rFonts w:ascii="Arial" w:hAnsi="Arial" w:cs="Arial"/>
          <w:b/>
          <w:bCs/>
          <w:sz w:val="20"/>
          <w:szCs w:val="20"/>
          <w:lang w:val="es-ES"/>
        </w:rPr>
        <w:t xml:space="preserve">¿Qué nivel educativo tienen los hombres y las mujeres que consumen y no consumen estas dos categorías de drogas </w:t>
      </w:r>
      <w:r>
        <w:rPr>
          <w:rFonts w:ascii="Arial" w:hAnsi="Arial" w:cs="Arial"/>
          <w:b/>
          <w:bCs/>
          <w:sz w:val="20"/>
          <w:szCs w:val="20"/>
          <w:lang w:val="es-ES"/>
        </w:rPr>
        <w:t>con mayor tendencia de consumo</w:t>
      </w:r>
      <w:r w:rsidRPr="00C62CCA">
        <w:rPr>
          <w:rFonts w:ascii="Arial" w:hAnsi="Arial" w:cs="Arial"/>
          <w:b/>
          <w:bCs/>
          <w:sz w:val="20"/>
          <w:szCs w:val="20"/>
          <w:lang w:val="es-ES"/>
        </w:rPr>
        <w:t xml:space="preserve">? </w:t>
      </w:r>
    </w:p>
    <w:p w14:paraId="436F3692" w14:textId="16113E08" w:rsidR="00CD7121" w:rsidRPr="009470A2" w:rsidRDefault="009470A2" w:rsidP="00CD7121">
      <w:pPr>
        <w:jc w:val="both"/>
        <w:rPr>
          <w:rFonts w:ascii="Arial" w:hAnsi="Arial" w:cs="Arial"/>
          <w:sz w:val="20"/>
          <w:szCs w:val="20"/>
          <w:lang w:val="es-ES"/>
        </w:rPr>
      </w:pPr>
      <w:r w:rsidRPr="009470A2">
        <w:rPr>
          <w:rFonts w:ascii="Arial" w:hAnsi="Arial" w:cs="Arial"/>
          <w:color w:val="111111"/>
          <w:sz w:val="20"/>
          <w:szCs w:val="20"/>
          <w:lang w:val="es-ES"/>
        </w:rPr>
        <w:t>A continuación</w:t>
      </w:r>
      <w:r>
        <w:rPr>
          <w:rFonts w:ascii="Arial" w:hAnsi="Arial" w:cs="Arial"/>
          <w:color w:val="111111"/>
          <w:sz w:val="20"/>
          <w:szCs w:val="20"/>
          <w:lang w:val="es-ES"/>
        </w:rPr>
        <w:t>,</w:t>
      </w:r>
      <w:r w:rsidRPr="009470A2">
        <w:rPr>
          <w:rFonts w:ascii="Arial" w:hAnsi="Arial" w:cs="Arial"/>
          <w:color w:val="111111"/>
          <w:sz w:val="20"/>
          <w:szCs w:val="20"/>
          <w:lang w:val="es-ES"/>
        </w:rPr>
        <w:t xml:space="preserve"> se presentan gráficos de</w:t>
      </w:r>
      <w:r w:rsidRPr="009470A2">
        <w:rPr>
          <w:rFonts w:ascii="Arial" w:hAnsi="Arial" w:cs="Arial"/>
          <w:color w:val="111111"/>
          <w:sz w:val="20"/>
          <w:szCs w:val="20"/>
          <w:lang w:val="es-ES"/>
        </w:rPr>
        <w:t xml:space="preserve"> distribución de consumo de las drogas </w:t>
      </w:r>
      <w:r w:rsidRPr="009470A2">
        <w:rPr>
          <w:rFonts w:ascii="Arial" w:hAnsi="Arial" w:cs="Arial"/>
          <w:color w:val="111111"/>
          <w:sz w:val="20"/>
          <w:szCs w:val="20"/>
          <w:lang w:val="es-ES"/>
        </w:rPr>
        <w:t>recreativas y sedantes</w:t>
      </w:r>
      <w:r w:rsidRPr="009470A2">
        <w:rPr>
          <w:rFonts w:ascii="Arial" w:hAnsi="Arial" w:cs="Arial"/>
          <w:color w:val="111111"/>
          <w:sz w:val="20"/>
          <w:szCs w:val="20"/>
          <w:lang w:val="es-ES"/>
        </w:rPr>
        <w:t xml:space="preserve"> en hombres y mujeres, segmentados por nivel educativo</w:t>
      </w:r>
      <w:r>
        <w:rPr>
          <w:rFonts w:ascii="Arial" w:hAnsi="Arial" w:cs="Arial"/>
          <w:color w:val="111111"/>
          <w:sz w:val="20"/>
          <w:szCs w:val="20"/>
          <w:lang w:val="es-ES"/>
        </w:rPr>
        <w:t>.</w:t>
      </w:r>
    </w:p>
    <w:p w14:paraId="1C8D67CB" w14:textId="77777777" w:rsidR="00CD7121" w:rsidRDefault="00CD7121" w:rsidP="00CD7121">
      <w:pPr>
        <w:rPr>
          <w:noProof/>
          <w:lang w:val="es-ES"/>
        </w:rPr>
      </w:pPr>
      <w:r w:rsidRPr="004C1B7B">
        <w:rPr>
          <w:rFonts w:ascii="Arial" w:hAnsi="Arial" w:cs="Arial"/>
          <w:sz w:val="20"/>
          <w:szCs w:val="20"/>
          <w:lang w:val="es-ES"/>
        </w:rPr>
        <w:drawing>
          <wp:inline distT="0" distB="0" distL="0" distR="0" wp14:anchorId="305DC745" wp14:editId="18B2661B">
            <wp:extent cx="2781713" cy="1773936"/>
            <wp:effectExtent l="0" t="0" r="0" b="0"/>
            <wp:docPr id="205204342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43423" name="Picture 1" descr="A graph of different colored bars&#10;&#10;Description automatically generated with medium confidence"/>
                    <pic:cNvPicPr/>
                  </pic:nvPicPr>
                  <pic:blipFill>
                    <a:blip r:embed="rId12"/>
                    <a:stretch>
                      <a:fillRect/>
                    </a:stretch>
                  </pic:blipFill>
                  <pic:spPr>
                    <a:xfrm>
                      <a:off x="0" y="0"/>
                      <a:ext cx="2781713" cy="1773936"/>
                    </a:xfrm>
                    <a:prstGeom prst="rect">
                      <a:avLst/>
                    </a:prstGeom>
                  </pic:spPr>
                </pic:pic>
              </a:graphicData>
            </a:graphic>
          </wp:inline>
        </w:drawing>
      </w:r>
      <w:r w:rsidRPr="00C62CCA">
        <w:rPr>
          <w:noProof/>
          <w:lang w:val="es-ES"/>
        </w:rPr>
        <w:t xml:space="preserve"> </w:t>
      </w:r>
      <w:r w:rsidRPr="00CB6AC6">
        <w:rPr>
          <w:noProof/>
          <w:lang w:val="es-ES"/>
        </w:rPr>
        <w:drawing>
          <wp:inline distT="0" distB="0" distL="0" distR="0" wp14:anchorId="0F03CA97" wp14:editId="1F7FBFD9">
            <wp:extent cx="2725694" cy="1761800"/>
            <wp:effectExtent l="0" t="0" r="0" b="0"/>
            <wp:docPr id="93206046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60468" name="Picture 1" descr="A graph of different colored bars&#10;&#10;Description automatically generated"/>
                    <pic:cNvPicPr/>
                  </pic:nvPicPr>
                  <pic:blipFill>
                    <a:blip r:embed="rId13"/>
                    <a:stretch>
                      <a:fillRect/>
                    </a:stretch>
                  </pic:blipFill>
                  <pic:spPr>
                    <a:xfrm>
                      <a:off x="0" y="0"/>
                      <a:ext cx="2739343" cy="1770623"/>
                    </a:xfrm>
                    <a:prstGeom prst="rect">
                      <a:avLst/>
                    </a:prstGeom>
                  </pic:spPr>
                </pic:pic>
              </a:graphicData>
            </a:graphic>
          </wp:inline>
        </w:drawing>
      </w:r>
    </w:p>
    <w:p w14:paraId="383F2AFF" w14:textId="77777777" w:rsidR="009470A2" w:rsidRDefault="009470A2" w:rsidP="00CD7121">
      <w:pPr>
        <w:rPr>
          <w:rFonts w:ascii="Roboto" w:hAnsi="Roboto"/>
          <w:color w:val="111111"/>
          <w:lang w:val="es-ES"/>
        </w:rPr>
      </w:pPr>
    </w:p>
    <w:p w14:paraId="41A9CBA3" w14:textId="05C02F0D" w:rsidR="00073FBD" w:rsidRPr="00073FBD" w:rsidRDefault="00073FBD" w:rsidP="00073FBD">
      <w:pPr>
        <w:jc w:val="both"/>
        <w:rPr>
          <w:rFonts w:ascii="Arial" w:hAnsi="Arial" w:cs="Arial"/>
          <w:color w:val="111111"/>
          <w:sz w:val="20"/>
          <w:szCs w:val="20"/>
          <w:lang w:val="es-ES"/>
        </w:rPr>
      </w:pPr>
      <w:r w:rsidRPr="00073FBD">
        <w:rPr>
          <w:rFonts w:ascii="Arial" w:hAnsi="Arial" w:cs="Arial"/>
          <w:color w:val="111111"/>
          <w:sz w:val="20"/>
          <w:szCs w:val="20"/>
          <w:lang w:val="es-ES"/>
        </w:rPr>
        <w:t xml:space="preserve">Para la muestra masculina, se observa una relación inversa entre el nivel educativo y la frecuencia relativa de consumo de drogas recreativas y sedantes. Los individuos </w:t>
      </w:r>
      <w:r>
        <w:rPr>
          <w:rFonts w:ascii="Arial" w:hAnsi="Arial" w:cs="Arial"/>
          <w:color w:val="111111"/>
          <w:sz w:val="20"/>
          <w:szCs w:val="20"/>
          <w:lang w:val="es-ES"/>
        </w:rPr>
        <w:t>que se encuentran ‘Estudiando’</w:t>
      </w:r>
      <w:r w:rsidRPr="00073FBD">
        <w:rPr>
          <w:rFonts w:ascii="Arial" w:hAnsi="Arial" w:cs="Arial"/>
          <w:color w:val="111111"/>
          <w:sz w:val="20"/>
          <w:szCs w:val="20"/>
          <w:lang w:val="es-ES"/>
        </w:rPr>
        <w:t xml:space="preserve"> y aquellos </w:t>
      </w:r>
      <w:r>
        <w:rPr>
          <w:rFonts w:ascii="Arial" w:hAnsi="Arial" w:cs="Arial"/>
          <w:color w:val="111111"/>
          <w:sz w:val="20"/>
          <w:szCs w:val="20"/>
          <w:lang w:val="es-ES"/>
        </w:rPr>
        <w:t>‘S</w:t>
      </w:r>
      <w:r w:rsidRPr="00073FBD">
        <w:rPr>
          <w:rFonts w:ascii="Arial" w:hAnsi="Arial" w:cs="Arial"/>
          <w:color w:val="111111"/>
          <w:sz w:val="20"/>
          <w:szCs w:val="20"/>
          <w:lang w:val="es-ES"/>
        </w:rPr>
        <w:t>in estudios</w:t>
      </w:r>
      <w:r>
        <w:rPr>
          <w:rFonts w:ascii="Arial" w:hAnsi="Arial" w:cs="Arial"/>
          <w:color w:val="111111"/>
          <w:sz w:val="20"/>
          <w:szCs w:val="20"/>
          <w:lang w:val="es-ES"/>
        </w:rPr>
        <w:t>’</w:t>
      </w:r>
      <w:r w:rsidRPr="00073FBD">
        <w:rPr>
          <w:rFonts w:ascii="Arial" w:hAnsi="Arial" w:cs="Arial"/>
          <w:color w:val="111111"/>
          <w:sz w:val="20"/>
          <w:szCs w:val="20"/>
          <w:lang w:val="es-ES"/>
        </w:rPr>
        <w:t xml:space="preserve"> registran una frecuencia de consumo más alta en comparación con aquellos que han completado la educación de nivel técnico (Formación Profesional) o </w:t>
      </w:r>
      <w:r>
        <w:rPr>
          <w:rFonts w:ascii="Arial" w:hAnsi="Arial" w:cs="Arial"/>
          <w:color w:val="111111"/>
          <w:sz w:val="20"/>
          <w:szCs w:val="20"/>
          <w:lang w:val="es-ES"/>
        </w:rPr>
        <w:t xml:space="preserve">Estudios </w:t>
      </w:r>
      <w:r w:rsidRPr="00073FBD">
        <w:rPr>
          <w:rFonts w:ascii="Arial" w:hAnsi="Arial" w:cs="Arial"/>
          <w:color w:val="111111"/>
          <w:sz w:val="20"/>
          <w:szCs w:val="20"/>
          <w:lang w:val="es-ES"/>
        </w:rPr>
        <w:t>superior</w:t>
      </w:r>
      <w:r>
        <w:rPr>
          <w:rFonts w:ascii="Arial" w:hAnsi="Arial" w:cs="Arial"/>
          <w:color w:val="111111"/>
          <w:sz w:val="20"/>
          <w:szCs w:val="20"/>
          <w:lang w:val="es-ES"/>
        </w:rPr>
        <w:t>es</w:t>
      </w:r>
      <w:r w:rsidRPr="00073FBD">
        <w:rPr>
          <w:rFonts w:ascii="Arial" w:hAnsi="Arial" w:cs="Arial"/>
          <w:color w:val="111111"/>
          <w:sz w:val="20"/>
          <w:szCs w:val="20"/>
          <w:lang w:val="es-ES"/>
        </w:rPr>
        <w:t>. Este patrón se mantiene consistente en los datos analizados.</w:t>
      </w:r>
    </w:p>
    <w:p w14:paraId="1385EC7F" w14:textId="40096CC8" w:rsidR="00073FBD" w:rsidRDefault="00073FBD" w:rsidP="00073FBD">
      <w:pPr>
        <w:jc w:val="both"/>
        <w:rPr>
          <w:rFonts w:ascii="Arial" w:hAnsi="Arial" w:cs="Arial"/>
          <w:color w:val="111111"/>
          <w:sz w:val="20"/>
          <w:szCs w:val="20"/>
          <w:lang w:val="es-ES"/>
        </w:rPr>
      </w:pPr>
      <w:r w:rsidRPr="00073FBD">
        <w:rPr>
          <w:rFonts w:ascii="Arial" w:hAnsi="Arial" w:cs="Arial"/>
          <w:color w:val="111111"/>
          <w:sz w:val="20"/>
          <w:szCs w:val="20"/>
          <w:lang w:val="es-ES"/>
        </w:rPr>
        <w:t xml:space="preserve">Este hallazgo sugiere una posible asociación entre el nivel educativo y el consumo de </w:t>
      </w:r>
      <w:r>
        <w:rPr>
          <w:rFonts w:ascii="Arial" w:hAnsi="Arial" w:cs="Arial"/>
          <w:color w:val="111111"/>
          <w:sz w:val="20"/>
          <w:szCs w:val="20"/>
          <w:lang w:val="es-ES"/>
        </w:rPr>
        <w:t xml:space="preserve">las </w:t>
      </w:r>
      <w:r w:rsidRPr="00073FBD">
        <w:rPr>
          <w:rFonts w:ascii="Arial" w:hAnsi="Arial" w:cs="Arial"/>
          <w:color w:val="111111"/>
          <w:sz w:val="20"/>
          <w:szCs w:val="20"/>
          <w:lang w:val="es-ES"/>
        </w:rPr>
        <w:t xml:space="preserve">drogas mencionadas. No obstante, </w:t>
      </w:r>
      <w:r>
        <w:rPr>
          <w:rFonts w:ascii="Arial" w:hAnsi="Arial" w:cs="Arial"/>
          <w:color w:val="111111"/>
          <w:sz w:val="20"/>
          <w:szCs w:val="20"/>
          <w:lang w:val="es-ES"/>
        </w:rPr>
        <w:t>se resalta</w:t>
      </w:r>
      <w:r w:rsidRPr="00073FBD">
        <w:rPr>
          <w:rFonts w:ascii="Arial" w:hAnsi="Arial" w:cs="Arial"/>
          <w:color w:val="111111"/>
          <w:sz w:val="20"/>
          <w:szCs w:val="20"/>
          <w:lang w:val="es-ES"/>
        </w:rPr>
        <w:t xml:space="preserve"> que la correlación observada no implica causalidad. Se requieren investigaciones adicionales para discernir si el nivel educativo efectivamente incide en el comportamiento de consumo de drogas recreativas y sedantes en la población masculina estudiada.</w:t>
      </w:r>
    </w:p>
    <w:p w14:paraId="0B1C8ADB" w14:textId="449F195C" w:rsidR="00CD7121" w:rsidRDefault="00CD7121" w:rsidP="00073FBD">
      <w:pPr>
        <w:jc w:val="center"/>
        <w:rPr>
          <w:noProof/>
          <w:lang w:val="es-ES"/>
        </w:rPr>
      </w:pPr>
      <w:r w:rsidRPr="004C1B7B">
        <w:rPr>
          <w:rFonts w:ascii="Arial" w:hAnsi="Arial" w:cs="Arial"/>
          <w:sz w:val="20"/>
          <w:szCs w:val="20"/>
          <w:lang w:val="es-ES"/>
        </w:rPr>
        <w:lastRenderedPageBreak/>
        <w:drawing>
          <wp:inline distT="0" distB="0" distL="0" distR="0" wp14:anchorId="02EFBC21" wp14:editId="4210FEBA">
            <wp:extent cx="2806995" cy="1797856"/>
            <wp:effectExtent l="0" t="0" r="0" b="0"/>
            <wp:docPr id="1249344314"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44314" name="Picture 1" descr="A graph of different colored bars&#10;&#10;Description automatically generated with medium confidence"/>
                    <pic:cNvPicPr/>
                  </pic:nvPicPr>
                  <pic:blipFill>
                    <a:blip r:embed="rId14"/>
                    <a:stretch>
                      <a:fillRect/>
                    </a:stretch>
                  </pic:blipFill>
                  <pic:spPr>
                    <a:xfrm>
                      <a:off x="0" y="0"/>
                      <a:ext cx="2806995" cy="1797856"/>
                    </a:xfrm>
                    <a:prstGeom prst="rect">
                      <a:avLst/>
                    </a:prstGeom>
                  </pic:spPr>
                </pic:pic>
              </a:graphicData>
            </a:graphic>
          </wp:inline>
        </w:drawing>
      </w:r>
      <w:r w:rsidRPr="00F6470B">
        <w:rPr>
          <w:noProof/>
          <w:lang w:val="es-ES"/>
        </w:rPr>
        <w:drawing>
          <wp:inline distT="0" distB="0" distL="0" distR="0" wp14:anchorId="2108FD04" wp14:editId="70DF4BF5">
            <wp:extent cx="2757377" cy="1790232"/>
            <wp:effectExtent l="0" t="0" r="5080" b="635"/>
            <wp:docPr id="30222856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28563" name="Picture 1" descr="A graph of different colored bars&#10;&#10;Description automatically generated with medium confidence"/>
                    <pic:cNvPicPr/>
                  </pic:nvPicPr>
                  <pic:blipFill>
                    <a:blip r:embed="rId15"/>
                    <a:stretch>
                      <a:fillRect/>
                    </a:stretch>
                  </pic:blipFill>
                  <pic:spPr>
                    <a:xfrm>
                      <a:off x="0" y="0"/>
                      <a:ext cx="2781381" cy="1805816"/>
                    </a:xfrm>
                    <a:prstGeom prst="rect">
                      <a:avLst/>
                    </a:prstGeom>
                  </pic:spPr>
                </pic:pic>
              </a:graphicData>
            </a:graphic>
          </wp:inline>
        </w:drawing>
      </w:r>
    </w:p>
    <w:p w14:paraId="14B34335" w14:textId="05E3AE6A" w:rsidR="00073FBD" w:rsidRPr="00073FBD" w:rsidRDefault="00073FBD" w:rsidP="00073FBD">
      <w:pPr>
        <w:jc w:val="both"/>
        <w:rPr>
          <w:rFonts w:ascii="Arial" w:hAnsi="Arial" w:cs="Arial"/>
          <w:noProof/>
          <w:sz w:val="20"/>
          <w:szCs w:val="20"/>
          <w:lang w:val="es-ES"/>
        </w:rPr>
      </w:pPr>
      <w:r w:rsidRPr="00073FBD">
        <w:rPr>
          <w:rFonts w:ascii="Arial" w:hAnsi="Arial" w:cs="Arial"/>
          <w:noProof/>
          <w:sz w:val="20"/>
          <w:szCs w:val="20"/>
          <w:lang w:val="es-ES"/>
        </w:rPr>
        <w:t xml:space="preserve">En el caso de las mujeres en la muestra, se observa un patrón coherente en relación con el nivel educativo y el consumo de drogas recreativas y sedantes. Las mujeres que se encuentran </w:t>
      </w:r>
      <w:r>
        <w:rPr>
          <w:rFonts w:ascii="Arial" w:hAnsi="Arial" w:cs="Arial"/>
          <w:color w:val="111111"/>
          <w:sz w:val="20"/>
          <w:szCs w:val="20"/>
          <w:lang w:val="es-ES"/>
        </w:rPr>
        <w:t>‘Estudiando’</w:t>
      </w:r>
      <w:r w:rsidRPr="00073FBD">
        <w:rPr>
          <w:rFonts w:ascii="Arial" w:hAnsi="Arial" w:cs="Arial"/>
          <w:color w:val="111111"/>
          <w:sz w:val="20"/>
          <w:szCs w:val="20"/>
          <w:lang w:val="es-ES"/>
        </w:rPr>
        <w:t xml:space="preserve"> y aquell</w:t>
      </w:r>
      <w:r>
        <w:rPr>
          <w:rFonts w:ascii="Arial" w:hAnsi="Arial" w:cs="Arial"/>
          <w:color w:val="111111"/>
          <w:sz w:val="20"/>
          <w:szCs w:val="20"/>
          <w:lang w:val="es-ES"/>
        </w:rPr>
        <w:t>a</w:t>
      </w:r>
      <w:r w:rsidRPr="00073FBD">
        <w:rPr>
          <w:rFonts w:ascii="Arial" w:hAnsi="Arial" w:cs="Arial"/>
          <w:color w:val="111111"/>
          <w:sz w:val="20"/>
          <w:szCs w:val="20"/>
          <w:lang w:val="es-ES"/>
        </w:rPr>
        <w:t xml:space="preserve">s </w:t>
      </w:r>
      <w:r>
        <w:rPr>
          <w:rFonts w:ascii="Arial" w:hAnsi="Arial" w:cs="Arial"/>
          <w:color w:val="111111"/>
          <w:sz w:val="20"/>
          <w:szCs w:val="20"/>
          <w:lang w:val="es-ES"/>
        </w:rPr>
        <w:t>‘S</w:t>
      </w:r>
      <w:r w:rsidRPr="00073FBD">
        <w:rPr>
          <w:rFonts w:ascii="Arial" w:hAnsi="Arial" w:cs="Arial"/>
          <w:color w:val="111111"/>
          <w:sz w:val="20"/>
          <w:szCs w:val="20"/>
          <w:lang w:val="es-ES"/>
        </w:rPr>
        <w:t>in estudios</w:t>
      </w:r>
      <w:r>
        <w:rPr>
          <w:rFonts w:ascii="Arial" w:hAnsi="Arial" w:cs="Arial"/>
          <w:color w:val="111111"/>
          <w:sz w:val="20"/>
          <w:szCs w:val="20"/>
          <w:lang w:val="es-ES"/>
        </w:rPr>
        <w:t>’</w:t>
      </w:r>
      <w:r w:rsidRPr="00073FBD">
        <w:rPr>
          <w:rFonts w:ascii="Arial" w:hAnsi="Arial" w:cs="Arial"/>
          <w:color w:val="111111"/>
          <w:sz w:val="20"/>
          <w:szCs w:val="20"/>
          <w:lang w:val="es-ES"/>
        </w:rPr>
        <w:t xml:space="preserve"> </w:t>
      </w:r>
      <w:r w:rsidRPr="00073FBD">
        <w:rPr>
          <w:rFonts w:ascii="Arial" w:hAnsi="Arial" w:cs="Arial"/>
          <w:noProof/>
          <w:sz w:val="20"/>
          <w:szCs w:val="20"/>
          <w:lang w:val="es-ES"/>
        </w:rPr>
        <w:t xml:space="preserve">registran las mayores frecuencias relativas de consumo en comparación con </w:t>
      </w:r>
      <w:r>
        <w:rPr>
          <w:rFonts w:ascii="Arial" w:hAnsi="Arial" w:cs="Arial"/>
          <w:noProof/>
          <w:sz w:val="20"/>
          <w:szCs w:val="20"/>
          <w:lang w:val="es-ES"/>
        </w:rPr>
        <w:t xml:space="preserve">los </w:t>
      </w:r>
      <w:r w:rsidRPr="00073FBD">
        <w:rPr>
          <w:rFonts w:ascii="Arial" w:hAnsi="Arial" w:cs="Arial"/>
          <w:noProof/>
          <w:sz w:val="20"/>
          <w:szCs w:val="20"/>
          <w:lang w:val="es-ES"/>
        </w:rPr>
        <w:t xml:space="preserve">otros </w:t>
      </w:r>
      <w:r>
        <w:rPr>
          <w:rFonts w:ascii="Arial" w:hAnsi="Arial" w:cs="Arial"/>
          <w:noProof/>
          <w:sz w:val="20"/>
          <w:szCs w:val="20"/>
          <w:lang w:val="es-ES"/>
        </w:rPr>
        <w:t xml:space="preserve">dos </w:t>
      </w:r>
      <w:r w:rsidRPr="00073FBD">
        <w:rPr>
          <w:rFonts w:ascii="Arial" w:hAnsi="Arial" w:cs="Arial"/>
          <w:noProof/>
          <w:sz w:val="20"/>
          <w:szCs w:val="20"/>
          <w:lang w:val="es-ES"/>
        </w:rPr>
        <w:t>grupos. Sin embargo, se observa una variación con respecto a los hombres: las mujeres con educación superior exhiben un mayor consumo de estas drogas en comparación con aquellas que han completado estudios de Formación Profesional.</w:t>
      </w:r>
    </w:p>
    <w:p w14:paraId="55116383" w14:textId="3C261163" w:rsidR="00073FBD" w:rsidRDefault="00073FBD" w:rsidP="00073FBD">
      <w:pPr>
        <w:jc w:val="both"/>
        <w:rPr>
          <w:rFonts w:ascii="Arial" w:hAnsi="Arial" w:cs="Arial"/>
          <w:noProof/>
          <w:sz w:val="20"/>
          <w:szCs w:val="20"/>
          <w:lang w:val="es-ES"/>
        </w:rPr>
      </w:pPr>
      <w:r w:rsidRPr="00073FBD">
        <w:rPr>
          <w:rFonts w:ascii="Arial" w:hAnsi="Arial" w:cs="Arial"/>
          <w:noProof/>
          <w:sz w:val="20"/>
          <w:szCs w:val="20"/>
          <w:lang w:val="es-ES"/>
        </w:rPr>
        <w:t>Este patrón sugiere una posible asociación entre el nivel educativo y el consumo de drogas recreativas y sedantes en la población femenina analizada. Sin embargo, es importante resaltar que la correlación observada no implica causalidad directa. Se requiere una investigación adicional para examinar más a fondo la relación entre el nivel educativo y el consumo de estas drogas en mujeres.</w:t>
      </w:r>
    </w:p>
    <w:p w14:paraId="3B14BDEB" w14:textId="77777777" w:rsidR="00073FBD" w:rsidRDefault="00073FBD" w:rsidP="00073FBD">
      <w:pPr>
        <w:jc w:val="both"/>
        <w:rPr>
          <w:rFonts w:ascii="Arial" w:hAnsi="Arial" w:cs="Arial"/>
          <w:noProof/>
          <w:sz w:val="20"/>
          <w:szCs w:val="20"/>
          <w:lang w:val="es-ES"/>
        </w:rPr>
      </w:pPr>
    </w:p>
    <w:p w14:paraId="5B360899" w14:textId="25C6BBEF" w:rsidR="00A51694" w:rsidRPr="00073FBD" w:rsidRDefault="00C125EB" w:rsidP="00073FBD">
      <w:pPr>
        <w:jc w:val="center"/>
        <w:rPr>
          <w:rFonts w:ascii="Arial" w:hAnsi="Arial" w:cs="Arial"/>
          <w:b/>
          <w:bCs/>
          <w:lang w:val="es-ES"/>
        </w:rPr>
      </w:pPr>
      <w:r w:rsidRPr="00312AF9">
        <w:rPr>
          <w:rFonts w:ascii="Arial" w:hAnsi="Arial" w:cs="Arial"/>
          <w:b/>
          <w:bCs/>
          <w:lang w:val="es-ES"/>
        </w:rPr>
        <w:t>Conclusiones</w:t>
      </w:r>
    </w:p>
    <w:p w14:paraId="5AD26B4F" w14:textId="673CB05B"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 xml:space="preserve">Distribución </w:t>
      </w:r>
      <w:r w:rsidR="00073FBD">
        <w:rPr>
          <w:rFonts w:ascii="Arial" w:hAnsi="Arial" w:cs="Arial"/>
          <w:b/>
          <w:bCs/>
          <w:color w:val="111111"/>
          <w:sz w:val="20"/>
          <w:szCs w:val="20"/>
          <w:lang w:val="es-ES"/>
        </w:rPr>
        <w:t xml:space="preserve">de consumo </w:t>
      </w:r>
      <w:r w:rsidRPr="00A51694">
        <w:rPr>
          <w:rFonts w:ascii="Arial" w:hAnsi="Arial" w:cs="Arial"/>
          <w:b/>
          <w:bCs/>
          <w:color w:val="111111"/>
          <w:sz w:val="20"/>
          <w:szCs w:val="20"/>
          <w:lang w:val="es-ES"/>
        </w:rPr>
        <w:t>por género y edad:</w:t>
      </w:r>
    </w:p>
    <w:p w14:paraId="556BA245" w14:textId="348AAD43" w:rsidR="00A51694" w:rsidRPr="00A51694" w:rsidRDefault="00A51694" w:rsidP="00A51694">
      <w:pPr>
        <w:pStyle w:val="NormalWeb"/>
        <w:numPr>
          <w:ilvl w:val="0"/>
          <w:numId w:val="7"/>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 xml:space="preserve">Se observa una variabilidad significativa en la distribución por edad para hombres, con un pico en el rango de 18-24 años, mientras </w:t>
      </w:r>
      <w:proofErr w:type="gramStart"/>
      <w:r w:rsidRPr="00A51694">
        <w:rPr>
          <w:rFonts w:ascii="Arial" w:hAnsi="Arial" w:cs="Arial"/>
          <w:color w:val="111111"/>
          <w:sz w:val="20"/>
          <w:szCs w:val="20"/>
          <w:lang w:val="es-ES"/>
        </w:rPr>
        <w:t>que</w:t>
      </w:r>
      <w:proofErr w:type="gramEnd"/>
      <w:r w:rsidRPr="00A51694">
        <w:rPr>
          <w:rFonts w:ascii="Arial" w:hAnsi="Arial" w:cs="Arial"/>
          <w:color w:val="111111"/>
          <w:sz w:val="20"/>
          <w:szCs w:val="20"/>
          <w:lang w:val="es-ES"/>
        </w:rPr>
        <w:t xml:space="preserve"> </w:t>
      </w:r>
      <w:r w:rsidRPr="00A51694">
        <w:rPr>
          <w:rFonts w:ascii="Arial" w:hAnsi="Arial" w:cs="Arial"/>
          <w:color w:val="111111"/>
          <w:sz w:val="20"/>
          <w:szCs w:val="20"/>
          <w:lang w:val="es-ES"/>
        </w:rPr>
        <w:t>para mujeres, el rango de 25-34 años es más representativo.</w:t>
      </w:r>
    </w:p>
    <w:p w14:paraId="6B1A8098" w14:textId="7DEED642" w:rsidR="00A51694" w:rsidRDefault="00A51694" w:rsidP="00A51694">
      <w:pPr>
        <w:pStyle w:val="ListParagraph"/>
        <w:numPr>
          <w:ilvl w:val="0"/>
          <w:numId w:val="7"/>
        </w:numPr>
        <w:jc w:val="both"/>
        <w:rPr>
          <w:rFonts w:ascii="Arial" w:eastAsia="Times New Roman" w:hAnsi="Arial" w:cs="Arial"/>
          <w:color w:val="111111"/>
          <w:kern w:val="0"/>
          <w:sz w:val="20"/>
          <w:szCs w:val="20"/>
          <w:lang w:val="es-ES"/>
          <w14:ligatures w14:val="none"/>
        </w:rPr>
      </w:pPr>
      <w:r w:rsidRPr="00A51694">
        <w:rPr>
          <w:rFonts w:ascii="Arial" w:eastAsia="Times New Roman" w:hAnsi="Arial" w:cs="Arial"/>
          <w:color w:val="111111"/>
          <w:kern w:val="0"/>
          <w:sz w:val="20"/>
          <w:szCs w:val="20"/>
          <w:lang w:val="es-ES"/>
          <w14:ligatures w14:val="none"/>
        </w:rPr>
        <w:t xml:space="preserve">Ambos géneros tienen una alta prevalencia de consumo de alcohol y </w:t>
      </w:r>
      <w:r>
        <w:rPr>
          <w:rFonts w:ascii="Arial" w:eastAsia="Times New Roman" w:hAnsi="Arial" w:cs="Arial"/>
          <w:color w:val="111111"/>
          <w:kern w:val="0"/>
          <w:sz w:val="20"/>
          <w:szCs w:val="20"/>
          <w:lang w:val="es-ES"/>
          <w14:ligatures w14:val="none"/>
        </w:rPr>
        <w:t>cafeína</w:t>
      </w:r>
      <w:r w:rsidRPr="00A51694">
        <w:rPr>
          <w:rFonts w:ascii="Arial" w:eastAsia="Times New Roman" w:hAnsi="Arial" w:cs="Arial"/>
          <w:color w:val="111111"/>
          <w:kern w:val="0"/>
          <w:sz w:val="20"/>
          <w:szCs w:val="20"/>
          <w:lang w:val="es-ES"/>
          <w14:ligatures w14:val="none"/>
        </w:rPr>
        <w:t xml:space="preserve"> (superior al 90%).</w:t>
      </w:r>
    </w:p>
    <w:p w14:paraId="1D3D127A" w14:textId="30F9A06C" w:rsidR="00A51694" w:rsidRPr="00A51694" w:rsidRDefault="00A51694" w:rsidP="00A51694">
      <w:pPr>
        <w:pStyle w:val="ListParagraph"/>
        <w:numPr>
          <w:ilvl w:val="0"/>
          <w:numId w:val="7"/>
        </w:numPr>
        <w:jc w:val="both"/>
        <w:rPr>
          <w:rFonts w:ascii="Arial" w:eastAsia="Times New Roman" w:hAnsi="Arial" w:cs="Arial"/>
          <w:color w:val="111111"/>
          <w:kern w:val="0"/>
          <w:sz w:val="20"/>
          <w:szCs w:val="20"/>
          <w:lang w:val="es-ES"/>
          <w14:ligatures w14:val="none"/>
        </w:rPr>
      </w:pPr>
      <w:r w:rsidRPr="00A51694">
        <w:rPr>
          <w:rFonts w:ascii="Arial" w:hAnsi="Arial" w:cs="Arial"/>
          <w:color w:val="111111"/>
          <w:sz w:val="20"/>
          <w:szCs w:val="20"/>
          <w:lang w:val="es-ES"/>
        </w:rPr>
        <w:t>Excluyendo las categorías legales</w:t>
      </w:r>
      <w:r>
        <w:rPr>
          <w:rFonts w:ascii="Arial" w:hAnsi="Arial" w:cs="Arial"/>
          <w:color w:val="111111"/>
          <w:sz w:val="20"/>
          <w:szCs w:val="20"/>
          <w:lang w:val="es-ES"/>
        </w:rPr>
        <w:t xml:space="preserve"> (Alcohol, Cafeína y Nicotina)</w:t>
      </w:r>
      <w:r w:rsidRPr="00A51694">
        <w:rPr>
          <w:rFonts w:ascii="Arial" w:hAnsi="Arial" w:cs="Arial"/>
          <w:color w:val="111111"/>
          <w:sz w:val="20"/>
          <w:szCs w:val="20"/>
          <w:lang w:val="es-ES"/>
        </w:rPr>
        <w:t xml:space="preserve">, ambos géneros muestran una tendencia de consumo predominante en drogas recreativas y sedantes, con más del </w:t>
      </w:r>
      <w:r w:rsidRPr="00A51694">
        <w:rPr>
          <w:rFonts w:ascii="Arial" w:hAnsi="Arial" w:cs="Arial"/>
          <w:color w:val="111111"/>
          <w:sz w:val="20"/>
          <w:szCs w:val="20"/>
          <w:lang w:val="es-ES"/>
        </w:rPr>
        <w:t>3</w:t>
      </w:r>
      <w:r w:rsidRPr="00A51694">
        <w:rPr>
          <w:rFonts w:ascii="Arial" w:hAnsi="Arial" w:cs="Arial"/>
          <w:color w:val="111111"/>
          <w:sz w:val="20"/>
          <w:szCs w:val="20"/>
          <w:lang w:val="es-ES"/>
        </w:rPr>
        <w:t>0% de prevalencia.</w:t>
      </w:r>
    </w:p>
    <w:p w14:paraId="4AFA8AE4" w14:textId="77777777"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Comparación de consumo por género:</w:t>
      </w:r>
    </w:p>
    <w:p w14:paraId="08AF2BFE" w14:textId="77777777" w:rsidR="00A51694" w:rsidRPr="00A51694" w:rsidRDefault="00A51694" w:rsidP="00A51694">
      <w:pPr>
        <w:pStyle w:val="NormalWeb"/>
        <w:shd w:val="clear" w:color="auto" w:fill="FFFFFF"/>
        <w:spacing w:after="0"/>
        <w:jc w:val="both"/>
        <w:rPr>
          <w:rFonts w:ascii="Arial" w:hAnsi="Arial" w:cs="Arial"/>
          <w:color w:val="111111"/>
          <w:sz w:val="20"/>
          <w:szCs w:val="20"/>
          <w:lang w:val="es-ES"/>
        </w:rPr>
      </w:pPr>
    </w:p>
    <w:p w14:paraId="4337569C" w14:textId="77777777" w:rsidR="00A51694" w:rsidRPr="00A51694" w:rsidRDefault="00A51694" w:rsidP="00A51694">
      <w:pPr>
        <w:pStyle w:val="NormalWeb"/>
        <w:numPr>
          <w:ilvl w:val="0"/>
          <w:numId w:val="8"/>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Aunque las tendencias de consumo son similares entre hombres y mujeres, los hombres presentan un mayor porcentaje de consumo en cada categoría, posiblemente debido a factores exógenos.</w:t>
      </w:r>
    </w:p>
    <w:p w14:paraId="3D028660" w14:textId="77777777" w:rsidR="00A51694" w:rsidRPr="00A51694" w:rsidRDefault="00A51694" w:rsidP="00A51694">
      <w:pPr>
        <w:pStyle w:val="NormalWeb"/>
        <w:numPr>
          <w:ilvl w:val="0"/>
          <w:numId w:val="8"/>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Es necesario un análisis multivariante para controlar posibles variables de confusión que puedan influir en estas diferencias.</w:t>
      </w:r>
    </w:p>
    <w:p w14:paraId="395D6881" w14:textId="0D130344"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Consumo de drogas en función de la edad:</w:t>
      </w:r>
    </w:p>
    <w:p w14:paraId="4F7EE3AB" w14:textId="77777777" w:rsidR="00A51694" w:rsidRPr="00A51694" w:rsidRDefault="00A51694" w:rsidP="00A51694">
      <w:pPr>
        <w:pStyle w:val="NormalWeb"/>
        <w:numPr>
          <w:ilvl w:val="0"/>
          <w:numId w:val="9"/>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Para ambos géneros, se observa una disminución en la frecuencia relativa de consumo de drogas recreativas y sedantes a medida que aumenta la edad.</w:t>
      </w:r>
    </w:p>
    <w:p w14:paraId="51F109E9" w14:textId="77777777" w:rsidR="00A51694" w:rsidRPr="00A51694" w:rsidRDefault="00A51694" w:rsidP="00A51694">
      <w:pPr>
        <w:pStyle w:val="NormalWeb"/>
        <w:numPr>
          <w:ilvl w:val="0"/>
          <w:numId w:val="9"/>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lastRenderedPageBreak/>
        <w:t>En general, los hombres entre 18 y 24 años parecen ser más propensos al consumo, aunque esta correlación no implica causalidad.</w:t>
      </w:r>
    </w:p>
    <w:p w14:paraId="271613FA" w14:textId="77777777" w:rsidR="00A51694" w:rsidRDefault="00A51694" w:rsidP="00A51694">
      <w:pPr>
        <w:pStyle w:val="NormalWeb"/>
        <w:numPr>
          <w:ilvl w:val="0"/>
          <w:numId w:val="9"/>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En mujeres, se registra una variación adicional en los rangos de 25-54 años y 55+ años, con un aumento en el consumo entre las mujeres mayores de 55 años.</w:t>
      </w:r>
    </w:p>
    <w:p w14:paraId="13F6C9BD" w14:textId="688BB45F" w:rsidR="00073FBD" w:rsidRPr="00A51694" w:rsidRDefault="00073FBD" w:rsidP="00A51694">
      <w:pPr>
        <w:pStyle w:val="NormalWeb"/>
        <w:numPr>
          <w:ilvl w:val="0"/>
          <w:numId w:val="9"/>
        </w:numPr>
        <w:shd w:val="clear" w:color="auto" w:fill="FFFFFF"/>
        <w:spacing w:after="0"/>
        <w:jc w:val="both"/>
        <w:rPr>
          <w:rFonts w:ascii="Arial" w:hAnsi="Arial" w:cs="Arial"/>
          <w:color w:val="111111"/>
          <w:sz w:val="20"/>
          <w:szCs w:val="20"/>
          <w:lang w:val="es-ES"/>
        </w:rPr>
      </w:pPr>
      <w:r>
        <w:rPr>
          <w:rFonts w:ascii="Arial" w:hAnsi="Arial" w:cs="Arial"/>
          <w:color w:val="111111"/>
          <w:sz w:val="20"/>
          <w:szCs w:val="20"/>
          <w:lang w:val="es-ES"/>
        </w:rPr>
        <w:t xml:space="preserve">La correlación de la edad con el consumo no implica causalidad. </w:t>
      </w:r>
    </w:p>
    <w:p w14:paraId="192873EE" w14:textId="060652DD" w:rsidR="00A51694" w:rsidRPr="00A51694" w:rsidRDefault="00A51694" w:rsidP="00A51694">
      <w:pPr>
        <w:pStyle w:val="NormalWeb"/>
        <w:numPr>
          <w:ilvl w:val="0"/>
          <w:numId w:val="6"/>
        </w:numPr>
        <w:shd w:val="clear" w:color="auto" w:fill="FFFFFF"/>
        <w:spacing w:after="0"/>
        <w:jc w:val="both"/>
        <w:rPr>
          <w:rFonts w:ascii="Arial" w:hAnsi="Arial" w:cs="Arial"/>
          <w:b/>
          <w:bCs/>
          <w:color w:val="111111"/>
          <w:sz w:val="20"/>
          <w:szCs w:val="20"/>
          <w:lang w:val="es-ES"/>
        </w:rPr>
      </w:pPr>
      <w:r w:rsidRPr="00A51694">
        <w:rPr>
          <w:rFonts w:ascii="Arial" w:hAnsi="Arial" w:cs="Arial"/>
          <w:b/>
          <w:bCs/>
          <w:color w:val="111111"/>
          <w:sz w:val="20"/>
          <w:szCs w:val="20"/>
          <w:lang w:val="es-ES"/>
        </w:rPr>
        <w:t>Consumo de drogas según nivel educativo:</w:t>
      </w:r>
    </w:p>
    <w:p w14:paraId="3FF42769" w14:textId="4C0C96B3" w:rsidR="00A51694" w:rsidRPr="00A51694" w:rsidRDefault="00A51694" w:rsidP="00A51694">
      <w:pPr>
        <w:pStyle w:val="NormalWeb"/>
        <w:numPr>
          <w:ilvl w:val="0"/>
          <w:numId w:val="10"/>
        </w:numPr>
        <w:shd w:val="clear" w:color="auto" w:fill="FFFFFF"/>
        <w:spacing w:after="0"/>
        <w:jc w:val="both"/>
        <w:rPr>
          <w:rFonts w:ascii="Arial" w:hAnsi="Arial" w:cs="Arial"/>
          <w:color w:val="111111"/>
          <w:sz w:val="20"/>
          <w:szCs w:val="20"/>
          <w:lang w:val="es-ES"/>
        </w:rPr>
      </w:pPr>
      <w:r w:rsidRPr="00A51694">
        <w:rPr>
          <w:rFonts w:ascii="Arial" w:hAnsi="Arial" w:cs="Arial"/>
          <w:color w:val="111111"/>
          <w:sz w:val="20"/>
          <w:szCs w:val="20"/>
          <w:lang w:val="es-ES"/>
        </w:rPr>
        <w:t>Tanto para hombres como para mujeres, se observa un patrón consistente donde la población</w:t>
      </w:r>
      <w:r>
        <w:rPr>
          <w:rFonts w:ascii="Arial" w:hAnsi="Arial" w:cs="Arial"/>
          <w:color w:val="111111"/>
          <w:sz w:val="20"/>
          <w:szCs w:val="20"/>
          <w:lang w:val="es-ES"/>
        </w:rPr>
        <w:t xml:space="preserve"> </w:t>
      </w:r>
      <w:r w:rsidR="00073FBD" w:rsidRPr="00073FBD">
        <w:rPr>
          <w:rFonts w:ascii="Arial" w:hAnsi="Arial" w:cs="Arial"/>
          <w:noProof/>
          <w:sz w:val="20"/>
          <w:szCs w:val="20"/>
          <w:lang w:val="es-ES"/>
        </w:rPr>
        <w:t xml:space="preserve">que se encuentra </w:t>
      </w:r>
      <w:r w:rsidR="00073FBD">
        <w:rPr>
          <w:rFonts w:ascii="Arial" w:hAnsi="Arial" w:cs="Arial"/>
          <w:color w:val="111111"/>
          <w:sz w:val="20"/>
          <w:szCs w:val="20"/>
          <w:lang w:val="es-ES"/>
        </w:rPr>
        <w:t>‘Estudiando’</w:t>
      </w:r>
      <w:r w:rsidR="00073FBD" w:rsidRPr="00073FBD">
        <w:rPr>
          <w:rFonts w:ascii="Arial" w:hAnsi="Arial" w:cs="Arial"/>
          <w:color w:val="111111"/>
          <w:sz w:val="20"/>
          <w:szCs w:val="20"/>
          <w:lang w:val="es-ES"/>
        </w:rPr>
        <w:t xml:space="preserve"> y </w:t>
      </w:r>
      <w:r w:rsidR="00073FBD">
        <w:rPr>
          <w:rFonts w:ascii="Arial" w:hAnsi="Arial" w:cs="Arial"/>
          <w:color w:val="111111"/>
          <w:sz w:val="20"/>
          <w:szCs w:val="20"/>
          <w:lang w:val="es-ES"/>
        </w:rPr>
        <w:t>la que está</w:t>
      </w:r>
      <w:r w:rsidR="00073FBD" w:rsidRPr="00073FBD">
        <w:rPr>
          <w:rFonts w:ascii="Arial" w:hAnsi="Arial" w:cs="Arial"/>
          <w:color w:val="111111"/>
          <w:sz w:val="20"/>
          <w:szCs w:val="20"/>
          <w:lang w:val="es-ES"/>
        </w:rPr>
        <w:t xml:space="preserve"> </w:t>
      </w:r>
      <w:r w:rsidR="00073FBD">
        <w:rPr>
          <w:rFonts w:ascii="Arial" w:hAnsi="Arial" w:cs="Arial"/>
          <w:color w:val="111111"/>
          <w:sz w:val="20"/>
          <w:szCs w:val="20"/>
          <w:lang w:val="es-ES"/>
        </w:rPr>
        <w:t>‘S</w:t>
      </w:r>
      <w:r w:rsidR="00073FBD" w:rsidRPr="00073FBD">
        <w:rPr>
          <w:rFonts w:ascii="Arial" w:hAnsi="Arial" w:cs="Arial"/>
          <w:color w:val="111111"/>
          <w:sz w:val="20"/>
          <w:szCs w:val="20"/>
          <w:lang w:val="es-ES"/>
        </w:rPr>
        <w:t>in estudios</w:t>
      </w:r>
      <w:r w:rsidR="00073FBD">
        <w:rPr>
          <w:rFonts w:ascii="Arial" w:hAnsi="Arial" w:cs="Arial"/>
          <w:color w:val="111111"/>
          <w:sz w:val="20"/>
          <w:szCs w:val="20"/>
          <w:lang w:val="es-ES"/>
        </w:rPr>
        <w:t>’</w:t>
      </w:r>
      <w:r w:rsidRPr="00A51694">
        <w:rPr>
          <w:rFonts w:ascii="Arial" w:hAnsi="Arial" w:cs="Arial"/>
          <w:color w:val="111111"/>
          <w:sz w:val="20"/>
          <w:szCs w:val="20"/>
          <w:lang w:val="es-ES"/>
        </w:rPr>
        <w:t xml:space="preserve"> registran las mayores frecuencias relativas de consumo de drogas recreativas y sedantes.</w:t>
      </w:r>
    </w:p>
    <w:p w14:paraId="44A65E1B" w14:textId="6F0C7C32" w:rsidR="00A51694" w:rsidRDefault="00073FBD" w:rsidP="00A51694">
      <w:pPr>
        <w:pStyle w:val="NormalWeb"/>
        <w:numPr>
          <w:ilvl w:val="0"/>
          <w:numId w:val="10"/>
        </w:numPr>
        <w:shd w:val="clear" w:color="auto" w:fill="FFFFFF"/>
        <w:spacing w:before="0" w:beforeAutospacing="0" w:after="0" w:afterAutospacing="0"/>
        <w:jc w:val="both"/>
        <w:rPr>
          <w:rFonts w:ascii="Arial" w:hAnsi="Arial" w:cs="Arial"/>
          <w:color w:val="111111"/>
          <w:sz w:val="20"/>
          <w:szCs w:val="20"/>
          <w:lang w:val="es-ES"/>
        </w:rPr>
      </w:pPr>
      <w:r>
        <w:rPr>
          <w:rFonts w:ascii="Arial" w:hAnsi="Arial" w:cs="Arial"/>
          <w:color w:val="111111"/>
          <w:sz w:val="20"/>
          <w:szCs w:val="20"/>
          <w:lang w:val="es-ES"/>
        </w:rPr>
        <w:t>Se</w:t>
      </w:r>
      <w:r w:rsidR="00A51694" w:rsidRPr="00A51694">
        <w:rPr>
          <w:rFonts w:ascii="Arial" w:hAnsi="Arial" w:cs="Arial"/>
          <w:color w:val="111111"/>
          <w:sz w:val="20"/>
          <w:szCs w:val="20"/>
          <w:lang w:val="es-ES"/>
        </w:rPr>
        <w:t xml:space="preserve"> destaca que las mujeres con estudios superiores muestran un mayor consumo de estas drogas en comparación con las mujeres con estudios de FP, lo que sugiere una relación compleja entre nivel educativo y consumo de drogas</w:t>
      </w:r>
      <w:r w:rsidR="00A51694">
        <w:rPr>
          <w:rFonts w:ascii="Arial" w:hAnsi="Arial" w:cs="Arial"/>
          <w:color w:val="111111"/>
          <w:sz w:val="20"/>
          <w:szCs w:val="20"/>
          <w:lang w:val="es-ES"/>
        </w:rPr>
        <w:t xml:space="preserve"> en las mujeres de la muestra.</w:t>
      </w:r>
    </w:p>
    <w:p w14:paraId="25A11956" w14:textId="5C3FC77A" w:rsidR="00A51694" w:rsidRDefault="00A51694" w:rsidP="00A51694">
      <w:pPr>
        <w:pStyle w:val="NormalWeb"/>
        <w:numPr>
          <w:ilvl w:val="0"/>
          <w:numId w:val="10"/>
        </w:numPr>
        <w:shd w:val="clear" w:color="auto" w:fill="FFFFFF"/>
        <w:spacing w:before="0" w:beforeAutospacing="0" w:after="0" w:afterAutospacing="0"/>
        <w:jc w:val="both"/>
        <w:rPr>
          <w:rFonts w:ascii="Arial" w:hAnsi="Arial" w:cs="Arial"/>
          <w:color w:val="111111"/>
          <w:sz w:val="20"/>
          <w:szCs w:val="20"/>
          <w:lang w:val="es-ES"/>
        </w:rPr>
      </w:pPr>
      <w:r>
        <w:rPr>
          <w:rStyle w:val="Strong"/>
          <w:rFonts w:ascii="Arial" w:eastAsiaTheme="majorEastAsia" w:hAnsi="Arial" w:cs="Arial"/>
          <w:b w:val="0"/>
          <w:bCs w:val="0"/>
          <w:color w:val="111111"/>
          <w:sz w:val="20"/>
          <w:szCs w:val="20"/>
          <w:lang w:val="es-ES"/>
        </w:rPr>
        <w:t xml:space="preserve">Lo anterior </w:t>
      </w:r>
      <w:r w:rsidRPr="00C125EB">
        <w:rPr>
          <w:rFonts w:ascii="Arial" w:hAnsi="Arial" w:cs="Arial"/>
          <w:color w:val="111111"/>
          <w:sz w:val="20"/>
          <w:szCs w:val="20"/>
          <w:lang w:val="es-ES"/>
        </w:rPr>
        <w:t>sugiere que las intervenciones de prevención y tratamiento podrían necesitar ser adaptadas o dirigidas de manera diferente para hombres y mujeres</w:t>
      </w:r>
      <w:r>
        <w:rPr>
          <w:rFonts w:ascii="Arial" w:hAnsi="Arial" w:cs="Arial"/>
          <w:color w:val="111111"/>
          <w:sz w:val="20"/>
          <w:szCs w:val="20"/>
          <w:lang w:val="es-ES"/>
        </w:rPr>
        <w:t xml:space="preserve"> dentro de la muestra. No se sugiere extrapolar esta conclusión a una población muestral diferente, ya que el poder inferencial de l</w:t>
      </w:r>
      <w:r>
        <w:rPr>
          <w:rFonts w:ascii="Arial" w:hAnsi="Arial" w:cs="Arial"/>
          <w:color w:val="111111"/>
          <w:sz w:val="20"/>
          <w:szCs w:val="20"/>
          <w:lang w:val="es-ES"/>
        </w:rPr>
        <w:t xml:space="preserve">a muestra estudiada no cumple con los mínimos necesarios para realizar generalizaciones. </w:t>
      </w:r>
    </w:p>
    <w:p w14:paraId="749FDD8B" w14:textId="74E80985" w:rsidR="00073FBD" w:rsidRPr="00A51694" w:rsidRDefault="00073FBD" w:rsidP="00073FBD">
      <w:pPr>
        <w:pStyle w:val="NormalWeb"/>
        <w:numPr>
          <w:ilvl w:val="0"/>
          <w:numId w:val="10"/>
        </w:numPr>
        <w:shd w:val="clear" w:color="auto" w:fill="FFFFFF"/>
        <w:spacing w:after="0"/>
        <w:jc w:val="both"/>
        <w:rPr>
          <w:rFonts w:ascii="Arial" w:hAnsi="Arial" w:cs="Arial"/>
          <w:color w:val="111111"/>
          <w:sz w:val="20"/>
          <w:szCs w:val="20"/>
          <w:lang w:val="es-ES"/>
        </w:rPr>
      </w:pPr>
      <w:r>
        <w:rPr>
          <w:rFonts w:ascii="Arial" w:hAnsi="Arial" w:cs="Arial"/>
          <w:color w:val="111111"/>
          <w:sz w:val="20"/>
          <w:szCs w:val="20"/>
          <w:lang w:val="es-ES"/>
        </w:rPr>
        <w:t xml:space="preserve">La correlación </w:t>
      </w:r>
      <w:r>
        <w:rPr>
          <w:rFonts w:ascii="Arial" w:hAnsi="Arial" w:cs="Arial"/>
          <w:color w:val="111111"/>
          <w:sz w:val="20"/>
          <w:szCs w:val="20"/>
          <w:lang w:val="es-ES"/>
        </w:rPr>
        <w:t xml:space="preserve">entre el nivel educativo y </w:t>
      </w:r>
      <w:r>
        <w:rPr>
          <w:rFonts w:ascii="Arial" w:hAnsi="Arial" w:cs="Arial"/>
          <w:color w:val="111111"/>
          <w:sz w:val="20"/>
          <w:szCs w:val="20"/>
          <w:lang w:val="es-ES"/>
        </w:rPr>
        <w:t xml:space="preserve">el consumo no implica causalidad. </w:t>
      </w:r>
    </w:p>
    <w:p w14:paraId="41E7CC92" w14:textId="77777777" w:rsidR="00073FBD" w:rsidRPr="00C125EB" w:rsidRDefault="00073FBD" w:rsidP="00073FBD">
      <w:pPr>
        <w:pStyle w:val="NormalWeb"/>
        <w:shd w:val="clear" w:color="auto" w:fill="FFFFFF"/>
        <w:spacing w:before="0" w:beforeAutospacing="0" w:after="0" w:afterAutospacing="0"/>
        <w:ind w:left="720"/>
        <w:jc w:val="both"/>
        <w:rPr>
          <w:rFonts w:ascii="Arial" w:hAnsi="Arial" w:cs="Arial"/>
          <w:color w:val="111111"/>
          <w:sz w:val="20"/>
          <w:szCs w:val="20"/>
          <w:lang w:val="es-ES"/>
        </w:rPr>
      </w:pPr>
    </w:p>
    <w:p w14:paraId="313FE9E3" w14:textId="77777777" w:rsidR="00C62CCA" w:rsidRPr="00C62CCA" w:rsidRDefault="00C62CCA" w:rsidP="00A51694">
      <w:pPr>
        <w:pStyle w:val="NormalWeb"/>
        <w:shd w:val="clear" w:color="auto" w:fill="FFFFFF"/>
        <w:spacing w:before="180" w:beforeAutospacing="0" w:after="0" w:afterAutospacing="0"/>
        <w:jc w:val="both"/>
        <w:rPr>
          <w:rFonts w:ascii="Roboto" w:hAnsi="Roboto"/>
          <w:color w:val="111111"/>
          <w:lang w:val="es-ES"/>
        </w:rPr>
      </w:pPr>
    </w:p>
    <w:p w14:paraId="7BC5125F" w14:textId="29CC4ED3" w:rsidR="00E12E92" w:rsidRPr="00312AF9" w:rsidRDefault="00E12E92" w:rsidP="00A51694">
      <w:pPr>
        <w:jc w:val="both"/>
        <w:rPr>
          <w:rFonts w:ascii="Arial" w:hAnsi="Arial" w:cs="Arial"/>
          <w:sz w:val="20"/>
          <w:szCs w:val="20"/>
          <w:lang w:val="es-ES"/>
        </w:rPr>
      </w:pPr>
    </w:p>
    <w:sectPr w:rsidR="00E12E92" w:rsidRPr="00312AF9" w:rsidSect="002F1C2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2335"/>
    <w:multiLevelType w:val="hybridMultilevel"/>
    <w:tmpl w:val="E626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A381E"/>
    <w:multiLevelType w:val="multilevel"/>
    <w:tmpl w:val="3D70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16962"/>
    <w:multiLevelType w:val="hybridMultilevel"/>
    <w:tmpl w:val="6390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61BE2"/>
    <w:multiLevelType w:val="multilevel"/>
    <w:tmpl w:val="DB1C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A32F3"/>
    <w:multiLevelType w:val="hybridMultilevel"/>
    <w:tmpl w:val="A36E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D7E8B"/>
    <w:multiLevelType w:val="hybridMultilevel"/>
    <w:tmpl w:val="C6F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F7055"/>
    <w:multiLevelType w:val="multilevel"/>
    <w:tmpl w:val="9AD6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91845"/>
    <w:multiLevelType w:val="hybridMultilevel"/>
    <w:tmpl w:val="E1B4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1722F"/>
    <w:multiLevelType w:val="multilevel"/>
    <w:tmpl w:val="6C32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934F9"/>
    <w:multiLevelType w:val="hybridMultilevel"/>
    <w:tmpl w:val="CD48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879706">
    <w:abstractNumId w:val="7"/>
  </w:num>
  <w:num w:numId="2" w16cid:durableId="1682507066">
    <w:abstractNumId w:val="3"/>
  </w:num>
  <w:num w:numId="3" w16cid:durableId="646663674">
    <w:abstractNumId w:val="8"/>
  </w:num>
  <w:num w:numId="4" w16cid:durableId="1935822247">
    <w:abstractNumId w:val="1"/>
  </w:num>
  <w:num w:numId="5" w16cid:durableId="1564099707">
    <w:abstractNumId w:val="6"/>
  </w:num>
  <w:num w:numId="6" w16cid:durableId="40593542">
    <w:abstractNumId w:val="2"/>
  </w:num>
  <w:num w:numId="7" w16cid:durableId="889809751">
    <w:abstractNumId w:val="4"/>
  </w:num>
  <w:num w:numId="8" w16cid:durableId="624655157">
    <w:abstractNumId w:val="9"/>
  </w:num>
  <w:num w:numId="9" w16cid:durableId="32535421">
    <w:abstractNumId w:val="5"/>
  </w:num>
  <w:num w:numId="10" w16cid:durableId="158545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B2"/>
    <w:rsid w:val="00073FBD"/>
    <w:rsid w:val="000E7194"/>
    <w:rsid w:val="002F1C2E"/>
    <w:rsid w:val="00312AF9"/>
    <w:rsid w:val="003909F1"/>
    <w:rsid w:val="003B6F86"/>
    <w:rsid w:val="003E3306"/>
    <w:rsid w:val="00403913"/>
    <w:rsid w:val="004C1B7B"/>
    <w:rsid w:val="005350C1"/>
    <w:rsid w:val="00547F2C"/>
    <w:rsid w:val="00575BB2"/>
    <w:rsid w:val="005B6354"/>
    <w:rsid w:val="005D1CDC"/>
    <w:rsid w:val="007F6CEC"/>
    <w:rsid w:val="008C3BE2"/>
    <w:rsid w:val="00922FA8"/>
    <w:rsid w:val="009470A2"/>
    <w:rsid w:val="00A07AAA"/>
    <w:rsid w:val="00A51694"/>
    <w:rsid w:val="00AC3AAD"/>
    <w:rsid w:val="00B3566F"/>
    <w:rsid w:val="00B50F7A"/>
    <w:rsid w:val="00C06875"/>
    <w:rsid w:val="00C125EB"/>
    <w:rsid w:val="00C62CCA"/>
    <w:rsid w:val="00CA52F4"/>
    <w:rsid w:val="00CB6AC6"/>
    <w:rsid w:val="00CD7121"/>
    <w:rsid w:val="00D33245"/>
    <w:rsid w:val="00DA7389"/>
    <w:rsid w:val="00E12E92"/>
    <w:rsid w:val="00F6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5465"/>
  <w15:chartTrackingRefBased/>
  <w15:docId w15:val="{CFF51481-E809-4538-A62C-E2403FC4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BB2"/>
    <w:rPr>
      <w:rFonts w:eastAsiaTheme="majorEastAsia" w:cstheme="majorBidi"/>
      <w:color w:val="272727" w:themeColor="text1" w:themeTint="D8"/>
    </w:rPr>
  </w:style>
  <w:style w:type="paragraph" w:styleId="Title">
    <w:name w:val="Title"/>
    <w:basedOn w:val="Normal"/>
    <w:next w:val="Normal"/>
    <w:link w:val="TitleChar"/>
    <w:uiPriority w:val="10"/>
    <w:qFormat/>
    <w:rsid w:val="00575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BB2"/>
    <w:pPr>
      <w:spacing w:before="160"/>
      <w:jc w:val="center"/>
    </w:pPr>
    <w:rPr>
      <w:i/>
      <w:iCs/>
      <w:color w:val="404040" w:themeColor="text1" w:themeTint="BF"/>
    </w:rPr>
  </w:style>
  <w:style w:type="character" w:customStyle="1" w:styleId="QuoteChar">
    <w:name w:val="Quote Char"/>
    <w:basedOn w:val="DefaultParagraphFont"/>
    <w:link w:val="Quote"/>
    <w:uiPriority w:val="29"/>
    <w:rsid w:val="00575BB2"/>
    <w:rPr>
      <w:i/>
      <w:iCs/>
      <w:color w:val="404040" w:themeColor="text1" w:themeTint="BF"/>
    </w:rPr>
  </w:style>
  <w:style w:type="paragraph" w:styleId="ListParagraph">
    <w:name w:val="List Paragraph"/>
    <w:basedOn w:val="Normal"/>
    <w:uiPriority w:val="34"/>
    <w:qFormat/>
    <w:rsid w:val="00575BB2"/>
    <w:pPr>
      <w:ind w:left="720"/>
      <w:contextualSpacing/>
    </w:pPr>
  </w:style>
  <w:style w:type="character" w:styleId="IntenseEmphasis">
    <w:name w:val="Intense Emphasis"/>
    <w:basedOn w:val="DefaultParagraphFont"/>
    <w:uiPriority w:val="21"/>
    <w:qFormat/>
    <w:rsid w:val="00575BB2"/>
    <w:rPr>
      <w:i/>
      <w:iCs/>
      <w:color w:val="0F4761" w:themeColor="accent1" w:themeShade="BF"/>
    </w:rPr>
  </w:style>
  <w:style w:type="paragraph" w:styleId="IntenseQuote">
    <w:name w:val="Intense Quote"/>
    <w:basedOn w:val="Normal"/>
    <w:next w:val="Normal"/>
    <w:link w:val="IntenseQuoteChar"/>
    <w:uiPriority w:val="30"/>
    <w:qFormat/>
    <w:rsid w:val="00575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BB2"/>
    <w:rPr>
      <w:i/>
      <w:iCs/>
      <w:color w:val="0F4761" w:themeColor="accent1" w:themeShade="BF"/>
    </w:rPr>
  </w:style>
  <w:style w:type="character" w:styleId="IntenseReference">
    <w:name w:val="Intense Reference"/>
    <w:basedOn w:val="DefaultParagraphFont"/>
    <w:uiPriority w:val="32"/>
    <w:qFormat/>
    <w:rsid w:val="00575BB2"/>
    <w:rPr>
      <w:b/>
      <w:bCs/>
      <w:smallCaps/>
      <w:color w:val="0F4761" w:themeColor="accent1" w:themeShade="BF"/>
      <w:spacing w:val="5"/>
    </w:rPr>
  </w:style>
  <w:style w:type="paragraph" w:styleId="NormalWeb">
    <w:name w:val="Normal (Web)"/>
    <w:basedOn w:val="Normal"/>
    <w:uiPriority w:val="99"/>
    <w:semiHidden/>
    <w:unhideWhenUsed/>
    <w:rsid w:val="005350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2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3264">
      <w:bodyDiv w:val="1"/>
      <w:marLeft w:val="0"/>
      <w:marRight w:val="0"/>
      <w:marTop w:val="0"/>
      <w:marBottom w:val="0"/>
      <w:divBdr>
        <w:top w:val="none" w:sz="0" w:space="0" w:color="auto"/>
        <w:left w:val="none" w:sz="0" w:space="0" w:color="auto"/>
        <w:bottom w:val="none" w:sz="0" w:space="0" w:color="auto"/>
        <w:right w:val="none" w:sz="0" w:space="0" w:color="auto"/>
      </w:divBdr>
    </w:div>
    <w:div w:id="198516901">
      <w:bodyDiv w:val="1"/>
      <w:marLeft w:val="0"/>
      <w:marRight w:val="0"/>
      <w:marTop w:val="0"/>
      <w:marBottom w:val="0"/>
      <w:divBdr>
        <w:top w:val="none" w:sz="0" w:space="0" w:color="auto"/>
        <w:left w:val="none" w:sz="0" w:space="0" w:color="auto"/>
        <w:bottom w:val="none" w:sz="0" w:space="0" w:color="auto"/>
        <w:right w:val="none" w:sz="0" w:space="0" w:color="auto"/>
      </w:divBdr>
    </w:div>
    <w:div w:id="471021990">
      <w:bodyDiv w:val="1"/>
      <w:marLeft w:val="0"/>
      <w:marRight w:val="0"/>
      <w:marTop w:val="0"/>
      <w:marBottom w:val="0"/>
      <w:divBdr>
        <w:top w:val="none" w:sz="0" w:space="0" w:color="auto"/>
        <w:left w:val="none" w:sz="0" w:space="0" w:color="auto"/>
        <w:bottom w:val="none" w:sz="0" w:space="0" w:color="auto"/>
        <w:right w:val="none" w:sz="0" w:space="0" w:color="auto"/>
      </w:divBdr>
    </w:div>
    <w:div w:id="499203398">
      <w:bodyDiv w:val="1"/>
      <w:marLeft w:val="0"/>
      <w:marRight w:val="0"/>
      <w:marTop w:val="0"/>
      <w:marBottom w:val="0"/>
      <w:divBdr>
        <w:top w:val="none" w:sz="0" w:space="0" w:color="auto"/>
        <w:left w:val="none" w:sz="0" w:space="0" w:color="auto"/>
        <w:bottom w:val="none" w:sz="0" w:space="0" w:color="auto"/>
        <w:right w:val="none" w:sz="0" w:space="0" w:color="auto"/>
      </w:divBdr>
    </w:div>
    <w:div w:id="568463409">
      <w:bodyDiv w:val="1"/>
      <w:marLeft w:val="0"/>
      <w:marRight w:val="0"/>
      <w:marTop w:val="0"/>
      <w:marBottom w:val="0"/>
      <w:divBdr>
        <w:top w:val="none" w:sz="0" w:space="0" w:color="auto"/>
        <w:left w:val="none" w:sz="0" w:space="0" w:color="auto"/>
        <w:bottom w:val="none" w:sz="0" w:space="0" w:color="auto"/>
        <w:right w:val="none" w:sz="0" w:space="0" w:color="auto"/>
      </w:divBdr>
    </w:div>
    <w:div w:id="622031882">
      <w:bodyDiv w:val="1"/>
      <w:marLeft w:val="0"/>
      <w:marRight w:val="0"/>
      <w:marTop w:val="0"/>
      <w:marBottom w:val="0"/>
      <w:divBdr>
        <w:top w:val="none" w:sz="0" w:space="0" w:color="auto"/>
        <w:left w:val="none" w:sz="0" w:space="0" w:color="auto"/>
        <w:bottom w:val="none" w:sz="0" w:space="0" w:color="auto"/>
        <w:right w:val="none" w:sz="0" w:space="0" w:color="auto"/>
      </w:divBdr>
    </w:div>
    <w:div w:id="855769416">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308435630">
      <w:bodyDiv w:val="1"/>
      <w:marLeft w:val="0"/>
      <w:marRight w:val="0"/>
      <w:marTop w:val="0"/>
      <w:marBottom w:val="0"/>
      <w:divBdr>
        <w:top w:val="none" w:sz="0" w:space="0" w:color="auto"/>
        <w:left w:val="none" w:sz="0" w:space="0" w:color="auto"/>
        <w:bottom w:val="none" w:sz="0" w:space="0" w:color="auto"/>
        <w:right w:val="none" w:sz="0" w:space="0" w:color="auto"/>
      </w:divBdr>
    </w:div>
    <w:div w:id="1470825807">
      <w:bodyDiv w:val="1"/>
      <w:marLeft w:val="0"/>
      <w:marRight w:val="0"/>
      <w:marTop w:val="0"/>
      <w:marBottom w:val="0"/>
      <w:divBdr>
        <w:top w:val="none" w:sz="0" w:space="0" w:color="auto"/>
        <w:left w:val="none" w:sz="0" w:space="0" w:color="auto"/>
        <w:bottom w:val="none" w:sz="0" w:space="0" w:color="auto"/>
        <w:right w:val="none" w:sz="0" w:space="0" w:color="auto"/>
      </w:divBdr>
    </w:div>
    <w:div w:id="1568493183">
      <w:bodyDiv w:val="1"/>
      <w:marLeft w:val="0"/>
      <w:marRight w:val="0"/>
      <w:marTop w:val="0"/>
      <w:marBottom w:val="0"/>
      <w:divBdr>
        <w:top w:val="none" w:sz="0" w:space="0" w:color="auto"/>
        <w:left w:val="none" w:sz="0" w:space="0" w:color="auto"/>
        <w:bottom w:val="none" w:sz="0" w:space="0" w:color="auto"/>
        <w:right w:val="none" w:sz="0" w:space="0" w:color="auto"/>
      </w:divBdr>
    </w:div>
    <w:div w:id="1833641279">
      <w:bodyDiv w:val="1"/>
      <w:marLeft w:val="0"/>
      <w:marRight w:val="0"/>
      <w:marTop w:val="0"/>
      <w:marBottom w:val="0"/>
      <w:divBdr>
        <w:top w:val="none" w:sz="0" w:space="0" w:color="auto"/>
        <w:left w:val="none" w:sz="0" w:space="0" w:color="auto"/>
        <w:bottom w:val="none" w:sz="0" w:space="0" w:color="auto"/>
        <w:right w:val="none" w:sz="0" w:space="0" w:color="auto"/>
      </w:divBdr>
    </w:div>
    <w:div w:id="20464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Larrea Gomez</dc:creator>
  <cp:keywords/>
  <dc:description/>
  <cp:lastModifiedBy>Manuela Larrea Gomez</cp:lastModifiedBy>
  <cp:revision>2</cp:revision>
  <dcterms:created xsi:type="dcterms:W3CDTF">2024-02-14T13:15:00Z</dcterms:created>
  <dcterms:modified xsi:type="dcterms:W3CDTF">2024-02-14T13:15:00Z</dcterms:modified>
</cp:coreProperties>
</file>