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0B5CAD"/>
          <w:sz w:val="30"/>
          <w:szCs w:val="30"/>
        </w:rPr>
        <w:t xml:space="preserve">Informe técnico · AsesorIA  </w:t>
      </w:r>
      <w:r>
        <w:rPr>
          <w:rFonts w:ascii="Calibri" w:cs="Calibri" w:eastAsia="Calibri" w:hAnsi="Calibri"/>
          <w:i/>
          <w:iCs/>
          <w:color w:val="5B6675"/>
          <w:sz w:val="18"/>
          <w:szCs w:val="18"/>
        </w:rPr>
        <w:t xml:space="preserve">Integración de TDD y BDD en un pipeline CI/CD con SonarCloud y JaCoCo</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6"/>
        <w:gridCol w:w="1638"/>
        <w:gridCol w:w="3482"/>
        <w:gridCol w:w="3584"/>
      </w:tblGrid>
      <w:tr>
        <w:trPr>
          <w:tblHeader/>
        </w:trPr>
        <w:tc>
          <w:tcPr>
            <w:tcW w:type="dxa" w:w="153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Estudiante</w:t>
            </w:r>
          </w:p>
        </w:tc>
        <w:tc>
          <w:tcPr>
            <w:tcW w:type="dxa" w:w="1638"/>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Fecha</w:t>
            </w:r>
          </w:p>
        </w:tc>
        <w:tc>
          <w:tcPr>
            <w:tcW w:type="dxa" w:w="348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Proyecto / funcionalidad</w:t>
            </w:r>
          </w:p>
        </w:tc>
        <w:tc>
          <w:tcPr>
            <w:tcW w:type="dxa" w:w="3584"/>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Stack</w:t>
            </w:r>
          </w:p>
        </w:tc>
      </w:tr>
      <w:tr>
        <w:trPr>
          <w:cantSplit/>
        </w:trPr>
        <w:tc>
          <w:tcPr>
            <w:tcW w:type="dxa" w:w="153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Manuela Larrea</w:t>
            </w:r>
          </w:p>
        </w:tc>
        <w:tc>
          <w:tcPr>
            <w:tcW w:type="dxa" w:w="163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26 de septiembre de 2026</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AsesorIA · Guardrail de datos sensibles como servicio (RF-05, RF-06)</w:t>
            </w:r>
          </w:p>
        </w:tc>
        <w:tc>
          <w:tcPr>
            <w:tcW w:type="dxa" w:w="358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Java 17 · JUnit 5 · JaCoCo 0.8 · Cucumber 7 · Playwright 1.56 · Python 3.11 · FastAPI · pytest · GitHub Actions · SonarCloud</w:t>
            </w:r>
          </w:p>
        </w:tc>
      </w:tr>
    </w:tbl>
    <w:p>
      <w:pPr>
        <w:spacing w:after="60"/>
      </w:pPr>
    </w:p>
    <w:p>
      <w:pPr>
        <w:pStyle w:val="Heading1"/>
        <w:keepNext/>
        <w:spacing w:after="40" w:before="120"/>
      </w:pPr>
      <w:r>
        <w:rPr>
          <w:rFonts w:ascii="Calibri" w:cs="Calibri" w:eastAsia="Calibri" w:hAnsi="Calibri"/>
          <w:b/>
          <w:bCs/>
          <w:color w:val="0B5CAD"/>
          <w:sz w:val="22"/>
          <w:szCs w:val="22"/>
        </w:rPr>
        <w:t xml:space="preserve">1. Contexto y funcionalidad seleccionada</w:t>
      </w:r>
    </w:p>
    <w:p>
      <w:pPr>
        <w:spacing w:after="50" w:line="236"/>
        <w:jc w:val="both"/>
      </w:pPr>
      <w:r>
        <w:rPr>
          <w:rFonts w:ascii="Calibri" w:cs="Calibri" w:eastAsia="Calibri" w:hAnsi="Calibri"/>
          <w:sz w:val="20"/>
          <w:szCs w:val="20"/>
        </w:rPr>
        <w:t xml:space="preserve">AsesorIA es el asistente conversacional con IA para asesores financieros construido a lo largo del curso (Unidad 1: plan y suite JUnit 5 + Playwright; Unidad 2: escenarios BDD en Gherkin). Para esta unidad se seleccionó la funcionalidad de mayor riesgo regulatorio del producto: el guardrail de datos sensibles, que impide que números de tarjeta (PAN) o cuentas (IBAN) lleguen al motor de IA y garantiza que el historial solo conserve versiones enmascaradas (requisitos RF-05 y RF-06). En una entidad financiera este control es transversal a todos los canales que consumen modelos de lenguaje, por lo que la decisión de diseño fue extraerlo del monolito Python a un servicio independiente en Java (guardrail-service), desarrollado íntegramente con TDD, con cobertura medida por JaCoCo y calidad evaluada por SonarCloud, y verificado de extremo a extremo por los escenarios BDD ya existentes.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3"/>
        <w:gridCol w:w="3482"/>
        <w:gridCol w:w="4506"/>
      </w:tblGrid>
      <w:tr>
        <w:trPr>
          <w:tblHeader/>
        </w:trPr>
        <w:tc>
          <w:tcPr>
            <w:tcW w:type="dxa" w:w="2253"/>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Componente</w:t>
            </w:r>
          </w:p>
        </w:tc>
        <w:tc>
          <w:tcPr>
            <w:tcW w:type="dxa" w:w="348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Tecnología</w:t>
            </w:r>
          </w:p>
        </w:tc>
        <w:tc>
          <w:tcPr>
            <w:tcW w:type="dxa" w:w="450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Rol en el flujo de pruebas</w:t>
            </w:r>
          </w:p>
        </w:tc>
      </w:tr>
      <w:tr>
        <w:trPr>
          <w:cantSplit/>
        </w:trPr>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guardrail-service (nuevo)</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Java 17, JDK HttpServer, sin dependencias de runtime; Maven; JaCoCo</w:t>
            </w:r>
          </w:p>
        </w:tc>
        <w:tc>
          <w:tcPr>
            <w:tcW w:type="dxa" w:w="450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Unidad bajo TDD: Luhn, detector PAN/IBAN, política, JSON y contrato HTTP (30 pruebas JUnit 5).</w:t>
            </w:r>
          </w:p>
        </w:tc>
      </w:tr>
      <w:tr>
        <w:trPr>
          <w:cantSplit/>
        </w:trPr>
        <w:tc>
          <w:tcPr>
            <w:tcW w:type="dxa" w:w="225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SUT AsesorIA</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Python 3.11, FastAPI, scikit-learn</w:t>
            </w:r>
          </w:p>
        </w:tc>
        <w:tc>
          <w:tcPr>
            <w:tcW w:type="dxa" w:w="450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Consume el servicio vía GUARDRAIL_URL con degradación al control local; 31 pruebas pytest (unitarias + componente con TestClient).</w:t>
            </w:r>
          </w:p>
        </w:tc>
      </w:tr>
      <w:tr>
        <w:trPr>
          <w:cantSplit/>
        </w:trPr>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Especificación BDD</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Gherkin (es), Cucumber-JVM 7 + Playwright; verificación cruzada con Cucumber.js</w:t>
            </w:r>
          </w:p>
        </w:tc>
        <w:tc>
          <w:tcPr>
            <w:tcW w:type="dxa" w:w="450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HU-01 con 6 escenarios / 9 ejecuciones que validan el mismo flujo desde la interfaz.</w:t>
            </w:r>
          </w:p>
        </w:tc>
      </w:tr>
      <w:tr>
        <w:trPr>
          <w:cantSplit/>
        </w:trPr>
        <w:tc>
          <w:tcPr>
            <w:tcW w:type="dxa" w:w="225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Suite de regresión</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JUnit 5 + Playwright (Unidad 1)</w:t>
            </w:r>
          </w:p>
        </w:tc>
        <w:tc>
          <w:tcPr>
            <w:tcW w:type="dxa" w:w="450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32 pruebas API y UI que garantizan que la extracción no rompió comportamiento previo.</w:t>
            </w:r>
          </w:p>
        </w:tc>
      </w:tr>
      <w:tr>
        <w:trPr>
          <w:cantSplit/>
        </w:trPr>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Pipeline</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GitHub Actions, SonarCloud, JaCoCo, coverage.py</w:t>
            </w:r>
          </w:p>
        </w:tc>
        <w:tc>
          <w:tcPr>
            <w:tcW w:type="dxa" w:w="450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Cinco jobs: TDD Java, TDD Python, análisis Sonar con quality gate, BDD/E2E con servicios reales, resumen.</w:t>
            </w:r>
          </w:p>
        </w:tc>
      </w:tr>
    </w:tbl>
    <w:p>
      <w:pPr>
        <w:pStyle w:val="Heading1"/>
        <w:keepNext/>
        <w:spacing w:after="40" w:before="120"/>
      </w:pPr>
      <w:r>
        <w:rPr>
          <w:rFonts w:ascii="Calibri" w:cs="Calibri" w:eastAsia="Calibri" w:hAnsi="Calibri"/>
          <w:b/>
          <w:bCs/>
          <w:color w:val="0B5CAD"/>
          <w:sz w:val="22"/>
          <w:szCs w:val="22"/>
        </w:rPr>
        <w:t xml:space="preserve">2. Desarrollo guiado por pruebas (TDD)</w:t>
      </w:r>
    </w:p>
    <w:p>
      <w:pPr>
        <w:spacing w:after="50" w:line="236"/>
        <w:jc w:val="both"/>
      </w:pPr>
      <w:r>
        <w:rPr>
          <w:rFonts w:ascii="Calibri" w:cs="Calibri" w:eastAsia="Calibri" w:hAnsi="Calibri"/>
          <w:sz w:val="20"/>
          <w:szCs w:val="20"/>
        </w:rPr>
        <w:t xml:space="preserve">El servicio se construyó en cuatro ciclos rojo-verde-refactor, cada uno registrado en Git como un par de commits (test → feat) para que la historia del repositorio sea la evidencia del proceso: la prueba siempre precede al código. En la fase roja las clases existen como stubs que lanzan UnsupportedOperationException, de modo que la suite compila y falla por el motivo correcto.</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4"/>
        <w:gridCol w:w="3686"/>
        <w:gridCol w:w="3072"/>
        <w:gridCol w:w="2867"/>
      </w:tblGrid>
      <w:tr>
        <w:trPr>
          <w:tblHeader/>
        </w:trPr>
        <w:tc>
          <w:tcPr>
            <w:tcW w:type="dxa" w:w="614"/>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Ciclo</w:t>
            </w:r>
          </w:p>
        </w:tc>
        <w:tc>
          <w:tcPr>
            <w:tcW w:type="dxa" w:w="368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Prueba escrita primero (RED)</w:t>
            </w:r>
          </w:p>
        </w:tc>
        <w:tc>
          <w:tcPr>
            <w:tcW w:type="dxa" w:w="307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Implementación mínima (GREEN)</w:t>
            </w:r>
          </w:p>
        </w:tc>
        <w:tc>
          <w:tcPr>
            <w:tcW w:type="dxa" w:w="2867"/>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Refactor / decisión</w:t>
            </w:r>
          </w:p>
        </w:tc>
      </w:tr>
      <w:tr>
        <w:trPr>
          <w:cantSplit/>
        </w:trPr>
        <w:tc>
          <w:tcPr>
            <w:tcW w:type="dxa" w:w="61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w:t>
            </w:r>
          </w:p>
        </w:tc>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LuhnTest: 4 PAN válidos, 3 inválidos, entradas vacías/no numéricas (8 pruebas)</w:t>
            </w:r>
          </w:p>
        </w:tc>
        <w:tc>
          <w:tcPr>
            <w:tcW w:type="dxa" w:w="307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Luhn.isValid con recorrido inverso y duplicación alterna</w:t>
            </w:r>
          </w:p>
        </w:tc>
        <w:tc>
          <w:tcPr>
            <w:tcW w:type="dxa" w:w="286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Se mantiene sin estado (clase final, utilitaria).</w:t>
            </w:r>
          </w:p>
        </w:tc>
      </w:tr>
      <w:tr>
        <w:trPr>
          <w:cantSplit/>
        </w:trPr>
        <w:tc>
          <w:tcPr>
            <w:tcW w:type="dxa" w:w="61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2</w:t>
            </w:r>
          </w:p>
        </w:tc>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SensitiveDataDetectorTest: PAN con espacios/guiones, IBAN CR, múltiples hallazgos, texto limpio, falso positivo sin Luhn (6)</w:t>
            </w:r>
          </w:p>
        </w:tc>
        <w:tc>
          <w:tcPr>
            <w:tcW w:type="dxa" w:w="307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Expresiones regulares + confirmación Luhn; Finding como record</w:t>
            </w:r>
          </w:p>
        </w:tc>
        <w:tc>
          <w:tcPr>
            <w:tcW w:type="dxa" w:w="286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Enmascaramiento delegado al detector para reutilizarlo desde la política.</w:t>
            </w:r>
          </w:p>
        </w:tc>
      </w:tr>
      <w:tr>
        <w:trPr>
          <w:cantSplit/>
        </w:trPr>
        <w:tc>
          <w:tcPr>
            <w:tcW w:type="dxa" w:w="61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3</w:t>
            </w:r>
          </w:p>
        </w:tc>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GuardrailPolicyTest: permitido, bloqueado, vacío, nulo, valores límite 500/501 (6)</w:t>
            </w:r>
          </w:p>
        </w:tc>
        <w:tc>
          <w:tcPr>
            <w:tcW w:type="dxa" w:w="307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GuardrailPolicy.evaluate → Decision(ALLOWED/BLOCKED/INVALID)</w:t>
            </w:r>
          </w:p>
        </w:tc>
        <w:tc>
          <w:tcPr>
            <w:tcW w:type="dxa" w:w="2867"/>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Mensajes de negocio idénticos a los del SUT Python para no cambiar el contrato observable.</w:t>
            </w:r>
          </w:p>
        </w:tc>
      </w:tr>
      <w:tr>
        <w:trPr>
          <w:cantSplit/>
        </w:trPr>
        <w:tc>
          <w:tcPr>
            <w:tcW w:type="dxa" w:w="61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4</w:t>
            </w:r>
          </w:p>
        </w:tc>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JsonTest + GuardrailServerTest: contrato HTTP (200/400/405, /health) y (de)serialización (10)</w:t>
            </w:r>
          </w:p>
        </w:tc>
        <w:tc>
          <w:tcPr>
            <w:tcW w:type="dxa" w:w="307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JSON mínimo propio y servidor JDK sin dependencias</w:t>
            </w:r>
          </w:p>
        </w:tc>
        <w:tc>
          <w:tcPr>
            <w:tcW w:type="dxa" w:w="2867"/>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El reporte JaCoCo mostró ramas de unescape sin cubrir → 2 pruebas adicionales (93,5 % líneas).</w:t>
            </w:r>
          </w:p>
        </w:tc>
      </w:tr>
    </w:tbl>
    <w:p>
      <w:pPr>
        <w:keepNext/>
        <w:spacing w:after="20" w:before="60"/>
        <w:jc w:val="center"/>
      </w:pPr>
      <w:r>
        <w:drawing>
          <wp:inline distT="0" distB="0" distL="0" distR="0">
            <wp:extent cx="5905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72402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1. Historial Git: cada ciclo TDD como par de commits test (RED) → feat (GREEN), más el refactor guiado por JaCoCo.</w:t>
      </w:r>
    </w:p>
    <w:p>
      <w:pPr>
        <w:keepNext/>
        <w:spacing w:after="20" w:before="6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2. Ciclo 1 en fase roja: las 8 pruebas de LuhnTest fallan contra el stub por el motivo esperado.</w:t>
      </w:r>
    </w:p>
    <w:p>
      <w:pPr>
        <w:keepNext/>
        <w:spacing w:after="20" w:before="60"/>
        <w:jc w:val="center"/>
      </w:pPr>
      <w:r>
        <w:drawing>
          <wp:inline distT="0" distB="0" distL="0" distR="0">
            <wp:extent cx="5334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80060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3. Suite completa en verde (30 pruebas) ejecutada con el agente JaCoCo y regla de cobertura mínima (BUILD SUCCESSFUL).</w:t>
      </w:r>
    </w:p>
    <w:p>
      <w:pPr>
        <w:pStyle w:val="Heading1"/>
        <w:keepNext/>
        <w:spacing w:after="40" w:before="120"/>
      </w:pPr>
      <w:r>
        <w:rPr>
          <w:rFonts w:ascii="Calibri" w:cs="Calibri" w:eastAsia="Calibri" w:hAnsi="Calibri"/>
          <w:b/>
          <w:bCs/>
          <w:color w:val="0B5CAD"/>
          <w:sz w:val="22"/>
          <w:szCs w:val="22"/>
        </w:rPr>
        <w:t xml:space="preserve">3. Especificación y automatización del comportamiento (BDD)</w:t>
      </w:r>
    </w:p>
    <w:p>
      <w:pPr>
        <w:spacing w:after="50" w:line="236"/>
        <w:jc w:val="both"/>
      </w:pPr>
      <w:r>
        <w:rPr>
          <w:rFonts w:ascii="Calibri" w:cs="Calibri" w:eastAsia="Calibri" w:hAnsi="Calibri"/>
          <w:sz w:val="20"/>
          <w:szCs w:val="20"/>
        </w:rPr>
        <w:t xml:space="preserve">La especificación de la Unidad 2 (HU-01, criterios CA-01 a CA-03) se amplió con un esquema de escenario que recorre los tipos de dato sensible soportados por el nuevo servicio (PAN con guiones e IBAN nacional). Los escenarios no cambiaron de vocabulario: siguen hablando de lo que hace el asesor y lo que responde el asistente, no de servicios ni puertos; por eso el mismo .feature valida hoy una arquitectura distinta a la de hace dos semanas. El glue Java (Cucumber-JVM) reutiliza los Page Objects; como verificación cruzada de que la especificación es independiente de la implementación, el mismo archivo se ejecutó también con un glue JavaScript (Cucumber.js + Playwright) contra el servicio y el SUT reales.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3"/>
        <w:gridCol w:w="3072"/>
        <w:gridCol w:w="3686"/>
        <w:gridCol w:w="1229"/>
      </w:tblGrid>
      <w:tr>
        <w:trPr>
          <w:tblHeader/>
        </w:trPr>
        <w:tc>
          <w:tcPr>
            <w:tcW w:type="dxa" w:w="2253"/>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Criterio</w:t>
            </w:r>
          </w:p>
        </w:tc>
        <w:tc>
          <w:tcPr>
            <w:tcW w:type="dxa" w:w="307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Escenario Gherkin</w:t>
            </w:r>
          </w:p>
        </w:tc>
        <w:tc>
          <w:tcPr>
            <w:tcW w:type="dxa" w:w="368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Pruebas TDD que cubren la misma regla</w:t>
            </w:r>
          </w:p>
        </w:tc>
        <w:tc>
          <w:tcPr>
            <w:tcW w:type="dxa" w:w="1229"/>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Resultado</w:t>
            </w:r>
          </w:p>
        </w:tc>
      </w:tr>
      <w:tr>
        <w:trPr>
          <w:cantSplit/>
        </w:trPr>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CA-01 respuesta oficial con intención</w:t>
            </w:r>
          </w:p>
        </w:tc>
        <w:tc>
          <w:tcPr>
            <w:tcW w:type="dxa" w:w="307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«Una consulta del dominio…» + esquema de 4 paráfrasis</w:t>
            </w:r>
          </w:p>
        </w:tc>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pytest test_nlu (clasificación, 6 casos)</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5/5 ✓</w:t>
            </w:r>
          </w:p>
        </w:tc>
      </w:tr>
      <w:tr>
        <w:trPr>
          <w:cantSplit/>
        </w:trPr>
        <w:tc>
          <w:tcPr>
            <w:tcW w:type="dxa" w:w="225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CA-02 fallback fuera de dominio</w:t>
            </w:r>
          </w:p>
        </w:tc>
        <w:tc>
          <w:tcPr>
            <w:tcW w:type="dxa" w:w="307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«…recibe una respuesta de derivación, no una inventada»</w:t>
            </w:r>
          </w:p>
        </w:tc>
        <w:tc>
          <w:tcPr>
            <w:tcW w:type="dxa" w:w="368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pytest test_nlu (fallback, 4 casos)</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1/1 ✓</w:t>
            </w:r>
          </w:p>
        </w:tc>
      </w:tr>
      <w:tr>
        <w:trPr>
          <w:cantSplit/>
        </w:trPr>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CA-03 datos sensibles bloqueados y enmascarados</w:t>
            </w:r>
          </w:p>
        </w:tc>
        <w:tc>
          <w:tcPr>
            <w:tcW w:type="dxa" w:w="307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«…con número de tarjeta se bloquea…» + esquema PAN/IBAN (2 ejemplos)</w:t>
            </w:r>
          </w:p>
        </w:tc>
        <w:tc>
          <w:tcPr>
            <w:tcW w:type="dxa" w:w="368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JUnit LuhnTest, SensitiveDataDetectorTest, GuardrailPolicyTest, GuardrailServerTest (30) · pytest test_guardrail_integration (6)</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3/3 ✓</w:t>
            </w:r>
          </w:p>
        </w:tc>
      </w:tr>
    </w:tbl>
    <w:p>
      <w:pPr>
        <w:keepNext/>
        <w:spacing w:after="20" w:before="60"/>
        <w:jc w:val="center"/>
      </w:pPr>
      <w:r>
        <w:drawing>
          <wp:inline distT="0" distB="0" distL="0" distR="0">
            <wp:extent cx="533400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24840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4. Reporte Cucumber del feature consulta_asistente.feature (Gherkin en español): 9 escenarios, 50 pasos, 100 % en verde, con captura adjunta por escenario.</w:t>
      </w:r>
    </w:p>
    <w:p>
      <w:pPr>
        <w:keepNext/>
        <w:spacing w:after="20" w:before="60"/>
        <w:jc w:val="center"/>
      </w:pPr>
      <w:r>
        <w:drawing>
          <wp:inline distT="0" distB="0" distL="0" distR="0">
            <wp:extent cx="5905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95250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5. Ejecución en consola de los escenarios BDD contra el servicio Java y el SUT reales (4,2 s).</w:t>
      </w:r>
    </w:p>
    <w:p>
      <w:pPr>
        <w:pStyle w:val="Heading1"/>
        <w:keepNext/>
        <w:spacing w:after="40" w:before="120"/>
      </w:pPr>
      <w:r>
        <w:rPr>
          <w:rFonts w:ascii="Calibri" w:cs="Calibri" w:eastAsia="Calibri" w:hAnsi="Calibri"/>
          <w:b/>
          <w:bCs/>
          <w:color w:val="0B5CAD"/>
          <w:sz w:val="22"/>
          <w:szCs w:val="22"/>
        </w:rPr>
        <w:t xml:space="preserve">4. Trazabilidad entre requisitos, código y comportamiento</w:t>
      </w:r>
    </w:p>
    <w:p>
      <w:pPr>
        <w:spacing w:after="40" w:line="236"/>
        <w:jc w:val="both"/>
      </w:pPr>
      <w:r>
        <w:rPr>
          <w:rFonts w:ascii="Calibri" w:cs="Calibri" w:eastAsia="Calibri" w:hAnsi="Calibri"/>
          <w:sz w:val="20"/>
          <w:szCs w:val="20"/>
        </w:rPr>
        <w:t xml:space="preserve">La matriz enlaza cada requisito con la clase que lo implementa, la prueba unitaria que lo fijó primero, el escenario Gherkin que lo valida desde la interfaz y el commit que lo introdujo. Los identificadores viajan en el código (@DisplayName, etiquetas @CA-xx, mensajes de commit), de modo que cualquier reporte del pipeline puede rastrearse hasta el requisito.</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8"/>
        <w:gridCol w:w="2458"/>
        <w:gridCol w:w="2458"/>
        <w:gridCol w:w="2048"/>
        <w:gridCol w:w="1229"/>
      </w:tblGrid>
      <w:tr>
        <w:trPr>
          <w:tblHeader/>
        </w:trPr>
        <w:tc>
          <w:tcPr>
            <w:tcW w:type="dxa" w:w="2048"/>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Requisito</w:t>
            </w:r>
          </w:p>
        </w:tc>
        <w:tc>
          <w:tcPr>
            <w:tcW w:type="dxa" w:w="2458"/>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Código (guardrail-service / SUT)</w:t>
            </w:r>
          </w:p>
        </w:tc>
        <w:tc>
          <w:tcPr>
            <w:tcW w:type="dxa" w:w="2458"/>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Prueba unitaria (TDD)</w:t>
            </w:r>
          </w:p>
        </w:tc>
        <w:tc>
          <w:tcPr>
            <w:tcW w:type="dxa" w:w="2048"/>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Escenario BDD</w:t>
            </w:r>
          </w:p>
        </w:tc>
        <w:tc>
          <w:tcPr>
            <w:tcW w:type="dxa" w:w="1229"/>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Commit</w:t>
            </w:r>
          </w:p>
        </w:tc>
      </w:tr>
      <w:tr>
        <w:trPr>
          <w:cantSplit/>
        </w:trPr>
        <w:tc>
          <w:tcPr>
            <w:tcW w:type="dxa" w:w="204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RF-05 bloqueo y enmascarado de PAN</w:t>
            </w:r>
          </w:p>
        </w:tc>
        <w:tc>
          <w:tcPr>
            <w:tcW w:type="dxa" w:w="245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Luhn, SensitiveDataDetector.detect/mask, GuardrailPolicy</w:t>
            </w:r>
          </w:p>
        </w:tc>
        <w:tc>
          <w:tcPr>
            <w:tcW w:type="dxa" w:w="245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LuhnTest, SensitiveDataDetectorTest, GuardrailPolicyTest</w:t>
            </w:r>
          </w:p>
        </w:tc>
        <w:tc>
          <w:tcPr>
            <w:tcW w:type="dxa" w:w="204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@CA-03 escenario + esquema (fila PAN)</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6f6b9a6 … ba4d51c</w:t>
            </w:r>
          </w:p>
        </w:tc>
      </w:tr>
      <w:tr>
        <w:trPr>
          <w:cantSplit/>
        </w:trPr>
        <w:tc>
          <w:tcPr>
            <w:tcW w:type="dxa" w:w="204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RF-05 bloqueo y enmascarado de IBAN</w:t>
            </w:r>
          </w:p>
        </w:tc>
        <w:tc>
          <w:tcPr>
            <w:tcW w:type="dxa" w:w="245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SensitiveDataDetector (patrón IBAN CR)</w:t>
            </w:r>
          </w:p>
        </w:tc>
        <w:tc>
          <w:tcPr>
            <w:tcW w:type="dxa" w:w="245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detectaIbanNacional, detectaVariosHallazgos</w:t>
            </w:r>
          </w:p>
        </w:tc>
        <w:tc>
          <w:tcPr>
            <w:tcW w:type="dxa" w:w="204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@CA-03 esquema (fila IBAN)</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d6ede6c, f6bcf7b</w:t>
            </w:r>
          </w:p>
        </w:tc>
      </w:tr>
      <w:tr>
        <w:trPr>
          <w:cantSplit/>
        </w:trPr>
        <w:tc>
          <w:tcPr>
            <w:tcW w:type="dxa" w:w="204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RF-06 validación de entrada (vacío, ≤ 500)</w:t>
            </w:r>
          </w:p>
        </w:tc>
        <w:tc>
          <w:tcPr>
            <w:tcW w:type="dxa" w:w="245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GuardrailPolicy.evaluate; guardrails.evaluate (Python)</w:t>
            </w:r>
          </w:p>
        </w:tc>
        <w:tc>
          <w:tcPr>
            <w:tcW w:type="dxa" w:w="245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limiteDeLongitud, mensajeVacioEsInvalido; test_evaluacion_local_valida_longitud</w:t>
            </w:r>
          </w:p>
        </w:tc>
        <w:tc>
          <w:tcPr>
            <w:tcW w:type="dxa" w:w="204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CP-API-03/04 (suite Unidad 1)</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83daf3f, ba4d51c</w:t>
            </w:r>
          </w:p>
        </w:tc>
      </w:tr>
      <w:tr>
        <w:trPr>
          <w:cantSplit/>
        </w:trPr>
        <w:tc>
          <w:tcPr>
            <w:tcW w:type="dxa" w:w="204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RNF-02 PII nunca en claro</w:t>
            </w:r>
          </w:p>
        </w:tc>
        <w:tc>
          <w:tcPr>
            <w:tcW w:type="dxa" w:w="245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Decision.maskedMessage; main.py almacena solo el texto enmascarado</w:t>
            </w:r>
          </w:p>
        </w:tc>
        <w:tc>
          <w:tcPr>
            <w:tcW w:type="dxa" w:w="245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evaluaMensajeConPan (HTTP); test_chat_flujo_completo</w:t>
            </w:r>
          </w:p>
        </w:tc>
        <w:tc>
          <w:tcPr>
            <w:tcW w:type="dxa" w:w="204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@CA-03 «el historial muestra… enmascarado»</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fcd76ed, 707276a</w:t>
            </w:r>
          </w:p>
        </w:tc>
      </w:tr>
      <w:tr>
        <w:trPr>
          <w:cantSplit/>
        </w:trPr>
        <w:tc>
          <w:tcPr>
            <w:tcW w:type="dxa" w:w="204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RNF-04 resiliencia del control</w:t>
            </w:r>
          </w:p>
        </w:tc>
        <w:tc>
          <w:tcPr>
            <w:tcW w:type="dxa" w:w="245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guardrails.evaluate: degradación a local si el servicio falla</w:t>
            </w:r>
          </w:p>
        </w:tc>
        <w:tc>
          <w:tcPr>
            <w:tcW w:type="dxa" w:w="245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test_si_el_servicio_falla_degrada_a_local</w:t>
            </w:r>
          </w:p>
        </w:tc>
        <w:tc>
          <w:tcPr>
            <w:tcW w:type="dxa" w:w="204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 (cubierto en unidad; candidato a escenario de caos)</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707276a</w:t>
            </w:r>
          </w:p>
        </w:tc>
      </w:tr>
    </w:tbl>
    <w:p>
      <w:pPr>
        <w:keepNext/>
        <w:spacing w:after="20" w:before="60"/>
        <w:jc w:val="center"/>
      </w:pPr>
      <w:r>
        <w:drawing>
          <wp:inline distT="0" distB="0" distL="0" distR="0">
            <wp:extent cx="5905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53352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6. Integración real: el SUT informa guardrail=service, la consulta con PAN vuelve bloqueada y enmascarada, y la suite de regresión de la Unidad 1 sigue en verde (32/32).</w:t>
      </w:r>
    </w:p>
    <w:p>
      <w:pPr>
        <w:pStyle w:val="Heading1"/>
        <w:keepNext/>
        <w:spacing w:after="40" w:before="120"/>
      </w:pPr>
      <w:r>
        <w:rPr>
          <w:rFonts w:ascii="Calibri" w:cs="Calibri" w:eastAsia="Calibri" w:hAnsi="Calibri"/>
          <w:b/>
          <w:bCs/>
          <w:color w:val="0B5CAD"/>
          <w:sz w:val="22"/>
          <w:szCs w:val="22"/>
        </w:rPr>
        <w:t xml:space="preserve">5. Pipeline CI/CD</w:t>
      </w:r>
    </w:p>
    <w:p>
      <w:pPr>
        <w:spacing w:after="50" w:line="236"/>
        <w:jc w:val="both"/>
      </w:pPr>
      <w:r>
        <w:rPr>
          <w:rFonts w:ascii="Calibri" w:cs="Calibri" w:eastAsia="Calibri" w:hAnsi="Calibri"/>
          <w:sz w:val="20"/>
          <w:szCs w:val="20"/>
        </w:rPr>
        <w:t xml:space="preserve">El flujo se implementó en GitHub Actions (.github/workflows/ci.yml) con cinco jobs y dependencias explícitas: los dos jobs de TDD corren en paralelo y publican sus reportes como artefactos; el análisis de SonarCloud los consume y espera el resultado del quality gate (el pipeline falla si no se cumple); el job BDD levanta el jar del servicio y el SUT reales, instala Chromium y ejecuta Cucumber-JVM junto con la suite de regresión; un último job escribe el resumen. La configuración de Sonar vive en sonar-project.properties (monorepo Java + Python con rutas a jacoco.xml y coverage.xml).</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4"/>
        <w:gridCol w:w="4506"/>
        <w:gridCol w:w="4301"/>
      </w:tblGrid>
      <w:tr>
        <w:trPr>
          <w:tblHeader/>
        </w:trPr>
        <w:tc>
          <w:tcPr>
            <w:tcW w:type="dxa" w:w="1434"/>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Job</w:t>
            </w:r>
          </w:p>
        </w:tc>
        <w:tc>
          <w:tcPr>
            <w:tcW w:type="dxa" w:w="450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Herramientas</w:t>
            </w:r>
          </w:p>
        </w:tc>
        <w:tc>
          <w:tcPr>
            <w:tcW w:type="dxa" w:w="4301"/>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Salida / gate</w:t>
            </w:r>
          </w:p>
        </w:tc>
      </w:tr>
      <w:tr>
        <w:trPr>
          <w:cantSplit/>
        </w:trPr>
        <w:tc>
          <w:tcPr>
            <w:tcW w:type="dxa" w:w="14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tdd-java</w:t>
            </w:r>
          </w:p>
        </w:tc>
        <w:tc>
          <w:tcPr>
            <w:tcW w:type="dxa" w:w="450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setup-java 17 · mvn verify · jacoco:report + jacoco:check</w:t>
            </w:r>
          </w:p>
        </w:tc>
        <w:tc>
          <w:tcPr>
            <w:tcW w:type="dxa" w:w="430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Falla si líneas &lt; 85 % o ramas &lt; 75 %; artefactos: reporte JaCoCo, surefire, jar del servicio.</w:t>
            </w:r>
          </w:p>
        </w:tc>
      </w:tr>
      <w:tr>
        <w:trPr>
          <w:cantSplit/>
        </w:trPr>
        <w:tc>
          <w:tcPr>
            <w:tcW w:type="dxa" w:w="14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tdd-python</w:t>
            </w:r>
          </w:p>
        </w:tc>
        <w:tc>
          <w:tcPr>
            <w:tcW w:type="dxa" w:w="450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setup-python 3.11 · pytest --cov --cov-fail-under=85</w:t>
            </w:r>
          </w:p>
        </w:tc>
        <w:tc>
          <w:tcPr>
            <w:tcW w:type="dxa" w:w="430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Falla si cobertura &lt; 85 %; artefactos: coverage.xml, pytest-report.xml.</w:t>
            </w:r>
          </w:p>
        </w:tc>
      </w:tr>
      <w:tr>
        <w:trPr>
          <w:cantSplit/>
        </w:trPr>
        <w:tc>
          <w:tcPr>
            <w:tcW w:type="dxa" w:w="14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sonar</w:t>
            </w:r>
          </w:p>
        </w:tc>
        <w:tc>
          <w:tcPr>
            <w:tcW w:type="dxa" w:w="450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sonarqube-scan-action + sonarqube-quality-gate-action</w:t>
            </w:r>
          </w:p>
        </w:tc>
        <w:tc>
          <w:tcPr>
            <w:tcW w:type="dxa" w:w="430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Quality gate «Sonar way» sobre código nuevo; requiere SONAR_TOKEN.</w:t>
            </w:r>
          </w:p>
        </w:tc>
      </w:tr>
      <w:tr>
        <w:trPr>
          <w:cantSplit/>
        </w:trPr>
        <w:tc>
          <w:tcPr>
            <w:tcW w:type="dxa" w:w="14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bdd-e2e</w:t>
            </w:r>
          </w:p>
        </w:tc>
        <w:tc>
          <w:tcPr>
            <w:tcW w:type="dxa" w:w="450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java -jar guardrail-service · uvicorn con GUARDRAIL_URL · Playwright install · mvn test</w:t>
            </w:r>
          </w:p>
        </w:tc>
        <w:tc>
          <w:tcPr>
            <w:tcW w:type="dxa" w:w="4301"/>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Cucumber (html/json), Surefire XML publicado como check, capturas y videos como artefactos.</w:t>
            </w:r>
          </w:p>
        </w:tc>
      </w:tr>
      <w:tr>
        <w:trPr>
          <w:cantSplit/>
        </w:trPr>
        <w:tc>
          <w:tcPr>
            <w:tcW w:type="dxa" w:w="14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resumen</w:t>
            </w:r>
          </w:p>
        </w:tc>
        <w:tc>
          <w:tcPr>
            <w:tcW w:type="dxa" w:w="450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GITHUB_STEP_SUMMARY</w:t>
            </w:r>
          </w:p>
        </w:tc>
        <w:tc>
          <w:tcPr>
            <w:tcW w:type="dxa" w:w="4301"/>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Tabla con el resultado de cada job.</w:t>
            </w:r>
          </w:p>
        </w:tc>
      </w:tr>
    </w:tbl>
    <w:p>
      <w:pPr>
        <w:spacing w:after="40"/>
      </w:pPr>
    </w:p>
    <w:p>
      <w:pPr>
        <w:shd w:fill="F3F5F9" w:color="auto" w:val="clear"/>
        <w:spacing w:after="0" w:line="220"/>
        <w:ind w:left="120"/>
      </w:pPr>
      <w:r>
        <w:rPr>
          <w:rFonts w:ascii="Consolas" w:cs="Consolas" w:eastAsia="Consolas" w:hAnsi="Consolas"/>
          <w:sz w:val="14"/>
          <w:szCs w:val="14"/>
        </w:rPr>
        <w:t xml:space="preserve">sonar:</w:t>
      </w:r>
    </w:p>
    <w:p>
      <w:pPr>
        <w:shd w:fill="F3F5F9" w:color="auto" w:val="clear"/>
        <w:spacing w:after="0" w:line="220"/>
        <w:ind w:left="120"/>
      </w:pPr>
      <w:r>
        <w:rPr>
          <w:rFonts w:ascii="Consolas" w:cs="Consolas" w:eastAsia="Consolas" w:hAnsi="Consolas"/>
          <w:sz w:val="14"/>
          <w:szCs w:val="14"/>
        </w:rPr>
        <w:t xml:space="preserve">  needs: [tdd-java, tdd-python]</w:t>
      </w:r>
    </w:p>
    <w:p>
      <w:pPr>
        <w:shd w:fill="F3F5F9" w:color="auto" w:val="clear"/>
        <w:spacing w:after="0" w:line="220"/>
        <w:ind w:left="120"/>
      </w:pPr>
      <w:r>
        <w:rPr>
          <w:rFonts w:ascii="Consolas" w:cs="Consolas" w:eastAsia="Consolas" w:hAnsi="Consolas"/>
          <w:sz w:val="14"/>
          <w:szCs w:val="14"/>
        </w:rPr>
        <w:t xml:space="preserve">  steps:</w:t>
      </w:r>
    </w:p>
    <w:p>
      <w:pPr>
        <w:shd w:fill="F3F5F9" w:color="auto" w:val="clear"/>
        <w:spacing w:after="0" w:line="220"/>
        <w:ind w:left="120"/>
      </w:pPr>
      <w:r>
        <w:rPr>
          <w:rFonts w:ascii="Consolas" w:cs="Consolas" w:eastAsia="Consolas" w:hAnsi="Consolas"/>
          <w:sz w:val="14"/>
          <w:szCs w:val="14"/>
        </w:rPr>
        <w:t xml:space="preserve">    - uses: actions/download-artifact@v4   # jacoco.xml + coverage.xml de los jobs TDD</w:t>
      </w:r>
    </w:p>
    <w:p>
      <w:pPr>
        <w:shd w:fill="F3F5F9" w:color="auto" w:val="clear"/>
        <w:spacing w:after="0" w:line="220"/>
        <w:ind w:left="120"/>
      </w:pPr>
      <w:r>
        <w:rPr>
          <w:rFonts w:ascii="Consolas" w:cs="Consolas" w:eastAsia="Consolas" w:hAnsi="Consolas"/>
          <w:sz w:val="14"/>
          <w:szCs w:val="14"/>
        </w:rPr>
        <w:t xml:space="preserve">    - uses: SonarSource/sonarqube-scan-action@v5</w:t>
      </w:r>
    </w:p>
    <w:p>
      <w:pPr>
        <w:shd w:fill="F3F5F9" w:color="auto" w:val="clear"/>
        <w:spacing w:after="0" w:line="220"/>
        <w:ind w:left="120"/>
      </w:pPr>
      <w:r>
        <w:rPr>
          <w:rFonts w:ascii="Consolas" w:cs="Consolas" w:eastAsia="Consolas" w:hAnsi="Consolas"/>
          <w:sz w:val="14"/>
          <w:szCs w:val="14"/>
        </w:rPr>
        <w:t xml:space="preserve">      env: { SONAR_TOKEN: ${{ secrets.SONAR_TOKEN }} }</w:t>
      </w:r>
    </w:p>
    <w:p>
      <w:pPr>
        <w:shd w:fill="F3F5F9" w:color="auto" w:val="clear"/>
        <w:spacing w:after="0" w:line="220"/>
        <w:ind w:left="120"/>
      </w:pPr>
      <w:r>
        <w:rPr>
          <w:rFonts w:ascii="Consolas" w:cs="Consolas" w:eastAsia="Consolas" w:hAnsi="Consolas"/>
          <w:sz w:val="14"/>
          <w:szCs w:val="14"/>
        </w:rPr>
        <w:t xml:space="preserve">    - uses: SonarSource/sonarqube-quality-gate-action@v1   # bloquea el pipeline si el gate falla</w:t>
      </w:r>
    </w:p>
    <w:p>
      <w:pPr>
        <w:keepNext/>
        <w:spacing w:after="20" w:before="60"/>
        <w:jc w:val="center"/>
      </w:pPr>
      <w:r>
        <w:drawing>
          <wp:inline distT="0" distB="0" distL="0" distR="0">
            <wp:extent cx="5905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51447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7. Ejecución del workflow en GitHub Actions (pendiente de captura tras el primer push; ver Anexo B).</w:t>
      </w:r>
    </w:p>
    <w:p>
      <w:pPr>
        <w:pStyle w:val="Heading1"/>
        <w:keepNext/>
        <w:spacing w:after="40" w:before="120"/>
      </w:pPr>
      <w:r>
        <w:rPr>
          <w:rFonts w:ascii="Calibri" w:cs="Calibri" w:eastAsia="Calibri" w:hAnsi="Calibri"/>
          <w:b/>
          <w:bCs/>
          <w:color w:val="0B5CAD"/>
          <w:sz w:val="22"/>
          <w:szCs w:val="22"/>
        </w:rPr>
        <w:t xml:space="preserve">6. Métricas de calidad</w:t>
      </w:r>
    </w:p>
    <w:p>
      <w:pPr>
        <w:spacing w:after="30" w:line="236"/>
        <w:jc w:val="both"/>
      </w:pPr>
      <w:r>
        <w:rPr>
          <w:rFonts w:ascii="Calibri" w:cs="Calibri" w:eastAsia="Calibri" w:hAnsi="Calibri"/>
          <w:b/>
          <w:bCs/>
          <w:sz w:val="20"/>
          <w:szCs w:val="20"/>
        </w:rPr>
        <w:t xml:space="preserve">Cobertura y gates.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3"/>
        <w:gridCol w:w="1843"/>
        <w:gridCol w:w="1434"/>
        <w:gridCol w:w="2253"/>
        <w:gridCol w:w="1229"/>
        <w:gridCol w:w="1229"/>
      </w:tblGrid>
      <w:tr>
        <w:trPr>
          <w:tblHeader/>
        </w:trPr>
        <w:tc>
          <w:tcPr>
            <w:tcW w:type="dxa" w:w="2253"/>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Módulo</w:t>
            </w:r>
          </w:p>
        </w:tc>
        <w:tc>
          <w:tcPr>
            <w:tcW w:type="dxa" w:w="1843"/>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Herramienta</w:t>
            </w:r>
          </w:p>
        </w:tc>
        <w:tc>
          <w:tcPr>
            <w:tcW w:type="dxa" w:w="1434"/>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Pruebas</w:t>
            </w:r>
          </w:p>
        </w:tc>
        <w:tc>
          <w:tcPr>
            <w:tcW w:type="dxa" w:w="2253"/>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Cobertura líneas</w:t>
            </w:r>
          </w:p>
        </w:tc>
        <w:tc>
          <w:tcPr>
            <w:tcW w:type="dxa" w:w="1229"/>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Cobertura ramas</w:t>
            </w:r>
          </w:p>
        </w:tc>
        <w:tc>
          <w:tcPr>
            <w:tcW w:type="dxa" w:w="1229"/>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Gate</w:t>
            </w:r>
          </w:p>
        </w:tc>
      </w:tr>
      <w:tr>
        <w:trPr>
          <w:cantSplit/>
        </w:trPr>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guardrail-service (Java)</w:t>
            </w:r>
          </w:p>
        </w:tc>
        <w:tc>
          <w:tcPr>
            <w:tcW w:type="dxa" w:w="184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JaCoCo 0.8.11</w:t>
            </w:r>
          </w:p>
        </w:tc>
        <w:tc>
          <w:tcPr>
            <w:tcW w:type="dxa" w:w="14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30 JUnit 5</w:t>
            </w:r>
          </w:p>
        </w:tc>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116/124 · 93,5 %</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61/69 · 88,4 %</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 85 % / ≥ 75 % ✓</w:t>
            </w:r>
          </w:p>
        </w:tc>
      </w:tr>
      <w:tr>
        <w:trPr>
          <w:cantSplit/>
        </w:trPr>
        <w:tc>
          <w:tcPr>
            <w:tcW w:type="dxa" w:w="225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SUT AsesorIA (Python)</w:t>
            </w:r>
          </w:p>
        </w:tc>
        <w:tc>
          <w:tcPr>
            <w:tcW w:type="dxa" w:w="184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coverage.py 7 vía pytest-cov</w:t>
            </w:r>
          </w:p>
        </w:tc>
        <w:tc>
          <w:tcPr>
            <w:tcW w:type="dxa" w:w="14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31 pytest</w:t>
            </w:r>
          </w:p>
        </w:tc>
        <w:tc>
          <w:tcPr>
            <w:tcW w:type="dxa" w:w="225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242/243 · 99 % (antes de las pruebas de componente: 51 %)</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n/a</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 85 % ✓</w:t>
            </w:r>
          </w:p>
        </w:tc>
      </w:tr>
      <w:tr>
        <w:trPr>
          <w:cantSplit/>
        </w:trPr>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Escenarios BDD</w:t>
            </w:r>
          </w:p>
        </w:tc>
        <w:tc>
          <w:tcPr>
            <w:tcW w:type="dxa" w:w="184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Cucumber</w:t>
            </w:r>
          </w:p>
        </w:tc>
        <w:tc>
          <w:tcPr>
            <w:tcW w:type="dxa" w:w="1434"/>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9 escenarios / 50 pasos</w:t>
            </w:r>
          </w:p>
        </w:tc>
        <w:tc>
          <w:tcPr>
            <w:tcW w:type="dxa" w:w="2253"/>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3/3 criterios de aceptación</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1229"/>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100 % ✓</w:t>
            </w:r>
          </w:p>
        </w:tc>
      </w:tr>
      <w:tr>
        <w:trPr>
          <w:cantSplit/>
        </w:trPr>
        <w:tc>
          <w:tcPr>
            <w:tcW w:type="dxa" w:w="225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Regresión API + UI</w:t>
            </w:r>
          </w:p>
        </w:tc>
        <w:tc>
          <w:tcPr>
            <w:tcW w:type="dxa" w:w="184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JUnit 5 + Playwright</w:t>
            </w:r>
          </w:p>
        </w:tc>
        <w:tc>
          <w:tcPr>
            <w:tcW w:type="dxa" w:w="1434"/>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32</w:t>
            </w:r>
          </w:p>
        </w:tc>
        <w:tc>
          <w:tcPr>
            <w:tcW w:type="dxa" w:w="2253"/>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11/11 requisitos</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t>
            </w:r>
          </w:p>
        </w:tc>
        <w:tc>
          <w:tcPr>
            <w:tcW w:type="dxa" w:w="1229"/>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100 % ✓</w:t>
            </w:r>
          </w:p>
        </w:tc>
      </w:tr>
    </w:tbl>
    <w:p>
      <w:pPr>
        <w:keepNext/>
        <w:spacing w:after="20" w:before="60"/>
        <w:jc w:val="center"/>
      </w:pPr>
      <w:r>
        <w:drawing>
          <wp:inline distT="0" distB="0" distL="0" distR="0">
            <wp:extent cx="59055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92392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8. Reporte JaCoCo de guardrail-service: 94 % de instrucciones, 88 % de ramas, 124 líneas, 9 clases.</w:t>
      </w:r>
    </w:p>
    <w:p>
      <w:pPr>
        <w:keepNext/>
        <w:spacing w:after="20" w:before="60"/>
        <w:jc w:val="center"/>
      </w:pPr>
      <w:r>
        <w:drawing>
          <wp:inline distT="0" distB="0" distL="0" distR="0">
            <wp:extent cx="5905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58127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9. Detalle JaCoCo de Json.java: las líneas rojas/amarillas guiaron el refactor del ciclo 4 (casos de escape no cubiertos).</w:t>
      </w:r>
    </w:p>
    <w:p>
      <w:pPr>
        <w:keepNext/>
        <w:spacing w:after="20" w:before="6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60032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10. pytest con cobertura del SUT: 31 pruebas, 99 % de líneas (51 % antes de añadir las pruebas de componente).</w:t>
      </w:r>
    </w:p>
    <w:p>
      <w:pPr>
        <w:keepNext/>
        <w:spacing w:after="20" w:before="60"/>
        <w:jc w:val="center"/>
      </w:pPr>
      <w:r>
        <w:drawing>
          <wp:inline distT="0" distB="0" distL="0" distR="0">
            <wp:extent cx="5905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93357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11. Reporte HTML de coverage.py por módulo.</w:t>
      </w:r>
    </w:p>
    <w:p>
      <w:pPr>
        <w:spacing w:after="30" w:line="236"/>
        <w:jc w:val="both"/>
      </w:pPr>
      <w:r>
        <w:rPr>
          <w:rFonts w:ascii="Calibri" w:cs="Calibri" w:eastAsia="Calibri" w:hAnsi="Calibri"/>
          <w:b/>
          <w:bCs/>
          <w:sz w:val="20"/>
          <w:szCs w:val="20"/>
        </w:rPr>
        <w:t xml:space="preserve">Deuda técnica, code smells y falsos positivos.</w:t>
      </w:r>
    </w:p>
    <w:p>
      <w:pPr>
        <w:spacing w:after="40" w:line="236"/>
        <w:jc w:val="both"/>
      </w:pPr>
      <w:r>
        <w:rPr>
          <w:rFonts w:ascii="Calibri" w:cs="Calibri" w:eastAsia="Calibri" w:hAnsi="Calibri"/>
          <w:sz w:val="20"/>
          <w:szCs w:val="20"/>
        </w:rPr>
        <w:t xml:space="preserve">Mientras SonarCloud no se ejecute en la nube (Anexo B), se corrió localmente un conjunto de analizadores equivalentes para anticipar los hallazgos y decidir cuáles corregir, aceptar o marcar como falsos positivos. La deuda técnica estimada por Sonar para el código nuevo se espera baja: el servicio tiene 124 líneas, complejidad ciclomática total 61 y sin duplicación; la principal deuda aceptada es la documentación Javadoc de métodos públicos (≈ 5 × 5 min según el modelo SQALE de Sonar ≈ 25 min).</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8"/>
        <w:gridCol w:w="3072"/>
        <w:gridCol w:w="3482"/>
        <w:gridCol w:w="1638"/>
      </w:tblGrid>
      <w:tr>
        <w:trPr>
          <w:tblHeader/>
        </w:trPr>
        <w:tc>
          <w:tcPr>
            <w:tcW w:type="dxa" w:w="2048"/>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Herramienta (local)</w:t>
            </w:r>
          </w:p>
        </w:tc>
        <w:tc>
          <w:tcPr>
            <w:tcW w:type="dxa" w:w="307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Hallazgos iniciales</w:t>
            </w:r>
          </w:p>
        </w:tc>
        <w:tc>
          <w:tcPr>
            <w:tcW w:type="dxa" w:w="348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Acción</w:t>
            </w:r>
          </w:p>
        </w:tc>
        <w:tc>
          <w:tcPr>
            <w:tcW w:type="dxa" w:w="1638"/>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Estado final</w:t>
            </w:r>
          </w:p>
        </w:tc>
      </w:tr>
      <w:tr>
        <w:trPr>
          <w:cantSplit/>
        </w:trPr>
        <w:tc>
          <w:tcPr>
            <w:tcW w:type="dxa" w:w="204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ruff (Python)</w:t>
            </w:r>
          </w:p>
        </w:tc>
        <w:tc>
          <w:tcPr>
            <w:tcW w:type="dxa" w:w="307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3: I001 imports desordenados, RUF100 noqa sin uso, DTZ005 datetime.now sin zona</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2 corregidos con --fix; DTZ005 aceptado: la hora se muestra solo en la sesión del asesor (hora local)</w:t>
            </w:r>
          </w:p>
        </w:tc>
        <w:tc>
          <w:tcPr>
            <w:tcW w:type="dxa" w:w="163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 aceptado</w:t>
            </w:r>
          </w:p>
        </w:tc>
      </w:tr>
      <w:tr>
        <w:trPr>
          <w:cantSplit/>
        </w:trPr>
        <w:tc>
          <w:tcPr>
            <w:tcW w:type="dxa" w:w="204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pylint (Python)</w:t>
            </w:r>
          </w:p>
        </w:tc>
        <w:tc>
          <w:tcPr>
            <w:tcW w:type="dxa" w:w="307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W1508 valor por defecto no string en os.getenv → 9,96/10</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Corregido (str(DEFAULT_THRESHOLD))</w:t>
            </w:r>
          </w:p>
        </w:tc>
        <w:tc>
          <w:tcPr>
            <w:tcW w:type="dxa" w:w="163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10,00/10</w:t>
            </w:r>
          </w:p>
        </w:tc>
      </w:tr>
      <w:tr>
        <w:trPr>
          <w:cantSplit/>
        </w:trPr>
        <w:tc>
          <w:tcPr>
            <w:tcW w:type="dxa" w:w="204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bandit (seguridad Python)</w:t>
            </w:r>
          </w:p>
        </w:tc>
        <w:tc>
          <w:tcPr>
            <w:tcW w:type="dxa" w:w="307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B310 urllib.urlopen (Medium)</w:t>
            </w:r>
          </w:p>
        </w:tc>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Falso positivo: la URL proviene de configuración interna y el esquema es fijo → # nosec B310 con justificación</w:t>
            </w:r>
          </w:p>
        </w:tc>
        <w:tc>
          <w:tcPr>
            <w:tcW w:type="dxa" w:w="1638"/>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0 abiertos</w:t>
            </w:r>
          </w:p>
        </w:tc>
      </w:tr>
      <w:tr>
        <w:trPr>
          <w:cantSplit/>
        </w:trPr>
        <w:tc>
          <w:tcPr>
            <w:tcW w:type="dxa" w:w="204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checkstyle google_checks (Java)</w:t>
            </w:r>
          </w:p>
        </w:tc>
        <w:tc>
          <w:tcPr>
            <w:tcW w:type="dxa" w:w="307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25 avisos: 13 LineLength (100 col.), 5 MissingJavadocMethod, 2 SingleLineJavadoc, 2 RightCurlyAlone, 3 otros</w:t>
            </w:r>
          </w:p>
        </w:tc>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LineLength: falso positivo por convención (el proyecto usa 120 col.); Javadoc en métodos públicos: deuda menor aceptada para esta iteración</w:t>
            </w:r>
          </w:p>
        </w:tc>
        <w:tc>
          <w:tcPr>
            <w:tcW w:type="dxa" w:w="1638"/>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12 aceptados · 13 falsos positivos</w:t>
            </w:r>
          </w:p>
        </w:tc>
      </w:tr>
    </w:tbl>
    <w:p>
      <w:pPr>
        <w:keepNext/>
        <w:spacing w:after="20" w:before="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143000"/>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12. Análisis estático local antes/después: ruff, pylint, bandit y checkstyle.</w:t>
      </w:r>
    </w:p>
    <w:p>
      <w:pPr>
        <w:keepNext/>
        <w:spacing w:after="20" w:before="60"/>
        <w:jc w:val="center"/>
      </w:pPr>
      <w:r>
        <w:drawing>
          <wp:inline distT="0" distB="0" distL="0" distR="0">
            <wp:extent cx="5905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514475"/>
                    </a:xfrm>
                    <a:prstGeom prst="rect">
                      <a:avLst/>
                    </a:prstGeom>
                  </pic:spPr>
                </pic:pic>
              </a:graphicData>
            </a:graphic>
          </wp:inline>
        </w:drawing>
      </w:r>
    </w:p>
    <w:p>
      <w:pPr>
        <w:spacing w:after="100"/>
        <w:jc w:val="center"/>
      </w:pPr>
      <w:r>
        <w:rPr>
          <w:rFonts w:ascii="Calibri" w:cs="Calibri" w:eastAsia="Calibri" w:hAnsi="Calibri"/>
          <w:i/>
          <w:iCs/>
          <w:color w:val="5B6675"/>
          <w:sz w:val="14"/>
          <w:szCs w:val="14"/>
        </w:rPr>
        <w:t xml:space="preserve">Figura 13. SonarCloud: quality gate, deuda técnica y code smells (pendiente de captura tras el análisis en la nube; ver Anexo B).</w:t>
      </w:r>
    </w:p>
    <w:p>
      <w:pPr>
        <w:spacing w:after="30" w:line="236"/>
        <w:jc w:val="both"/>
      </w:pPr>
      <w:r>
        <w:rPr>
          <w:rFonts w:ascii="Calibri" w:cs="Calibri" w:eastAsia="Calibri" w:hAnsi="Calibri"/>
          <w:b/>
          <w:bCs/>
          <w:sz w:val="20"/>
          <w:szCs w:val="20"/>
        </w:rPr>
        <w:t xml:space="preserve">Tiempos de ejecución.</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82"/>
        <w:gridCol w:w="2662"/>
        <w:gridCol w:w="4096"/>
      </w:tblGrid>
      <w:tr>
        <w:trPr>
          <w:tblHeader/>
        </w:trPr>
        <w:tc>
          <w:tcPr>
            <w:tcW w:type="dxa" w:w="348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Etapa</w:t>
            </w:r>
          </w:p>
        </w:tc>
        <w:tc>
          <w:tcPr>
            <w:tcW w:type="dxa" w:w="2662"/>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Duración medida (local)</w:t>
            </w:r>
          </w:p>
        </w:tc>
        <w:tc>
          <w:tcPr>
            <w:tcW w:type="dxa" w:w="4096"/>
            <w:tcBorders>
              <w:top w:val="single" w:color="C9D2DE" w:sz="4"/>
              <w:left w:val="single" w:color="C9D2DE" w:sz="4"/>
              <w:bottom w:val="single" w:color="C9D2DE" w:sz="4"/>
              <w:right w:val="single" w:color="C9D2DE" w:sz="4"/>
            </w:tcBorders>
            <w:shd w:fill="E3ECF7" w:color="auto" w:val="clear"/>
            <w:tcMar>
              <w:top w:type="dxa" w:w="15"/>
              <w:left w:type="dxa" w:w="55"/>
              <w:bottom w:type="dxa" w:w="15"/>
              <w:right w:type="dxa" w:w="55"/>
            </w:tcMar>
            <w:vAlign w:val="center"/>
          </w:tcPr>
          <w:p>
            <w:pPr>
              <w:spacing w:after="0" w:line="240"/>
              <w:jc w:val="left"/>
            </w:pPr>
            <w:r>
              <w:rPr>
                <w:rFonts w:ascii="Calibri" w:cs="Calibri" w:eastAsia="Calibri" w:hAnsi="Calibri"/>
                <w:b/>
                <w:bCs/>
                <w:sz w:val="16"/>
                <w:szCs w:val="16"/>
              </w:rPr>
              <w:t xml:space="preserve">Observación</w:t>
            </w:r>
          </w:p>
        </w:tc>
      </w:tr>
      <w:tr>
        <w:trPr>
          <w:cantSplit/>
        </w:trPr>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TDD Java (30 pruebas + JaCoCo + check)</w:t>
            </w:r>
          </w:p>
        </w:tc>
        <w:tc>
          <w:tcPr>
            <w:tcW w:type="dxa" w:w="266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0,74 s pruebas · ≈ 2 s con reporte</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Sin dependencias externas: el ciclo rojo-verde tarda segundos.</w:t>
            </w:r>
          </w:p>
        </w:tc>
      </w:tr>
      <w:tr>
        <w:trPr>
          <w:cantSplit/>
        </w:trPr>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TDD Python (31 pruebas + cobertura)</w:t>
            </w:r>
          </w:p>
        </w:tc>
        <w:tc>
          <w:tcPr>
            <w:tcW w:type="dxa" w:w="266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2,4 s</w:t>
            </w:r>
          </w:p>
        </w:tc>
        <w:tc>
          <w:tcPr>
            <w:tcW w:type="dxa" w:w="409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Incluye arranque de la app con TestClient.</w:t>
            </w:r>
          </w:p>
        </w:tc>
      </w:tr>
      <w:tr>
        <w:trPr>
          <w:cantSplit/>
        </w:trPr>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BDD Cucumber (9 escenarios, Chromium headless)</w:t>
            </w:r>
          </w:p>
        </w:tc>
        <w:tc>
          <w:tcPr>
            <w:tcW w:type="dxa" w:w="266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4,2 s</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Servicio Java + SUT reales.</w:t>
            </w:r>
          </w:p>
        </w:tc>
      </w:tr>
      <w:tr>
        <w:trPr>
          <w:cantSplit/>
        </w:trPr>
        <w:tc>
          <w:tcPr>
            <w:tcW w:type="dxa" w:w="348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Regresión JUnit + Playwright (32 pruebas)</w:t>
            </w:r>
          </w:p>
        </w:tc>
        <w:tc>
          <w:tcPr>
            <w:tcW w:type="dxa" w:w="2662"/>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8,7 s</w:t>
            </w:r>
          </w:p>
        </w:tc>
        <w:tc>
          <w:tcPr>
            <w:tcW w:type="dxa" w:w="4096"/>
            <w:tcBorders>
              <w:top w:val="single" w:color="C9D2DE" w:sz="4"/>
              <w:left w:val="single" w:color="C9D2DE" w:sz="4"/>
              <w:bottom w:val="single" w:color="C9D2DE" w:sz="4"/>
              <w:right w:val="single" w:color="C9D2DE" w:sz="4"/>
            </w:tcBorders>
            <w:shd w:fill="F6F8FB" w:color="auto" w:val="clear"/>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Un contexto de navegador por prueba.</w:t>
            </w:r>
          </w:p>
        </w:tc>
      </w:tr>
      <w:tr>
        <w:trPr>
          <w:cantSplit/>
        </w:trPr>
        <w:tc>
          <w:tcPr>
            <w:tcW w:type="dxa" w:w="348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Pipeline completo en GitHub Actions</w:t>
            </w:r>
          </w:p>
        </w:tc>
        <w:tc>
          <w:tcPr>
            <w:tcW w:type="dxa" w:w="2662"/>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 6–8 min (estimado)</w:t>
            </w:r>
          </w:p>
        </w:tc>
        <w:tc>
          <w:tcPr>
            <w:tcW w:type="dxa" w:w="4096"/>
            <w:tcBorders>
              <w:top w:val="single" w:color="C9D2DE" w:sz="4"/>
              <w:left w:val="single" w:color="C9D2DE" w:sz="4"/>
              <w:bottom w:val="single" w:color="C9D2DE" w:sz="4"/>
              <w:right w:val="single" w:color="C9D2DE" w:sz="4"/>
            </w:tcBorders>
            <w:tcMar>
              <w:top w:type="dxa" w:w="15"/>
              <w:left w:type="dxa" w:w="55"/>
              <w:bottom w:type="dxa" w:w="15"/>
              <w:right w:type="dxa" w:w="55"/>
            </w:tcMar>
            <w:vAlign w:val="center"/>
          </w:tcPr>
          <w:p>
            <w:pPr>
              <w:spacing w:after="0" w:line="240"/>
              <w:jc w:val="left"/>
            </w:pPr>
            <w:r>
              <w:rPr>
                <w:rFonts w:ascii="Calibri" w:cs="Calibri" w:eastAsia="Calibri" w:hAnsi="Calibri"/>
                <w:sz w:val="16"/>
                <w:szCs w:val="16"/>
              </w:rPr>
              <w:t xml:space="preserve">Dominado por la descarga de dependencias Maven/pip y de Chromium; valor real a registrar tras la primera ejecución (Anexo B).</w:t>
            </w:r>
          </w:p>
        </w:tc>
      </w:tr>
    </w:tbl>
    <w:p>
      <w:pPr>
        <w:pStyle w:val="Heading1"/>
        <w:keepNext/>
        <w:spacing w:after="40" w:before="120"/>
      </w:pPr>
      <w:r>
        <w:rPr>
          <w:rFonts w:ascii="Calibri" w:cs="Calibri" w:eastAsia="Calibri" w:hAnsi="Calibri"/>
          <w:b/>
          <w:bCs/>
          <w:color w:val="0B5CAD"/>
          <w:sz w:val="22"/>
          <w:szCs w:val="22"/>
        </w:rPr>
        <w:t xml:space="preserve">7. Análisis reflexivo: TDD + BDD, trazabilidad, colaboración y calidad</w:t>
      </w:r>
    </w:p>
    <w:p>
      <w:pPr>
        <w:spacing w:after="50" w:line="236"/>
        <w:jc w:val="both"/>
      </w:pPr>
      <w:r>
        <w:rPr>
          <w:rFonts w:ascii="Calibri" w:cs="Calibri" w:eastAsia="Calibri" w:hAnsi="Calibri"/>
          <w:sz w:val="20"/>
          <w:szCs w:val="20"/>
        </w:rPr>
        <w:t xml:space="preserve">Trazabilidad. La cadena requisito → prueba unitaria → código → escenario → commit de la sección 4 no se construyó al final: es el subproducto natural de haber escrito primero la prueba (TDD) y de haber mantenido la especificación en Gherkin (BDD). Cuando el guardrail cambió de un módulo Python a un servicio Java, ninguna frase del .feature tuvo que reescribirse y los identificadores CA-xx siguieron enlazando la historia de usuario con el reporte de Cucumber; TDD aportó el otro extremo de la cadena, el commit que introdujo cada regla. Para un entorno regulado esto significa que la evidencia de cumplimiento (por ejemplo, «los PAN nunca se almacenan en claro») se produce en cada ejecución del pipeline en lugar de recopilarse manualmente antes de una auditoría.</w:t>
      </w:r>
    </w:p>
    <w:p>
      <w:pPr>
        <w:spacing w:after="50" w:line="236"/>
        <w:jc w:val="both"/>
      </w:pPr>
      <w:r>
        <w:rPr>
          <w:rFonts w:ascii="Calibri" w:cs="Calibri" w:eastAsia="Calibri" w:hAnsi="Calibri"/>
          <w:sz w:val="20"/>
          <w:szCs w:val="20"/>
        </w:rPr>
        <w:t xml:space="preserve">Colaboración. Los dos enfoques hablan a audiencias distintas y se complementan: los escenarios BDD son el contrato con negocio y con el oficial de cumplimiento (qué se bloquea y qué se muestra), mientras que las pruebas TDD son el contrato entre desarrolladores (qué hace Luhn con un guion, qué devuelve el servicio ante un cuerpo inválido). La verificación cruzada con dos glues demostró que la especificación es el activo estable y la implementación es intercambiable, un argumento útil cuando equipos con stacks diferentes (Python para IA, Java para servicios corporativos) deben converger sobre el mismo comportamiento.</w:t>
      </w:r>
    </w:p>
    <w:p>
      <w:pPr>
        <w:spacing w:after="50" w:line="236"/>
        <w:jc w:val="both"/>
      </w:pPr>
      <w:r>
        <w:rPr>
          <w:rFonts w:ascii="Calibri" w:cs="Calibri" w:eastAsia="Calibri" w:hAnsi="Calibri"/>
          <w:sz w:val="20"/>
          <w:szCs w:val="20"/>
        </w:rPr>
        <w:t xml:space="preserve">Calidad. Las métricas mostraron dónde estaba la deuda real: la cobertura del SUT pasó de 51 % a 99 % no por perseguir un número, sino porque las pruebas de componente con TestClient cubrían rutas web que ninguna prueba unitaria tocaba; el reporte JaCoCo señaló ramas de escape JSON sin ejercitar y motivó dos pruebas más. Los quality gates automatizados (JaCoCo check, cov-fail-under, Sonar) convierten esos umbrales en criterios objetivos de mezcla, y el registro de falsos positivos (bandit B310, LineLength) evita que el equipo silencie reglas sin justificación escrita. La limitación principal es que ni TDD ni BDD miden la calidad del modelo de IA: la precisión del clasificador sigue requiriendo datasets y métricas propias, que en una siguiente iteración deberían publicarse también como artefactos del pipeline.</w:t>
      </w:r>
    </w:p>
    <w:p>
      <w:pPr>
        <w:pStyle w:val="Heading1"/>
        <w:keepNext/>
        <w:spacing w:after="40" w:before="120"/>
      </w:pPr>
      <w:r>
        <w:rPr>
          <w:rFonts w:ascii="Calibri" w:cs="Calibri" w:eastAsia="Calibri" w:hAnsi="Calibri"/>
          <w:b/>
          <w:bCs/>
          <w:color w:val="0B5CAD"/>
          <w:sz w:val="22"/>
          <w:szCs w:val="22"/>
        </w:rPr>
        <w:t xml:space="preserve">Anexo A. Reproducción local</w:t>
      </w:r>
    </w:p>
    <w:p>
      <w:pPr>
        <w:pStyle w:val="ListParagraph"/>
        <w:numPr>
          <w:ilvl w:val="0"/>
          <w:numId w:val="2"/>
        </w:numPr>
        <w:spacing w:after="30" w:line="240"/>
        <w:jc w:val="both"/>
      </w:pPr>
      <w:r>
        <w:rPr>
          <w:rFonts w:ascii="Calibri" w:cs="Calibri" w:eastAsia="Calibri" w:hAnsi="Calibri"/>
          <w:b/>
          <w:bCs/>
          <w:sz w:val="20"/>
          <w:szCs w:val="20"/>
        </w:rPr>
        <w:t xml:space="preserve">Servicio y SUT: </w:t>
      </w:r>
      <w:r>
        <w:rPr>
          <w:rFonts w:ascii="Calibri" w:cs="Calibri" w:eastAsia="Calibri" w:hAnsi="Calibri"/>
          <w:sz w:val="20"/>
          <w:szCs w:val="20"/>
        </w:rPr>
        <w:t xml:space="preserve">cd guardrail-service &amp;&amp; mvn verify &amp;&amp; java -jar target/guardrail-service-1.0.0.jar 8090 · cd sut &amp;&amp; GUARDRAIL_URL=http://localhost:8090 uvicorn app.main:app --port 8000.</w:t>
      </w:r>
    </w:p>
    <w:p>
      <w:pPr>
        <w:pStyle w:val="ListParagraph"/>
        <w:numPr>
          <w:ilvl w:val="0"/>
          <w:numId w:val="2"/>
        </w:numPr>
        <w:spacing w:after="30" w:line="240"/>
        <w:jc w:val="both"/>
      </w:pPr>
      <w:r>
        <w:rPr>
          <w:rFonts w:ascii="Calibri" w:cs="Calibri" w:eastAsia="Calibri" w:hAnsi="Calibri"/>
          <w:b/>
          <w:bCs/>
          <w:sz w:val="20"/>
          <w:szCs w:val="20"/>
        </w:rPr>
        <w:t xml:space="preserve">TDD: </w:t>
      </w:r>
      <w:r>
        <w:rPr>
          <w:rFonts w:ascii="Calibri" w:cs="Calibri" w:eastAsia="Calibri" w:hAnsi="Calibri"/>
          <w:sz w:val="20"/>
          <w:szCs w:val="20"/>
        </w:rPr>
        <w:t xml:space="preserve">mvn verify (JUnit 5 + JaCoCo report + check) · pytest -q tests --cov=app --cov-fail-under=85.</w:t>
      </w:r>
    </w:p>
    <w:p>
      <w:pPr>
        <w:pStyle w:val="ListParagraph"/>
        <w:numPr>
          <w:ilvl w:val="0"/>
          <w:numId w:val="2"/>
        </w:numPr>
        <w:spacing w:after="30" w:line="240"/>
        <w:jc w:val="both"/>
      </w:pPr>
      <w:r>
        <w:rPr>
          <w:rFonts w:ascii="Calibri" w:cs="Calibri" w:eastAsia="Calibri" w:hAnsi="Calibri"/>
          <w:b/>
          <w:bCs/>
          <w:sz w:val="20"/>
          <w:szCs w:val="20"/>
        </w:rPr>
        <w:t xml:space="preserve">BDD y regresión: </w:t>
      </w:r>
      <w:r>
        <w:rPr>
          <w:rFonts w:ascii="Calibri" w:cs="Calibri" w:eastAsia="Calibri" w:hAnsi="Calibri"/>
          <w:sz w:val="20"/>
          <w:szCs w:val="20"/>
        </w:rPr>
        <w:t xml:space="preserve">cd tests-e2e &amp;&amp; mvn test (o -Dtest=RunCucumberTest); verificación cruzada: cd tests-bdd-js &amp;&amp; npm install &amp;&amp; npm test.</w:t>
      </w:r>
    </w:p>
    <w:p>
      <w:pPr>
        <w:pStyle w:val="ListParagraph"/>
        <w:numPr>
          <w:ilvl w:val="0"/>
          <w:numId w:val="2"/>
        </w:numPr>
        <w:spacing w:after="30" w:line="240"/>
        <w:jc w:val="both"/>
      </w:pPr>
      <w:r>
        <w:rPr>
          <w:rFonts w:ascii="Calibri" w:cs="Calibri" w:eastAsia="Calibri" w:hAnsi="Calibri"/>
          <w:b/>
          <w:bCs/>
          <w:sz w:val="20"/>
          <w:szCs w:val="20"/>
        </w:rPr>
        <w:t xml:space="preserve">Pipeline: </w:t>
      </w:r>
      <w:r>
        <w:rPr>
          <w:rFonts w:ascii="Calibri" w:cs="Calibri" w:eastAsia="Calibri" w:hAnsi="Calibri"/>
          <w:sz w:val="20"/>
          <w:szCs w:val="20"/>
        </w:rPr>
        <w:t xml:space="preserve">push a main o workflow_dispatch en GitHub Actions; requiere el secreto SONAR_TOKEN y los valores de organización/proyecto en sonar-project.properties.</w:t>
      </w:r>
    </w:p>
    <w:p>
      <w:pPr>
        <w:pStyle w:val="Heading1"/>
        <w:keepNext/>
        <w:spacing w:after="40" w:before="120"/>
      </w:pPr>
      <w:r>
        <w:rPr>
          <w:rFonts w:ascii="Calibri" w:cs="Calibri" w:eastAsia="Calibri" w:hAnsi="Calibri"/>
          <w:b/>
          <w:bCs/>
          <w:color w:val="0B5CAD"/>
          <w:sz w:val="22"/>
          <w:szCs w:val="22"/>
        </w:rPr>
        <w:t xml:space="preserve">Anexo B. Pasos para completar la evidencia en la nube</w:t>
      </w:r>
    </w:p>
    <w:p>
      <w:pPr>
        <w:pStyle w:val="ListParagraph"/>
        <w:numPr>
          <w:ilvl w:val="0"/>
          <w:numId w:val="2"/>
        </w:numPr>
        <w:spacing w:after="30" w:line="240"/>
        <w:jc w:val="both"/>
      </w:pPr>
      <w:r>
        <w:rPr>
          <w:rFonts w:ascii="Calibri" w:cs="Calibri" w:eastAsia="Calibri" w:hAnsi="Calibri"/>
          <w:sz w:val="20"/>
          <w:szCs w:val="20"/>
        </w:rPr>
        <w:t xml:space="preserve">Crear el repositorio en GitHub (público o privado) y hacer push de la rama main con el historial incluido en el zip (.git).</w:t>
      </w:r>
    </w:p>
    <w:p>
      <w:pPr>
        <w:pStyle w:val="ListParagraph"/>
        <w:numPr>
          <w:ilvl w:val="0"/>
          <w:numId w:val="2"/>
        </w:numPr>
        <w:spacing w:after="30" w:line="240"/>
        <w:jc w:val="both"/>
      </w:pPr>
      <w:r>
        <w:rPr>
          <w:rFonts w:ascii="Calibri" w:cs="Calibri" w:eastAsia="Calibri" w:hAnsi="Calibri"/>
          <w:sz w:val="20"/>
          <w:szCs w:val="20"/>
        </w:rPr>
        <w:t xml:space="preserve">En sonarcloud.io: importar el repositorio, elegir «Analysis method: GitHub Actions», copiar el token en Settings → Secrets → SONAR_TOKEN del repositorio y actualizar sonar.organization / sonar.projectKey en sonar-project.properties.</w:t>
      </w:r>
    </w:p>
    <w:p>
      <w:pPr>
        <w:pStyle w:val="ListParagraph"/>
        <w:numPr>
          <w:ilvl w:val="0"/>
          <w:numId w:val="2"/>
        </w:numPr>
        <w:spacing w:after="30" w:line="240"/>
        <w:jc w:val="both"/>
      </w:pPr>
      <w:r>
        <w:rPr>
          <w:rFonts w:ascii="Calibri" w:cs="Calibri" w:eastAsia="Calibri" w:hAnsi="Calibri"/>
          <w:sz w:val="20"/>
          <w:szCs w:val="20"/>
        </w:rPr>
        <w:t xml:space="preserve">Ejecutar el workflow (Actions → ci → Run workflow). Capturar: (a) el run con los cinco jobs, (b) la pestaña Summary, (c) el artefacto evidencia-bdd-e2e.</w:t>
      </w:r>
    </w:p>
    <w:p>
      <w:pPr>
        <w:pStyle w:val="ListParagraph"/>
        <w:numPr>
          <w:ilvl w:val="0"/>
          <w:numId w:val="2"/>
        </w:numPr>
        <w:spacing w:after="30" w:line="240"/>
        <w:jc w:val="both"/>
      </w:pPr>
      <w:r>
        <w:rPr>
          <w:rFonts w:ascii="Calibri" w:cs="Calibri" w:eastAsia="Calibri" w:hAnsi="Calibri"/>
          <w:sz w:val="20"/>
          <w:szCs w:val="20"/>
        </w:rPr>
        <w:t xml:space="preserve">En SonarCloud capturar Overview (quality gate, coverage, code smells, technical debt) e Issues; marcar como False Positive las alertas justificadas en la sección 6 y volver a capturar.</w:t>
      </w:r>
    </w:p>
    <w:p>
      <w:pPr>
        <w:pStyle w:val="ListParagraph"/>
        <w:numPr>
          <w:ilvl w:val="0"/>
          <w:numId w:val="2"/>
        </w:numPr>
        <w:spacing w:after="30" w:line="240"/>
        <w:jc w:val="both"/>
      </w:pPr>
      <w:r>
        <w:rPr>
          <w:rFonts w:ascii="Calibri" w:cs="Calibri" w:eastAsia="Calibri" w:hAnsi="Calibri"/>
          <w:sz w:val="20"/>
          <w:szCs w:val="20"/>
        </w:rPr>
        <w:t xml:space="preserve">Sustituir las figuras 12 y 13 de este informe por las capturas anteriores y completar la fila «Pipeline completo» de la tabla de tiempos.</w:t>
      </w:r>
    </w:p>
    <w:sectPr>
      <w:headerReference w:type="default" r:id="rId7"/>
      <w:footerReference w:type="default" r:id="rId8"/>
      <w:pgSz w:w="12240" w:h="15840"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5"/>
        <w:sz w:val="14"/>
        <w:szCs w:val="14"/>
      </w:rPr>
      <w:t xml:space="preserve">Página </w:t>
    </w:r>
    <w:r>
      <w:rPr>
        <w:rFonts w:ascii="Calibri" w:cs="Calibri" w:eastAsia="Calibri" w:hAnsi="Calibri"/>
        <w:color w:val="5B6675"/>
        <w:sz w:val="14"/>
        <w:szCs w:val="14"/>
      </w:rPr>
      <w:fldChar w:fldCharType="begin"/>
      <w:instrText xml:space="preserve">PAGE</w:instrText>
      <w:fldChar w:fldCharType="separate"/>
      <w:fldChar w:fldCharType="end"/>
    </w:r>
    <w:r>
      <w:rPr>
        <w:rFonts w:ascii="Calibri" w:cs="Calibri" w:eastAsia="Calibri" w:hAnsi="Calibri"/>
        <w:color w:val="5B6675"/>
        <w:sz w:val="14"/>
        <w:szCs w:val="14"/>
      </w:rPr>
      <w:t xml:space="preserve"> de </w:t>
    </w:r>
    <w:r>
      <w:rPr>
        <w:rFonts w:ascii="Calibri" w:cs="Calibri" w:eastAsia="Calibri" w:hAnsi="Calibri"/>
        <w:color w:val="5B667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space="2"/>
      </w:pBdr>
      <w:jc w:val="right"/>
    </w:pPr>
    <w:r>
      <w:rPr>
        <w:rFonts w:ascii="Calibri" w:cs="Calibri" w:eastAsia="Calibri" w:hAnsi="Calibri"/>
        <w:color w:val="5B6675"/>
        <w:sz w:val="14"/>
        <w:szCs w:val="14"/>
      </w:rPr>
      <w:t xml:space="preserve">Actividad Evaluativa Unidad 3 · Proyecto técnico con análisis integral · Manuela Larrea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d20c2b891e4428492618ab9d3fd54386702d62.png"/><Relationship Id="rId10" Type="http://schemas.openxmlformats.org/officeDocument/2006/relationships/image" Target="media/58a34ffa132eccece9a4e2c7152df2349c339299.png"/><Relationship Id="rId11" Type="http://schemas.openxmlformats.org/officeDocument/2006/relationships/image" Target="media/0575a6a9c02d4c35b20838f85e3ad60940639fde.png"/><Relationship Id="rId12" Type="http://schemas.openxmlformats.org/officeDocument/2006/relationships/image" Target="media/4410a1ce808d4557d56a2334ef528566b71cca1b.png"/><Relationship Id="rId13" Type="http://schemas.openxmlformats.org/officeDocument/2006/relationships/image" Target="media/40f790afd5770e664162159b08ab7aa2272226a0.png"/><Relationship Id="rId14" Type="http://schemas.openxmlformats.org/officeDocument/2006/relationships/image" Target="media/c156953f7fbbbec88af9f079bf4873855cee9405.png"/><Relationship Id="rId15" Type="http://schemas.openxmlformats.org/officeDocument/2006/relationships/image" Target="media/4896d7cdb1b5f81281f99e09db6e0c7c76ca1b7f.png"/><Relationship Id="rId16" Type="http://schemas.openxmlformats.org/officeDocument/2006/relationships/image" Target="media/cf25b943b491c6b5674bb18dc01d9e317e247a5e.png"/><Relationship Id="rId17" Type="http://schemas.openxmlformats.org/officeDocument/2006/relationships/image" Target="media/6866910cd1b03fb21f94b27dfbac1321e600b889.png"/><Relationship Id="rId18" Type="http://schemas.openxmlformats.org/officeDocument/2006/relationships/image" Target="media/910f2255277e1d63a941411be679c751ad13d47d.png"/><Relationship Id="rId19" Type="http://schemas.openxmlformats.org/officeDocument/2006/relationships/image" Target="media/40c132efff91bb6c77194db85507403617638900.png"/><Relationship Id="rId20" Type="http://schemas.openxmlformats.org/officeDocument/2006/relationships/image" Target="media/b21c72e42080835dd6983eb2986572cfaaa07206.png"/><Relationship Id="rId21" Type="http://schemas.openxmlformats.org/officeDocument/2006/relationships/image" Target="media/bf14324068c8f2b33bbfcce6cfd44db1bda0a43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TDD + BDD + CI/CD · AsesorIA</dc:title>
  <dc:creator>Manuela Larrea</dc:creator>
  <cp:lastModifiedBy>Un-named</cp:lastModifiedBy>
  <cp:revision>1</cp:revision>
  <dcterms:created xsi:type="dcterms:W3CDTF">2026-09-26T23:37:27.624Z</dcterms:created>
  <dcterms:modified xsi:type="dcterms:W3CDTF">2026-09-26T23:37:27.624Z</dcterms:modified>
</cp:coreProperties>
</file>

<file path=docProps/custom.xml><?xml version="1.0" encoding="utf-8"?>
<Properties xmlns="http://schemas.openxmlformats.org/officeDocument/2006/custom-properties" xmlns:vt="http://schemas.openxmlformats.org/officeDocument/2006/docPropsVTypes"/>
</file>